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F95FC" w14:textId="77777777" w:rsidR="00955D97" w:rsidRPr="00955D97" w:rsidRDefault="00955D97" w:rsidP="00955D97">
      <w:pPr>
        <w:pStyle w:val="Header"/>
        <w:ind w:left="720" w:hanging="720"/>
        <w:jc w:val="center"/>
        <w:rPr>
          <w:rFonts w:ascii="Calibri" w:hAnsi="Calibri"/>
          <w:b/>
          <w:color w:val="1F497D" w:themeColor="text2"/>
          <w:sz w:val="32"/>
          <w:szCs w:val="32"/>
        </w:rPr>
      </w:pPr>
      <w:r w:rsidRPr="00955D97">
        <w:rPr>
          <w:rFonts w:ascii="Calibri" w:hAnsi="Calibri"/>
          <w:b/>
          <w:color w:val="1F497D" w:themeColor="text2"/>
          <w:sz w:val="32"/>
          <w:szCs w:val="32"/>
        </w:rPr>
        <w:t>TOWN OF NEEDHAM</w:t>
      </w:r>
    </w:p>
    <w:p w14:paraId="7629C55A" w14:textId="746D1DEA" w:rsidR="00955D97" w:rsidRPr="00955D97" w:rsidRDefault="00582B03" w:rsidP="00955D97">
      <w:pPr>
        <w:pStyle w:val="Header"/>
        <w:ind w:left="720" w:hanging="720"/>
        <w:jc w:val="center"/>
        <w:rPr>
          <w:rFonts w:ascii="Calibri" w:hAnsi="Calibri"/>
          <w:b/>
          <w:color w:val="1F497D" w:themeColor="text2"/>
          <w:sz w:val="32"/>
          <w:szCs w:val="32"/>
        </w:rPr>
      </w:pPr>
      <w:r>
        <w:rPr>
          <w:rFonts w:ascii="Calibri" w:hAnsi="Calibri"/>
          <w:b/>
          <w:color w:val="1F497D" w:themeColor="text2"/>
          <w:sz w:val="32"/>
          <w:szCs w:val="32"/>
        </w:rPr>
        <w:t>HOUSING PLAN</w:t>
      </w:r>
    </w:p>
    <w:p w14:paraId="3B85019C" w14:textId="77777777" w:rsidR="00955D97" w:rsidRDefault="00955D97" w:rsidP="008772FC">
      <w:pPr>
        <w:pStyle w:val="Header"/>
        <w:ind w:left="720" w:hanging="720"/>
        <w:jc w:val="center"/>
        <w:rPr>
          <w:rFonts w:ascii="Calibri" w:hAnsi="Calibri"/>
          <w:b/>
          <w:color w:val="1F497D" w:themeColor="text2"/>
          <w:sz w:val="32"/>
          <w:szCs w:val="32"/>
        </w:rPr>
      </w:pPr>
    </w:p>
    <w:p w14:paraId="48ABDB97" w14:textId="77777777" w:rsidR="00710A80" w:rsidRDefault="00955D97" w:rsidP="00710A80">
      <w:pPr>
        <w:pStyle w:val="Header"/>
        <w:keepNext/>
        <w:ind w:left="720" w:hanging="720"/>
        <w:jc w:val="center"/>
      </w:pPr>
      <w:r>
        <w:rPr>
          <w:noProof/>
        </w:rPr>
        <w:drawing>
          <wp:inline distT="0" distB="0" distL="0" distR="0" wp14:anchorId="32E03362" wp14:editId="1B295DC6">
            <wp:extent cx="4254806" cy="28479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3793" cy="2853990"/>
                    </a:xfrm>
                    <a:prstGeom prst="rect">
                      <a:avLst/>
                    </a:prstGeom>
                    <a:noFill/>
                    <a:ln>
                      <a:noFill/>
                    </a:ln>
                  </pic:spPr>
                </pic:pic>
              </a:graphicData>
            </a:graphic>
          </wp:inline>
        </w:drawing>
      </w:r>
    </w:p>
    <w:p w14:paraId="04104E44" w14:textId="19BD6A68" w:rsidR="00955D97" w:rsidRPr="00710A80" w:rsidRDefault="00710A80" w:rsidP="00710A80">
      <w:pPr>
        <w:pStyle w:val="Caption"/>
        <w:jc w:val="center"/>
        <w:rPr>
          <w:rFonts w:asciiTheme="minorHAnsi" w:hAnsiTheme="minorHAnsi" w:cstheme="minorHAnsi"/>
          <w:b w:val="0"/>
          <w:color w:val="002060"/>
          <w:sz w:val="32"/>
          <w:szCs w:val="32"/>
        </w:rPr>
      </w:pPr>
      <w:r w:rsidRPr="00710A80">
        <w:rPr>
          <w:rFonts w:asciiTheme="minorHAnsi" w:hAnsiTheme="minorHAnsi" w:cstheme="minorHAnsi"/>
          <w:color w:val="002060"/>
        </w:rPr>
        <w:t xml:space="preserve">The Kendrick </w:t>
      </w:r>
    </w:p>
    <w:p w14:paraId="009739E2" w14:textId="77777777" w:rsidR="00955D97" w:rsidRDefault="00955D97" w:rsidP="008772FC">
      <w:pPr>
        <w:pStyle w:val="Header"/>
        <w:ind w:left="720" w:hanging="720"/>
        <w:jc w:val="center"/>
        <w:rPr>
          <w:rFonts w:ascii="Calibri" w:hAnsi="Calibri"/>
          <w:b/>
          <w:color w:val="1F497D" w:themeColor="text2"/>
          <w:sz w:val="28"/>
          <w:szCs w:val="28"/>
        </w:rPr>
      </w:pPr>
    </w:p>
    <w:p w14:paraId="449448E6" w14:textId="7771B9F8" w:rsidR="00955D97" w:rsidRDefault="002665A7" w:rsidP="002665A7">
      <w:pPr>
        <w:pStyle w:val="Header"/>
        <w:ind w:left="720" w:hanging="720"/>
        <w:rPr>
          <w:rFonts w:ascii="Calibri" w:hAnsi="Calibri"/>
          <w:b/>
          <w:color w:val="1F497D" w:themeColor="text2"/>
        </w:rPr>
      </w:pPr>
      <w:r>
        <w:rPr>
          <w:rFonts w:ascii="Calibri" w:hAnsi="Calibri"/>
          <w:b/>
          <w:color w:val="1F497D" w:themeColor="text2"/>
        </w:rPr>
        <w:t>Prepared by the Needham Housing Plan Working Group</w:t>
      </w:r>
    </w:p>
    <w:p w14:paraId="5076250A" w14:textId="5800D9A8"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Jeanne McKnight, Co-Chair</w:t>
      </w:r>
      <w:r w:rsidRPr="00A42CCD">
        <w:rPr>
          <w:rFonts w:asciiTheme="minorHAnsi" w:hAnsiTheme="minorHAnsi" w:cstheme="minorHAnsi"/>
          <w:sz w:val="22"/>
          <w:szCs w:val="22"/>
        </w:rPr>
        <w:tab/>
        <w:t>Planning Board</w:t>
      </w:r>
    </w:p>
    <w:p w14:paraId="5F77E2E6" w14:textId="33AAF3DA"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Natasha Espada, Co-Chair</w:t>
      </w:r>
      <w:r w:rsidRPr="00A42CCD">
        <w:rPr>
          <w:rFonts w:asciiTheme="minorHAnsi" w:hAnsiTheme="minorHAnsi" w:cstheme="minorHAnsi"/>
          <w:sz w:val="22"/>
          <w:szCs w:val="22"/>
        </w:rPr>
        <w:tab/>
        <w:t>Planning Board</w:t>
      </w:r>
    </w:p>
    <w:p w14:paraId="2F33D675" w14:textId="4BDC1625"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Rhonda Spector</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Citizen At Large</w:t>
      </w:r>
    </w:p>
    <w:p w14:paraId="72B71686" w14:textId="482D89D4" w:rsid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Oscar Mertz</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Citizen At Large</w:t>
      </w:r>
    </w:p>
    <w:p w14:paraId="160D67AE" w14:textId="4E6BA5C1" w:rsidR="00750B83" w:rsidRPr="00A42CCD" w:rsidRDefault="00750B83" w:rsidP="00A42CCD">
      <w:pPr>
        <w:pStyle w:val="ListParagraph"/>
        <w:ind w:left="0"/>
        <w:rPr>
          <w:rFonts w:asciiTheme="minorHAnsi" w:hAnsiTheme="minorHAnsi" w:cstheme="minorHAnsi"/>
          <w:sz w:val="22"/>
          <w:szCs w:val="22"/>
        </w:rPr>
      </w:pPr>
      <w:r>
        <w:rPr>
          <w:rFonts w:asciiTheme="minorHAnsi" w:hAnsiTheme="minorHAnsi" w:cstheme="minorHAnsi"/>
          <w:sz w:val="22"/>
          <w:szCs w:val="22"/>
        </w:rPr>
        <w:t>Emily Cooper</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Citizen At Large</w:t>
      </w:r>
    </w:p>
    <w:p w14:paraId="74E81294" w14:textId="3B6DC116"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 xml:space="preserve">Ed </w:t>
      </w:r>
      <w:r w:rsidR="00471114">
        <w:rPr>
          <w:rFonts w:asciiTheme="minorHAnsi" w:hAnsiTheme="minorHAnsi" w:cstheme="minorHAnsi"/>
          <w:sz w:val="22"/>
          <w:szCs w:val="22"/>
        </w:rPr>
        <w:t>C</w:t>
      </w:r>
      <w:r w:rsidRPr="00A42CCD">
        <w:rPr>
          <w:rFonts w:asciiTheme="minorHAnsi" w:hAnsiTheme="minorHAnsi" w:cstheme="minorHAnsi"/>
          <w:sz w:val="22"/>
          <w:szCs w:val="22"/>
        </w:rPr>
        <w:t>osgrove</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Board of Health</w:t>
      </w:r>
    </w:p>
    <w:p w14:paraId="061DBA5F" w14:textId="22F1E5C5"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Helen Gregory</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Council on Aging</w:t>
      </w:r>
    </w:p>
    <w:p w14:paraId="3D8372B4" w14:textId="35086F5D"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Carol Fachetti</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Finance Committee</w:t>
      </w:r>
    </w:p>
    <w:p w14:paraId="76D432F6" w14:textId="1FA5107D"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Ed Scheideler</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Housing Authority</w:t>
      </w:r>
    </w:p>
    <w:p w14:paraId="3C06DCDE" w14:textId="0E36BCD1" w:rsidR="00F46D34" w:rsidRDefault="00F46D34" w:rsidP="00A42CCD">
      <w:pPr>
        <w:pStyle w:val="ListParagraph"/>
        <w:ind w:left="0"/>
        <w:rPr>
          <w:rFonts w:asciiTheme="minorHAnsi" w:hAnsiTheme="minorHAnsi" w:cstheme="minorHAnsi"/>
          <w:sz w:val="22"/>
          <w:szCs w:val="22"/>
        </w:rPr>
      </w:pPr>
      <w:r>
        <w:rPr>
          <w:rFonts w:asciiTheme="minorHAnsi" w:hAnsiTheme="minorHAnsi" w:cstheme="minorHAnsi"/>
          <w:sz w:val="22"/>
          <w:szCs w:val="22"/>
        </w:rPr>
        <w:t>Heidi Frail</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Select Board</w:t>
      </w:r>
    </w:p>
    <w:p w14:paraId="26038441" w14:textId="27BA9585"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Marcus Nelson</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Select Board</w:t>
      </w:r>
    </w:p>
    <w:p w14:paraId="347CD516" w14:textId="16C96B7E" w:rsidR="00A42CCD" w:rsidRPr="00A42CCD" w:rsidRDefault="00A42CCD" w:rsidP="00A42CCD">
      <w:pPr>
        <w:pStyle w:val="ListParagraph"/>
        <w:ind w:left="0"/>
        <w:rPr>
          <w:rFonts w:asciiTheme="minorHAnsi" w:hAnsiTheme="minorHAnsi" w:cstheme="minorHAnsi"/>
          <w:sz w:val="22"/>
          <w:szCs w:val="22"/>
        </w:rPr>
      </w:pPr>
      <w:r w:rsidRPr="00A42CCD">
        <w:rPr>
          <w:rFonts w:asciiTheme="minorHAnsi" w:hAnsiTheme="minorHAnsi" w:cstheme="minorHAnsi"/>
          <w:sz w:val="22"/>
          <w:szCs w:val="22"/>
        </w:rPr>
        <w:t>Mi</w:t>
      </w:r>
      <w:r w:rsidR="00750B83">
        <w:rPr>
          <w:rFonts w:asciiTheme="minorHAnsi" w:hAnsiTheme="minorHAnsi" w:cstheme="minorHAnsi"/>
          <w:sz w:val="22"/>
          <w:szCs w:val="22"/>
        </w:rPr>
        <w:t>chael</w:t>
      </w:r>
      <w:r w:rsidRPr="00A42CCD">
        <w:rPr>
          <w:rFonts w:asciiTheme="minorHAnsi" w:hAnsiTheme="minorHAnsi" w:cstheme="minorHAnsi"/>
          <w:sz w:val="22"/>
          <w:szCs w:val="22"/>
        </w:rPr>
        <w:t xml:space="preserve"> O’Brien</w:t>
      </w:r>
      <w:r w:rsidRPr="00A42CCD">
        <w:rPr>
          <w:rFonts w:asciiTheme="minorHAnsi" w:hAnsiTheme="minorHAnsi" w:cstheme="minorHAnsi"/>
          <w:sz w:val="22"/>
          <w:szCs w:val="22"/>
        </w:rPr>
        <w:tab/>
      </w:r>
      <w:r w:rsidRPr="00A42CCD">
        <w:rPr>
          <w:rFonts w:asciiTheme="minorHAnsi" w:hAnsiTheme="minorHAnsi" w:cstheme="minorHAnsi"/>
          <w:sz w:val="22"/>
          <w:szCs w:val="22"/>
        </w:rPr>
        <w:tab/>
      </w:r>
      <w:r w:rsidRPr="00A42CCD">
        <w:rPr>
          <w:rFonts w:asciiTheme="minorHAnsi" w:hAnsiTheme="minorHAnsi" w:cstheme="minorHAnsi"/>
          <w:sz w:val="22"/>
          <w:szCs w:val="22"/>
        </w:rPr>
        <w:tab/>
        <w:t>School Committee</w:t>
      </w:r>
    </w:p>
    <w:p w14:paraId="40DC34AB" w14:textId="4137C065" w:rsidR="00F47C07" w:rsidRPr="007B6629" w:rsidRDefault="00F47C07" w:rsidP="00F47C07">
      <w:pPr>
        <w:rPr>
          <w:rFonts w:asciiTheme="minorHAnsi" w:hAnsiTheme="minorHAnsi" w:cs="Lucida Sans Unicode"/>
          <w:bCs/>
          <w:sz w:val="20"/>
          <w:szCs w:val="20"/>
        </w:rPr>
      </w:pPr>
      <w:r>
        <w:rPr>
          <w:rFonts w:asciiTheme="minorHAnsi" w:hAnsiTheme="minorHAnsi" w:cs="Lucida Sans Unicode"/>
          <w:bCs/>
          <w:sz w:val="20"/>
          <w:szCs w:val="20"/>
        </w:rPr>
        <w:t>Dan Matthews served until his term on the Select Board ended 4/12/22</w:t>
      </w:r>
    </w:p>
    <w:p w14:paraId="60F8692F" w14:textId="77777777" w:rsidR="002665A7" w:rsidRPr="002665A7" w:rsidRDefault="002665A7" w:rsidP="002665A7">
      <w:pPr>
        <w:pStyle w:val="Header"/>
        <w:ind w:left="720" w:hanging="720"/>
        <w:rPr>
          <w:rFonts w:ascii="Calibri" w:hAnsi="Calibri"/>
          <w:b/>
          <w:color w:val="1F497D" w:themeColor="text2"/>
        </w:rPr>
      </w:pPr>
    </w:p>
    <w:p w14:paraId="07BD896F" w14:textId="77777777" w:rsidR="00955D97" w:rsidRPr="002665A7" w:rsidRDefault="00955D97" w:rsidP="00955D97">
      <w:pPr>
        <w:pStyle w:val="Header"/>
        <w:ind w:left="720" w:hanging="720"/>
        <w:rPr>
          <w:rFonts w:ascii="Calibri" w:hAnsi="Calibri"/>
          <w:b/>
          <w:color w:val="1F497D" w:themeColor="text2"/>
          <w:sz w:val="22"/>
          <w:szCs w:val="22"/>
        </w:rPr>
      </w:pPr>
      <w:r w:rsidRPr="002665A7">
        <w:rPr>
          <w:rFonts w:ascii="Calibri" w:hAnsi="Calibri"/>
          <w:b/>
          <w:color w:val="1F497D" w:themeColor="text2"/>
          <w:sz w:val="22"/>
          <w:szCs w:val="22"/>
        </w:rPr>
        <w:t xml:space="preserve">Needham Department of Planning and Community Development </w:t>
      </w:r>
    </w:p>
    <w:p w14:paraId="0D4E1928" w14:textId="401609EE" w:rsidR="00955D97" w:rsidRPr="00A42CCD" w:rsidRDefault="00955D97" w:rsidP="00955D97">
      <w:pPr>
        <w:pStyle w:val="Header"/>
        <w:ind w:left="720" w:hanging="720"/>
        <w:rPr>
          <w:rFonts w:ascii="Calibri" w:hAnsi="Calibri"/>
          <w:bCs/>
          <w:sz w:val="22"/>
          <w:szCs w:val="22"/>
        </w:rPr>
      </w:pPr>
      <w:r w:rsidRPr="00A42CCD">
        <w:rPr>
          <w:rFonts w:ascii="Calibri" w:hAnsi="Calibri"/>
          <w:bCs/>
          <w:sz w:val="22"/>
          <w:szCs w:val="22"/>
        </w:rPr>
        <w:t>Lee Newman, Director</w:t>
      </w:r>
      <w:r w:rsidR="002665A7" w:rsidRPr="00A42CCD">
        <w:rPr>
          <w:rFonts w:ascii="Calibri" w:hAnsi="Calibri"/>
          <w:bCs/>
          <w:sz w:val="22"/>
          <w:szCs w:val="22"/>
        </w:rPr>
        <w:t xml:space="preserve"> of Planning and Community Development</w:t>
      </w:r>
    </w:p>
    <w:p w14:paraId="2887CC4D" w14:textId="7FEC0923" w:rsidR="002665A7" w:rsidRPr="00A42CCD" w:rsidRDefault="002665A7" w:rsidP="00955D97">
      <w:pPr>
        <w:pStyle w:val="Header"/>
        <w:ind w:left="720" w:hanging="720"/>
        <w:rPr>
          <w:rFonts w:ascii="Calibri" w:hAnsi="Calibri"/>
          <w:bCs/>
          <w:sz w:val="22"/>
          <w:szCs w:val="22"/>
        </w:rPr>
      </w:pPr>
      <w:r w:rsidRPr="00A42CCD">
        <w:rPr>
          <w:rFonts w:ascii="Calibri" w:hAnsi="Calibri"/>
          <w:bCs/>
          <w:sz w:val="22"/>
          <w:szCs w:val="22"/>
        </w:rPr>
        <w:t>Alexandra Clee, Assi</w:t>
      </w:r>
      <w:r w:rsidR="003D46E6">
        <w:rPr>
          <w:rFonts w:ascii="Calibri" w:hAnsi="Calibri"/>
          <w:bCs/>
          <w:sz w:val="22"/>
          <w:szCs w:val="22"/>
        </w:rPr>
        <w:t>s</w:t>
      </w:r>
      <w:r w:rsidRPr="00A42CCD">
        <w:rPr>
          <w:rFonts w:ascii="Calibri" w:hAnsi="Calibri"/>
          <w:bCs/>
          <w:sz w:val="22"/>
          <w:szCs w:val="22"/>
        </w:rPr>
        <w:t>tant Town Planner</w:t>
      </w:r>
    </w:p>
    <w:p w14:paraId="0827BEFE" w14:textId="77777777" w:rsidR="00955D97" w:rsidRPr="00A42CCD" w:rsidRDefault="00955D97" w:rsidP="00955D97">
      <w:pPr>
        <w:pStyle w:val="Header"/>
        <w:ind w:left="720" w:hanging="720"/>
        <w:rPr>
          <w:rFonts w:ascii="Calibri" w:hAnsi="Calibri"/>
          <w:bCs/>
          <w:sz w:val="22"/>
          <w:szCs w:val="22"/>
        </w:rPr>
      </w:pPr>
      <w:r w:rsidRPr="00A42CCD">
        <w:rPr>
          <w:rFonts w:ascii="Calibri" w:hAnsi="Calibri"/>
          <w:bCs/>
          <w:sz w:val="22"/>
          <w:szCs w:val="22"/>
        </w:rPr>
        <w:t>Karen Sunnarborg, Housing Specialist</w:t>
      </w:r>
    </w:p>
    <w:p w14:paraId="77D6D73C" w14:textId="77777777" w:rsidR="00955D97" w:rsidRPr="002665A7" w:rsidRDefault="00955D97" w:rsidP="00955D97">
      <w:pPr>
        <w:pStyle w:val="Header"/>
        <w:ind w:left="720" w:hanging="720"/>
        <w:rPr>
          <w:rFonts w:ascii="Calibri" w:hAnsi="Calibri"/>
          <w:b/>
          <w:color w:val="1F497D" w:themeColor="text2"/>
          <w:sz w:val="22"/>
          <w:szCs w:val="22"/>
        </w:rPr>
      </w:pPr>
    </w:p>
    <w:p w14:paraId="080C0526" w14:textId="7B7EBB55" w:rsidR="00955D97" w:rsidRPr="002665A7" w:rsidRDefault="00582B03" w:rsidP="00955D97">
      <w:pPr>
        <w:pStyle w:val="Header"/>
        <w:ind w:left="720" w:hanging="720"/>
        <w:rPr>
          <w:rFonts w:ascii="Calibri" w:hAnsi="Calibri"/>
          <w:b/>
          <w:color w:val="1F497D" w:themeColor="text2"/>
          <w:sz w:val="22"/>
          <w:szCs w:val="22"/>
        </w:rPr>
      </w:pPr>
      <w:r w:rsidRPr="002665A7">
        <w:rPr>
          <w:rFonts w:ascii="Calibri" w:hAnsi="Calibri"/>
          <w:b/>
          <w:color w:val="1F497D" w:themeColor="text2"/>
          <w:sz w:val="22"/>
          <w:szCs w:val="22"/>
        </w:rPr>
        <w:t>Insert date</w:t>
      </w:r>
    </w:p>
    <w:p w14:paraId="502E2918" w14:textId="77777777" w:rsidR="00955D97" w:rsidRDefault="00955D97" w:rsidP="008772FC">
      <w:pPr>
        <w:pStyle w:val="Header"/>
        <w:ind w:left="720" w:hanging="720"/>
        <w:jc w:val="center"/>
        <w:rPr>
          <w:rFonts w:ascii="Calibri" w:hAnsi="Calibri"/>
          <w:b/>
          <w:color w:val="1F497D" w:themeColor="text2"/>
          <w:sz w:val="28"/>
          <w:szCs w:val="28"/>
        </w:rPr>
      </w:pPr>
    </w:p>
    <w:p w14:paraId="15EB5098" w14:textId="64F664CE" w:rsidR="00955D97" w:rsidRDefault="00955D97" w:rsidP="008772FC">
      <w:pPr>
        <w:pStyle w:val="Header"/>
        <w:ind w:left="720" w:hanging="720"/>
        <w:jc w:val="center"/>
        <w:rPr>
          <w:rFonts w:ascii="Calibri" w:hAnsi="Calibri"/>
          <w:b/>
          <w:color w:val="1F497D" w:themeColor="text2"/>
          <w:sz w:val="28"/>
          <w:szCs w:val="28"/>
        </w:rPr>
      </w:pPr>
    </w:p>
    <w:p w14:paraId="5B862C98" w14:textId="77777777" w:rsidR="00F46D34" w:rsidRDefault="00F46D34" w:rsidP="008772FC">
      <w:pPr>
        <w:pStyle w:val="Header"/>
        <w:ind w:left="720" w:hanging="720"/>
        <w:jc w:val="center"/>
        <w:rPr>
          <w:rFonts w:ascii="Calibri" w:hAnsi="Calibri"/>
          <w:b/>
          <w:color w:val="1F497D" w:themeColor="text2"/>
          <w:sz w:val="28"/>
          <w:szCs w:val="28"/>
        </w:rPr>
      </w:pPr>
    </w:p>
    <w:p w14:paraId="30148B29" w14:textId="77777777" w:rsidR="00955D97" w:rsidRPr="007732BD" w:rsidRDefault="00955D97" w:rsidP="00955D97">
      <w:pPr>
        <w:pStyle w:val="Header"/>
        <w:ind w:left="720" w:hanging="720"/>
        <w:jc w:val="center"/>
        <w:rPr>
          <w:rFonts w:ascii="Calibri" w:hAnsi="Calibri"/>
          <w:b/>
          <w:color w:val="1F497D" w:themeColor="text2"/>
          <w:sz w:val="32"/>
          <w:szCs w:val="32"/>
        </w:rPr>
      </w:pPr>
      <w:r w:rsidRPr="007732BD">
        <w:rPr>
          <w:rFonts w:ascii="Calibri" w:hAnsi="Calibri"/>
          <w:b/>
          <w:color w:val="1F497D" w:themeColor="text2"/>
          <w:sz w:val="32"/>
          <w:szCs w:val="32"/>
        </w:rPr>
        <w:t>TOWN OF NEEDHAM</w:t>
      </w:r>
    </w:p>
    <w:p w14:paraId="1F2B7784" w14:textId="11C67B13" w:rsidR="00955D97" w:rsidRPr="007732BD" w:rsidRDefault="00955D97" w:rsidP="00955D97">
      <w:pPr>
        <w:pStyle w:val="Header"/>
        <w:ind w:left="720" w:hanging="720"/>
        <w:jc w:val="center"/>
        <w:rPr>
          <w:rFonts w:ascii="Calibri" w:hAnsi="Calibri"/>
          <w:b/>
          <w:color w:val="1F497D" w:themeColor="text2"/>
          <w:sz w:val="32"/>
          <w:szCs w:val="32"/>
        </w:rPr>
      </w:pPr>
      <w:r w:rsidRPr="007732BD">
        <w:rPr>
          <w:rFonts w:ascii="Calibri" w:hAnsi="Calibri"/>
          <w:b/>
          <w:color w:val="1F497D" w:themeColor="text2"/>
          <w:sz w:val="32"/>
          <w:szCs w:val="32"/>
        </w:rPr>
        <w:t xml:space="preserve">HOUSING </w:t>
      </w:r>
      <w:r w:rsidR="00582B03">
        <w:rPr>
          <w:rFonts w:ascii="Calibri" w:hAnsi="Calibri"/>
          <w:b/>
          <w:color w:val="1F497D" w:themeColor="text2"/>
          <w:sz w:val="32"/>
          <w:szCs w:val="32"/>
        </w:rPr>
        <w:t>PLAN</w:t>
      </w:r>
    </w:p>
    <w:p w14:paraId="253DBC8F" w14:textId="77777777" w:rsidR="00955D97" w:rsidRDefault="00955D97" w:rsidP="008772FC">
      <w:pPr>
        <w:pStyle w:val="Header"/>
        <w:ind w:left="720" w:hanging="720"/>
        <w:jc w:val="center"/>
        <w:rPr>
          <w:rFonts w:ascii="Calibri" w:hAnsi="Calibri"/>
          <w:b/>
          <w:color w:val="1F497D" w:themeColor="text2"/>
          <w:sz w:val="28"/>
          <w:szCs w:val="28"/>
        </w:rPr>
      </w:pPr>
      <w:r>
        <w:rPr>
          <w:rFonts w:ascii="Calibri" w:hAnsi="Calibri"/>
          <w:b/>
          <w:color w:val="1F497D" w:themeColor="text2"/>
          <w:sz w:val="28"/>
          <w:szCs w:val="28"/>
        </w:rPr>
        <w:t>Table of Contents</w:t>
      </w:r>
    </w:p>
    <w:p w14:paraId="21C6C58F" w14:textId="77777777" w:rsidR="007732BD" w:rsidRPr="004E50E7" w:rsidRDefault="007732BD" w:rsidP="007732BD">
      <w:pPr>
        <w:rPr>
          <w:rFonts w:ascii="Calibri" w:hAnsi="Calibri"/>
          <w:b/>
          <w:sz w:val="22"/>
        </w:rPr>
      </w:pP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b/>
          <w:sz w:val="22"/>
        </w:rPr>
        <w:t>Page</w:t>
      </w:r>
    </w:p>
    <w:p w14:paraId="6195BAD1" w14:textId="0F143354" w:rsidR="007732BD" w:rsidRDefault="007732BD" w:rsidP="007732BD">
      <w:pPr>
        <w:pStyle w:val="Heading1"/>
        <w:rPr>
          <w:bCs w:val="0"/>
        </w:rPr>
      </w:pPr>
      <w:r w:rsidRPr="004E50E7">
        <w:rPr>
          <w:bCs w:val="0"/>
        </w:rPr>
        <w:tab/>
        <w:t xml:space="preserve">        </w:t>
      </w:r>
    </w:p>
    <w:p w14:paraId="1501E513" w14:textId="15FFF164" w:rsidR="001325AE" w:rsidRDefault="001325AE" w:rsidP="005D3FC9">
      <w:pPr>
        <w:pStyle w:val="ListParagraph"/>
        <w:numPr>
          <w:ilvl w:val="0"/>
          <w:numId w:val="14"/>
        </w:numPr>
        <w:rPr>
          <w:rFonts w:asciiTheme="minorHAnsi" w:hAnsiTheme="minorHAnsi" w:cstheme="minorHAnsi"/>
          <w:b/>
          <w:bCs/>
          <w:color w:val="002060"/>
        </w:rPr>
      </w:pPr>
      <w:r w:rsidRPr="001325AE">
        <w:rPr>
          <w:rFonts w:asciiTheme="minorHAnsi" w:hAnsiTheme="minorHAnsi" w:cstheme="minorHAnsi"/>
          <w:b/>
          <w:bCs/>
          <w:color w:val="002060"/>
        </w:rPr>
        <w:t>Executive Summary</w:t>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t>1</w:t>
      </w:r>
    </w:p>
    <w:p w14:paraId="2E469E5D" w14:textId="7BA52BC4" w:rsidR="00A42CCD" w:rsidRPr="00DA5235" w:rsidRDefault="00DA5235" w:rsidP="00DA5235">
      <w:pPr>
        <w:pStyle w:val="ListParagraph"/>
        <w:numPr>
          <w:ilvl w:val="0"/>
          <w:numId w:val="58"/>
        </w:numPr>
        <w:ind w:left="1440" w:hanging="720"/>
        <w:rPr>
          <w:rFonts w:asciiTheme="minorHAnsi" w:hAnsiTheme="minorHAnsi" w:cstheme="minorHAnsi"/>
          <w:b/>
          <w:bCs/>
          <w:color w:val="002060"/>
          <w:sz w:val="22"/>
          <w:szCs w:val="22"/>
        </w:rPr>
      </w:pPr>
      <w:r w:rsidRPr="00DA5235">
        <w:rPr>
          <w:rFonts w:asciiTheme="minorHAnsi" w:hAnsiTheme="minorHAnsi" w:cstheme="minorHAnsi"/>
          <w:b/>
          <w:bCs/>
          <w:color w:val="002060"/>
          <w:sz w:val="22"/>
          <w:szCs w:val="22"/>
        </w:rPr>
        <w:t>Summary of Housing Needs Assessment</w:t>
      </w:r>
      <w:r w:rsidRPr="00DA5235">
        <w:rPr>
          <w:rFonts w:asciiTheme="minorHAnsi" w:hAnsiTheme="minorHAnsi" w:cstheme="minorHAnsi"/>
          <w:b/>
          <w:bCs/>
          <w:color w:val="002060"/>
          <w:sz w:val="22"/>
          <w:szCs w:val="22"/>
        </w:rPr>
        <w:tab/>
      </w:r>
      <w:r w:rsidRPr="00DA5235">
        <w:rPr>
          <w:rFonts w:asciiTheme="minorHAnsi" w:hAnsiTheme="minorHAnsi" w:cstheme="minorHAnsi"/>
          <w:b/>
          <w:bCs/>
          <w:color w:val="002060"/>
          <w:sz w:val="22"/>
          <w:szCs w:val="22"/>
        </w:rPr>
        <w:tab/>
      </w:r>
      <w:r w:rsidRPr="00DA5235">
        <w:rPr>
          <w:rFonts w:asciiTheme="minorHAnsi" w:hAnsiTheme="minorHAnsi" w:cstheme="minorHAnsi"/>
          <w:b/>
          <w:bCs/>
          <w:color w:val="002060"/>
          <w:sz w:val="22"/>
          <w:szCs w:val="22"/>
        </w:rPr>
        <w:tab/>
        <w:t>2</w:t>
      </w:r>
    </w:p>
    <w:p w14:paraId="1A20FBFE" w14:textId="70BADB68" w:rsidR="00DA5235" w:rsidRPr="00DA5235" w:rsidRDefault="00DA5235" w:rsidP="00DA5235">
      <w:pPr>
        <w:pStyle w:val="ListParagraph"/>
        <w:numPr>
          <w:ilvl w:val="0"/>
          <w:numId w:val="58"/>
        </w:numPr>
        <w:ind w:left="1440" w:hanging="720"/>
        <w:rPr>
          <w:rFonts w:asciiTheme="minorHAnsi" w:hAnsiTheme="minorHAnsi" w:cstheme="minorHAnsi"/>
          <w:b/>
          <w:bCs/>
          <w:color w:val="002060"/>
          <w:sz w:val="22"/>
          <w:szCs w:val="22"/>
        </w:rPr>
      </w:pPr>
      <w:r w:rsidRPr="00DA5235">
        <w:rPr>
          <w:rFonts w:asciiTheme="minorHAnsi" w:hAnsiTheme="minorHAnsi" w:cstheme="minorHAnsi"/>
          <w:b/>
          <w:bCs/>
          <w:color w:val="002060"/>
          <w:sz w:val="22"/>
          <w:szCs w:val="22"/>
        </w:rPr>
        <w:t>Summary of Housing Strategies</w:t>
      </w:r>
      <w:r w:rsidRPr="00DA5235">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sidRPr="00DA5235">
        <w:rPr>
          <w:rFonts w:asciiTheme="minorHAnsi" w:hAnsiTheme="minorHAnsi" w:cstheme="minorHAnsi"/>
          <w:b/>
          <w:bCs/>
          <w:color w:val="002060"/>
          <w:sz w:val="22"/>
          <w:szCs w:val="22"/>
        </w:rPr>
        <w:tab/>
      </w:r>
      <w:r w:rsidRPr="00DA5235">
        <w:rPr>
          <w:rFonts w:asciiTheme="minorHAnsi" w:hAnsiTheme="minorHAnsi" w:cstheme="minorHAnsi"/>
          <w:b/>
          <w:bCs/>
          <w:color w:val="002060"/>
          <w:sz w:val="22"/>
          <w:szCs w:val="22"/>
        </w:rPr>
        <w:tab/>
      </w:r>
      <w:r w:rsidRPr="00DA5235">
        <w:rPr>
          <w:rFonts w:asciiTheme="minorHAnsi" w:hAnsiTheme="minorHAnsi" w:cstheme="minorHAnsi"/>
          <w:b/>
          <w:bCs/>
          <w:color w:val="002060"/>
          <w:sz w:val="22"/>
          <w:szCs w:val="22"/>
        </w:rPr>
        <w:tab/>
      </w:r>
      <w:r w:rsidR="0044610F">
        <w:rPr>
          <w:rFonts w:asciiTheme="minorHAnsi" w:hAnsiTheme="minorHAnsi" w:cstheme="minorHAnsi"/>
          <w:b/>
          <w:bCs/>
          <w:color w:val="002060"/>
          <w:sz w:val="22"/>
          <w:szCs w:val="22"/>
        </w:rPr>
        <w:t>7</w:t>
      </w:r>
    </w:p>
    <w:p w14:paraId="5A4898B9" w14:textId="77777777" w:rsidR="00DA5235" w:rsidRPr="001325AE" w:rsidRDefault="00DA5235" w:rsidP="00DA5235">
      <w:pPr>
        <w:pStyle w:val="ListParagraph"/>
        <w:ind w:left="1440"/>
        <w:rPr>
          <w:rFonts w:asciiTheme="minorHAnsi" w:hAnsiTheme="minorHAnsi" w:cstheme="minorHAnsi"/>
          <w:b/>
          <w:bCs/>
          <w:color w:val="002060"/>
        </w:rPr>
      </w:pPr>
    </w:p>
    <w:p w14:paraId="0B97B3A2" w14:textId="02A10B29" w:rsidR="001325AE" w:rsidRDefault="001325AE" w:rsidP="005D3FC9">
      <w:pPr>
        <w:pStyle w:val="ListParagraph"/>
        <w:numPr>
          <w:ilvl w:val="0"/>
          <w:numId w:val="14"/>
        </w:numPr>
        <w:rPr>
          <w:rFonts w:asciiTheme="minorHAnsi" w:hAnsiTheme="minorHAnsi" w:cstheme="minorHAnsi"/>
          <w:b/>
          <w:bCs/>
          <w:color w:val="002060"/>
        </w:rPr>
      </w:pPr>
      <w:r>
        <w:rPr>
          <w:rFonts w:asciiTheme="minorHAnsi" w:hAnsiTheme="minorHAnsi" w:cstheme="minorHAnsi"/>
          <w:b/>
          <w:bCs/>
          <w:color w:val="002060"/>
        </w:rPr>
        <w:t>Introduction</w:t>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5764FD">
        <w:rPr>
          <w:rFonts w:asciiTheme="minorHAnsi" w:hAnsiTheme="minorHAnsi" w:cstheme="minorHAnsi"/>
          <w:b/>
          <w:bCs/>
          <w:color w:val="002060"/>
        </w:rPr>
        <w:t>8</w:t>
      </w:r>
    </w:p>
    <w:p w14:paraId="44ABE2E1" w14:textId="524D9A8A" w:rsidR="00A42CCD" w:rsidRDefault="002224D1" w:rsidP="005D3FC9">
      <w:pPr>
        <w:pStyle w:val="ListParagraph"/>
        <w:numPr>
          <w:ilvl w:val="0"/>
          <w:numId w:val="20"/>
        </w:numPr>
        <w:ind w:left="1440" w:hanging="720"/>
        <w:rPr>
          <w:rFonts w:asciiTheme="minorHAnsi" w:hAnsiTheme="minorHAnsi" w:cstheme="minorHAnsi"/>
          <w:b/>
          <w:bCs/>
          <w:color w:val="002060"/>
          <w:sz w:val="22"/>
          <w:szCs w:val="22"/>
        </w:rPr>
      </w:pPr>
      <w:r>
        <w:rPr>
          <w:rFonts w:asciiTheme="minorHAnsi" w:hAnsiTheme="minorHAnsi" w:cstheme="minorHAnsi"/>
          <w:b/>
          <w:bCs/>
          <w:color w:val="002060"/>
          <w:sz w:val="22"/>
          <w:szCs w:val="22"/>
        </w:rPr>
        <w:t>Purpose of Project</w:t>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sidR="005764FD">
        <w:rPr>
          <w:rFonts w:asciiTheme="minorHAnsi" w:hAnsiTheme="minorHAnsi" w:cstheme="minorHAnsi"/>
          <w:b/>
          <w:bCs/>
          <w:color w:val="002060"/>
          <w:sz w:val="22"/>
          <w:szCs w:val="22"/>
        </w:rPr>
        <w:t>8</w:t>
      </w:r>
    </w:p>
    <w:p w14:paraId="71ECE689" w14:textId="41C4C337" w:rsidR="002224D1" w:rsidRDefault="002224D1" w:rsidP="005D3FC9">
      <w:pPr>
        <w:pStyle w:val="ListParagraph"/>
        <w:numPr>
          <w:ilvl w:val="0"/>
          <w:numId w:val="20"/>
        </w:numPr>
        <w:ind w:left="1440" w:hanging="720"/>
        <w:rPr>
          <w:rFonts w:asciiTheme="minorHAnsi" w:hAnsiTheme="minorHAnsi" w:cstheme="minorHAnsi"/>
          <w:b/>
          <w:bCs/>
          <w:color w:val="002060"/>
          <w:sz w:val="22"/>
          <w:szCs w:val="22"/>
        </w:rPr>
      </w:pPr>
      <w:r>
        <w:rPr>
          <w:rFonts w:asciiTheme="minorHAnsi" w:hAnsiTheme="minorHAnsi" w:cstheme="minorHAnsi"/>
          <w:b/>
          <w:bCs/>
          <w:color w:val="002060"/>
          <w:sz w:val="22"/>
          <w:szCs w:val="22"/>
        </w:rPr>
        <w:t>Town Overview</w:t>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sidR="005764FD">
        <w:rPr>
          <w:rFonts w:asciiTheme="minorHAnsi" w:hAnsiTheme="minorHAnsi" w:cstheme="minorHAnsi"/>
          <w:b/>
          <w:bCs/>
          <w:color w:val="002060"/>
          <w:sz w:val="22"/>
          <w:szCs w:val="22"/>
        </w:rPr>
        <w:t>9</w:t>
      </w:r>
    </w:p>
    <w:p w14:paraId="046FAB7E" w14:textId="748364B0" w:rsidR="002224D1" w:rsidRDefault="002224D1" w:rsidP="005D3FC9">
      <w:pPr>
        <w:pStyle w:val="ListParagraph"/>
        <w:numPr>
          <w:ilvl w:val="0"/>
          <w:numId w:val="20"/>
        </w:numPr>
        <w:ind w:left="1440" w:hanging="720"/>
        <w:rPr>
          <w:rFonts w:asciiTheme="minorHAnsi" w:hAnsiTheme="minorHAnsi" w:cstheme="minorHAnsi"/>
          <w:b/>
          <w:bCs/>
          <w:color w:val="002060"/>
          <w:sz w:val="22"/>
          <w:szCs w:val="22"/>
        </w:rPr>
      </w:pPr>
      <w:r>
        <w:rPr>
          <w:rFonts w:asciiTheme="minorHAnsi" w:hAnsiTheme="minorHAnsi" w:cstheme="minorHAnsi"/>
          <w:b/>
          <w:bCs/>
          <w:color w:val="002060"/>
          <w:sz w:val="22"/>
          <w:szCs w:val="22"/>
        </w:rPr>
        <w:t>Housing Goals</w:t>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sidR="00DA5235">
        <w:rPr>
          <w:rFonts w:asciiTheme="minorHAnsi" w:hAnsiTheme="minorHAnsi" w:cstheme="minorHAnsi"/>
          <w:b/>
          <w:bCs/>
          <w:color w:val="002060"/>
          <w:sz w:val="22"/>
          <w:szCs w:val="22"/>
        </w:rPr>
        <w:t>1</w:t>
      </w:r>
      <w:r w:rsidR="005764FD">
        <w:rPr>
          <w:rFonts w:asciiTheme="minorHAnsi" w:hAnsiTheme="minorHAnsi" w:cstheme="minorHAnsi"/>
          <w:b/>
          <w:bCs/>
          <w:color w:val="002060"/>
          <w:sz w:val="22"/>
          <w:szCs w:val="22"/>
        </w:rPr>
        <w:t>0</w:t>
      </w:r>
    </w:p>
    <w:p w14:paraId="18CC763D" w14:textId="65B7FC30" w:rsidR="002224D1" w:rsidRDefault="002224D1" w:rsidP="005D3FC9">
      <w:pPr>
        <w:pStyle w:val="ListParagraph"/>
        <w:numPr>
          <w:ilvl w:val="0"/>
          <w:numId w:val="20"/>
        </w:numPr>
        <w:ind w:left="1440" w:hanging="720"/>
        <w:rPr>
          <w:rFonts w:asciiTheme="minorHAnsi" w:hAnsiTheme="minorHAnsi" w:cstheme="minorHAnsi"/>
          <w:b/>
          <w:bCs/>
          <w:color w:val="002060"/>
          <w:sz w:val="22"/>
          <w:szCs w:val="22"/>
        </w:rPr>
      </w:pPr>
      <w:r>
        <w:rPr>
          <w:rFonts w:asciiTheme="minorHAnsi" w:hAnsiTheme="minorHAnsi" w:cstheme="minorHAnsi"/>
          <w:b/>
          <w:bCs/>
          <w:color w:val="002060"/>
          <w:sz w:val="22"/>
          <w:szCs w:val="22"/>
        </w:rPr>
        <w:t xml:space="preserve">Definition of Affordable Housing </w:t>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Pr>
          <w:rFonts w:asciiTheme="minorHAnsi" w:hAnsiTheme="minorHAnsi" w:cstheme="minorHAnsi"/>
          <w:b/>
          <w:bCs/>
          <w:color w:val="002060"/>
          <w:sz w:val="22"/>
          <w:szCs w:val="22"/>
        </w:rPr>
        <w:tab/>
      </w:r>
      <w:r w:rsidR="00DA5235">
        <w:rPr>
          <w:rFonts w:asciiTheme="minorHAnsi" w:hAnsiTheme="minorHAnsi" w:cstheme="minorHAnsi"/>
          <w:b/>
          <w:bCs/>
          <w:color w:val="002060"/>
          <w:sz w:val="22"/>
          <w:szCs w:val="22"/>
        </w:rPr>
        <w:t>1</w:t>
      </w:r>
      <w:r w:rsidR="005764FD">
        <w:rPr>
          <w:rFonts w:asciiTheme="minorHAnsi" w:hAnsiTheme="minorHAnsi" w:cstheme="minorHAnsi"/>
          <w:b/>
          <w:bCs/>
          <w:color w:val="002060"/>
          <w:sz w:val="22"/>
          <w:szCs w:val="22"/>
        </w:rPr>
        <w:t>1</w:t>
      </w:r>
    </w:p>
    <w:p w14:paraId="10F17721" w14:textId="77777777" w:rsidR="002224D1" w:rsidRPr="002224D1" w:rsidRDefault="002224D1" w:rsidP="002224D1">
      <w:pPr>
        <w:pStyle w:val="ListParagraph"/>
        <w:ind w:left="1440"/>
        <w:rPr>
          <w:rFonts w:asciiTheme="minorHAnsi" w:hAnsiTheme="minorHAnsi" w:cstheme="minorHAnsi"/>
          <w:b/>
          <w:bCs/>
          <w:color w:val="002060"/>
          <w:sz w:val="22"/>
          <w:szCs w:val="22"/>
        </w:rPr>
      </w:pPr>
    </w:p>
    <w:p w14:paraId="0D08545E" w14:textId="269B55C1" w:rsidR="001325AE" w:rsidRPr="001325AE" w:rsidRDefault="001325AE" w:rsidP="005D3FC9">
      <w:pPr>
        <w:pStyle w:val="ListParagraph"/>
        <w:numPr>
          <w:ilvl w:val="0"/>
          <w:numId w:val="14"/>
        </w:numPr>
        <w:rPr>
          <w:rFonts w:asciiTheme="minorHAnsi" w:hAnsiTheme="minorHAnsi" w:cstheme="minorHAnsi"/>
          <w:b/>
          <w:bCs/>
          <w:color w:val="002060"/>
        </w:rPr>
      </w:pPr>
      <w:r>
        <w:rPr>
          <w:rFonts w:asciiTheme="minorHAnsi" w:hAnsiTheme="minorHAnsi" w:cstheme="minorHAnsi"/>
          <w:b/>
          <w:bCs/>
          <w:color w:val="002060"/>
        </w:rPr>
        <w:t>Housing Needs Assessment</w:t>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r>
      <w:r w:rsidR="00DA5235">
        <w:rPr>
          <w:rFonts w:asciiTheme="minorHAnsi" w:hAnsiTheme="minorHAnsi" w:cstheme="minorHAnsi"/>
          <w:b/>
          <w:bCs/>
          <w:color w:val="002060"/>
        </w:rPr>
        <w:tab/>
        <w:t>1</w:t>
      </w:r>
      <w:r w:rsidR="005764FD">
        <w:rPr>
          <w:rFonts w:asciiTheme="minorHAnsi" w:hAnsiTheme="minorHAnsi" w:cstheme="minorHAnsi"/>
          <w:b/>
          <w:bCs/>
          <w:color w:val="002060"/>
        </w:rPr>
        <w:t>3</w:t>
      </w:r>
    </w:p>
    <w:p w14:paraId="482CC2C9" w14:textId="10D4E40C" w:rsidR="007732BD" w:rsidRPr="002224D1" w:rsidRDefault="007732BD" w:rsidP="007732BD">
      <w:pPr>
        <w:numPr>
          <w:ilvl w:val="1"/>
          <w:numId w:val="0"/>
        </w:numPr>
        <w:rPr>
          <w:rFonts w:ascii="Calibri" w:hAnsi="Calibri"/>
          <w:b/>
          <w:bCs/>
          <w:color w:val="002060"/>
          <w:sz w:val="22"/>
          <w:szCs w:val="22"/>
        </w:rPr>
      </w:pPr>
      <w:r>
        <w:rPr>
          <w:rFonts w:ascii="Calibri" w:hAnsi="Calibri"/>
          <w:sz w:val="22"/>
        </w:rPr>
        <w:t xml:space="preserve">     </w:t>
      </w:r>
      <w:r w:rsidRPr="002224D1">
        <w:rPr>
          <w:rFonts w:ascii="Calibri" w:hAnsi="Calibri"/>
          <w:color w:val="002060"/>
          <w:sz w:val="22"/>
        </w:rPr>
        <w:tab/>
      </w:r>
      <w:r w:rsidR="00650B44" w:rsidRPr="002224D1">
        <w:rPr>
          <w:rFonts w:ascii="Calibri" w:hAnsi="Calibri"/>
          <w:b/>
          <w:color w:val="002060"/>
          <w:sz w:val="22"/>
          <w:szCs w:val="22"/>
        </w:rPr>
        <w:t>A</w:t>
      </w:r>
      <w:r w:rsidR="002224D1">
        <w:rPr>
          <w:rFonts w:ascii="Calibri" w:hAnsi="Calibri"/>
          <w:b/>
          <w:color w:val="002060"/>
          <w:sz w:val="22"/>
          <w:szCs w:val="22"/>
        </w:rPr>
        <w:t>.</w:t>
      </w:r>
      <w:r w:rsidR="00650B44" w:rsidRPr="002224D1">
        <w:rPr>
          <w:rFonts w:ascii="Calibri" w:hAnsi="Calibri"/>
          <w:b/>
          <w:color w:val="002060"/>
          <w:sz w:val="22"/>
          <w:szCs w:val="22"/>
        </w:rPr>
        <w:tab/>
      </w:r>
      <w:r w:rsidRPr="002224D1">
        <w:rPr>
          <w:rFonts w:ascii="Calibri" w:hAnsi="Calibri"/>
          <w:b/>
          <w:bCs/>
          <w:color w:val="002060"/>
          <w:sz w:val="22"/>
          <w:szCs w:val="22"/>
        </w:rPr>
        <w:t>Demographic Profile</w:t>
      </w:r>
      <w:r w:rsidRPr="002224D1">
        <w:rPr>
          <w:rFonts w:ascii="Calibri" w:hAnsi="Calibri"/>
          <w:b/>
          <w:bCs/>
          <w:color w:val="002060"/>
          <w:sz w:val="22"/>
          <w:szCs w:val="22"/>
        </w:rPr>
        <w:tab/>
      </w:r>
      <w:r w:rsidR="00DA5235">
        <w:rPr>
          <w:rFonts w:ascii="Calibri" w:hAnsi="Calibri"/>
          <w:b/>
          <w:bCs/>
          <w:color w:val="002060"/>
          <w:sz w:val="22"/>
          <w:szCs w:val="22"/>
        </w:rPr>
        <w:tab/>
      </w:r>
      <w:r w:rsidR="00DA5235">
        <w:rPr>
          <w:rFonts w:ascii="Calibri" w:hAnsi="Calibri"/>
          <w:b/>
          <w:bCs/>
          <w:color w:val="002060"/>
          <w:sz w:val="22"/>
          <w:szCs w:val="22"/>
        </w:rPr>
        <w:tab/>
      </w:r>
      <w:r w:rsidRPr="002224D1">
        <w:rPr>
          <w:rFonts w:ascii="Calibri" w:hAnsi="Calibri"/>
          <w:b/>
          <w:bCs/>
          <w:color w:val="002060"/>
          <w:sz w:val="22"/>
          <w:szCs w:val="22"/>
        </w:rPr>
        <w:tab/>
      </w:r>
      <w:r w:rsidRPr="002224D1">
        <w:rPr>
          <w:rFonts w:ascii="Calibri" w:hAnsi="Calibri"/>
          <w:b/>
          <w:bCs/>
          <w:color w:val="002060"/>
          <w:sz w:val="22"/>
          <w:szCs w:val="22"/>
        </w:rPr>
        <w:tab/>
      </w:r>
      <w:r w:rsidRPr="002224D1">
        <w:rPr>
          <w:rFonts w:ascii="Calibri" w:hAnsi="Calibri"/>
          <w:b/>
          <w:bCs/>
          <w:color w:val="002060"/>
          <w:sz w:val="22"/>
          <w:szCs w:val="22"/>
        </w:rPr>
        <w:tab/>
        <w:t>1</w:t>
      </w:r>
      <w:r w:rsidR="005764FD">
        <w:rPr>
          <w:rFonts w:ascii="Calibri" w:hAnsi="Calibri"/>
          <w:b/>
          <w:bCs/>
          <w:color w:val="002060"/>
          <w:sz w:val="22"/>
          <w:szCs w:val="22"/>
        </w:rPr>
        <w:t>3</w:t>
      </w:r>
    </w:p>
    <w:p w14:paraId="78397135" w14:textId="1586CD43" w:rsidR="007732BD" w:rsidRPr="004E50E7" w:rsidRDefault="007732BD" w:rsidP="007732BD">
      <w:pPr>
        <w:ind w:left="720"/>
        <w:rPr>
          <w:rFonts w:ascii="Calibri" w:hAnsi="Calibri"/>
          <w:sz w:val="22"/>
        </w:rPr>
      </w:pPr>
      <w:r w:rsidRPr="004E50E7">
        <w:rPr>
          <w:rFonts w:ascii="Calibri" w:hAnsi="Calibri"/>
          <w:sz w:val="22"/>
        </w:rPr>
        <w:t>1</w:t>
      </w:r>
      <w:r w:rsidRPr="004E50E7">
        <w:rPr>
          <w:rFonts w:ascii="Calibri" w:hAnsi="Calibri"/>
          <w:sz w:val="22"/>
        </w:rPr>
        <w:tab/>
        <w:t>Population Growth</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t>1</w:t>
      </w:r>
      <w:r w:rsidR="005764FD">
        <w:rPr>
          <w:rFonts w:ascii="Calibri" w:hAnsi="Calibri"/>
          <w:sz w:val="22"/>
        </w:rPr>
        <w:t>3</w:t>
      </w:r>
    </w:p>
    <w:p w14:paraId="4EB8F670" w14:textId="33B22A52" w:rsidR="007732BD" w:rsidRPr="004E50E7" w:rsidRDefault="007732BD" w:rsidP="007732BD">
      <w:pPr>
        <w:ind w:left="720"/>
        <w:rPr>
          <w:rFonts w:ascii="Calibri" w:hAnsi="Calibri"/>
          <w:sz w:val="22"/>
        </w:rPr>
      </w:pPr>
      <w:r w:rsidRPr="004E50E7">
        <w:rPr>
          <w:rFonts w:ascii="Calibri" w:hAnsi="Calibri"/>
          <w:sz w:val="22"/>
        </w:rPr>
        <w:t>2</w:t>
      </w:r>
      <w:r w:rsidRPr="004E50E7">
        <w:rPr>
          <w:rFonts w:ascii="Calibri" w:hAnsi="Calibri"/>
          <w:sz w:val="22"/>
        </w:rPr>
        <w:tab/>
        <w:t>Race</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DA5235">
        <w:rPr>
          <w:rFonts w:ascii="Calibri" w:hAnsi="Calibri"/>
          <w:sz w:val="22"/>
        </w:rPr>
        <w:t>1</w:t>
      </w:r>
      <w:r w:rsidR="005764FD">
        <w:rPr>
          <w:rFonts w:ascii="Calibri" w:hAnsi="Calibri"/>
          <w:sz w:val="22"/>
        </w:rPr>
        <w:t>4</w:t>
      </w:r>
    </w:p>
    <w:p w14:paraId="28D30E04" w14:textId="2263B9EC" w:rsidR="007732BD" w:rsidRPr="004E50E7" w:rsidRDefault="007732BD" w:rsidP="007732BD">
      <w:pPr>
        <w:numPr>
          <w:ilvl w:val="2"/>
          <w:numId w:val="0"/>
        </w:numPr>
        <w:ind w:firstLine="720"/>
        <w:rPr>
          <w:rFonts w:ascii="Calibri" w:hAnsi="Calibri"/>
          <w:sz w:val="22"/>
        </w:rPr>
      </w:pPr>
      <w:r w:rsidRPr="004E50E7">
        <w:rPr>
          <w:rFonts w:ascii="Calibri" w:hAnsi="Calibri"/>
          <w:sz w:val="22"/>
        </w:rPr>
        <w:t>3</w:t>
      </w:r>
      <w:r w:rsidRPr="004E50E7">
        <w:rPr>
          <w:rFonts w:ascii="Calibri" w:hAnsi="Calibri"/>
          <w:sz w:val="22"/>
        </w:rPr>
        <w:tab/>
        <w:t>Age Distribution</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DA5235">
        <w:rPr>
          <w:rFonts w:ascii="Calibri" w:hAnsi="Calibri"/>
          <w:sz w:val="22"/>
        </w:rPr>
        <w:t>1</w:t>
      </w:r>
      <w:r w:rsidR="005764FD">
        <w:rPr>
          <w:rFonts w:ascii="Calibri" w:hAnsi="Calibri"/>
          <w:sz w:val="22"/>
        </w:rPr>
        <w:t>5</w:t>
      </w:r>
    </w:p>
    <w:p w14:paraId="43CD7570" w14:textId="4A16DC0F" w:rsidR="00650B44" w:rsidRDefault="007732BD" w:rsidP="007732BD">
      <w:pPr>
        <w:ind w:left="720"/>
        <w:rPr>
          <w:rFonts w:ascii="Calibri" w:hAnsi="Calibri"/>
          <w:sz w:val="22"/>
        </w:rPr>
      </w:pPr>
      <w:r w:rsidRPr="004E50E7">
        <w:rPr>
          <w:rFonts w:ascii="Calibri" w:hAnsi="Calibri"/>
          <w:sz w:val="22"/>
        </w:rPr>
        <w:t>4</w:t>
      </w:r>
      <w:r w:rsidRPr="004E50E7">
        <w:rPr>
          <w:rFonts w:ascii="Calibri" w:hAnsi="Calibri"/>
          <w:sz w:val="22"/>
        </w:rPr>
        <w:tab/>
        <w:t>Households</w:t>
      </w:r>
      <w:r w:rsidRPr="004E50E7">
        <w:rPr>
          <w:rFonts w:ascii="Calibri" w:hAnsi="Calibri"/>
          <w:sz w:val="22"/>
        </w:rPr>
        <w:tab/>
      </w:r>
      <w:r w:rsidR="00211173">
        <w:rPr>
          <w:rFonts w:ascii="Calibri" w:hAnsi="Calibri"/>
          <w:sz w:val="22"/>
        </w:rPr>
        <w:tab/>
      </w:r>
      <w:r w:rsidR="00211173">
        <w:rPr>
          <w:rFonts w:ascii="Calibri" w:hAnsi="Calibri"/>
          <w:sz w:val="22"/>
        </w:rPr>
        <w:tab/>
      </w:r>
      <w:r w:rsidR="00211173">
        <w:rPr>
          <w:rFonts w:ascii="Calibri" w:hAnsi="Calibri"/>
          <w:sz w:val="22"/>
        </w:rPr>
        <w:tab/>
      </w:r>
      <w:r w:rsidR="00211173">
        <w:rPr>
          <w:rFonts w:ascii="Calibri" w:hAnsi="Calibri"/>
          <w:sz w:val="22"/>
        </w:rPr>
        <w:tab/>
      </w:r>
      <w:r w:rsidR="00211173">
        <w:rPr>
          <w:rFonts w:ascii="Calibri" w:hAnsi="Calibri"/>
          <w:sz w:val="22"/>
        </w:rPr>
        <w:tab/>
      </w:r>
      <w:r w:rsidR="00211173">
        <w:rPr>
          <w:rFonts w:ascii="Calibri" w:hAnsi="Calibri"/>
          <w:sz w:val="22"/>
        </w:rPr>
        <w:tab/>
      </w:r>
      <w:r w:rsidR="00DA5235">
        <w:rPr>
          <w:rFonts w:ascii="Calibri" w:hAnsi="Calibri"/>
          <w:sz w:val="22"/>
        </w:rPr>
        <w:t>2</w:t>
      </w:r>
      <w:r w:rsidR="005764FD">
        <w:rPr>
          <w:rFonts w:ascii="Calibri" w:hAnsi="Calibri"/>
          <w:sz w:val="22"/>
        </w:rPr>
        <w:t>4</w:t>
      </w:r>
    </w:p>
    <w:p w14:paraId="3C1F1631" w14:textId="77777777" w:rsidR="00650B44" w:rsidRDefault="00650B44" w:rsidP="007732BD">
      <w:pPr>
        <w:ind w:left="720"/>
        <w:rPr>
          <w:rFonts w:ascii="Calibri" w:hAnsi="Calibri"/>
          <w:sz w:val="22"/>
        </w:rPr>
      </w:pPr>
    </w:p>
    <w:p w14:paraId="0FA31ABD" w14:textId="5C724785" w:rsidR="007732BD" w:rsidRPr="002224D1" w:rsidRDefault="00650B44" w:rsidP="007732BD">
      <w:pPr>
        <w:ind w:left="720"/>
        <w:rPr>
          <w:rFonts w:ascii="Calibri" w:hAnsi="Calibri"/>
          <w:color w:val="002060"/>
          <w:sz w:val="22"/>
          <w:szCs w:val="22"/>
        </w:rPr>
      </w:pPr>
      <w:r w:rsidRPr="002224D1">
        <w:rPr>
          <w:rFonts w:ascii="Calibri" w:hAnsi="Calibri"/>
          <w:b/>
          <w:color w:val="002060"/>
          <w:sz w:val="22"/>
          <w:szCs w:val="22"/>
        </w:rPr>
        <w:t>B</w:t>
      </w:r>
      <w:r w:rsidR="002224D1">
        <w:rPr>
          <w:rFonts w:ascii="Calibri" w:hAnsi="Calibri"/>
          <w:b/>
          <w:color w:val="002060"/>
          <w:sz w:val="22"/>
          <w:szCs w:val="22"/>
        </w:rPr>
        <w:t>.</w:t>
      </w:r>
      <w:r w:rsidRPr="002224D1">
        <w:rPr>
          <w:rFonts w:ascii="Calibri" w:hAnsi="Calibri"/>
          <w:b/>
          <w:color w:val="002060"/>
          <w:sz w:val="22"/>
          <w:szCs w:val="22"/>
        </w:rPr>
        <w:tab/>
        <w:t>Economic Profile</w:t>
      </w:r>
      <w:r w:rsidRPr="002224D1">
        <w:rPr>
          <w:rFonts w:ascii="Calibri" w:hAnsi="Calibri"/>
          <w:b/>
          <w:color w:val="002060"/>
          <w:sz w:val="22"/>
          <w:szCs w:val="22"/>
        </w:rPr>
        <w:tab/>
      </w:r>
      <w:r w:rsidRPr="002224D1">
        <w:rPr>
          <w:rFonts w:ascii="Calibri" w:hAnsi="Calibri"/>
          <w:b/>
          <w:color w:val="002060"/>
          <w:sz w:val="22"/>
          <w:szCs w:val="22"/>
        </w:rPr>
        <w:tab/>
      </w:r>
      <w:r w:rsidRPr="002224D1">
        <w:rPr>
          <w:rFonts w:ascii="Calibri" w:hAnsi="Calibri"/>
          <w:b/>
          <w:color w:val="002060"/>
          <w:sz w:val="22"/>
          <w:szCs w:val="22"/>
        </w:rPr>
        <w:tab/>
      </w:r>
      <w:r w:rsidRPr="002224D1">
        <w:rPr>
          <w:rFonts w:ascii="Calibri" w:hAnsi="Calibri"/>
          <w:b/>
          <w:color w:val="002060"/>
          <w:sz w:val="22"/>
          <w:szCs w:val="22"/>
        </w:rPr>
        <w:tab/>
      </w:r>
      <w:r w:rsidR="007732BD" w:rsidRPr="002224D1">
        <w:rPr>
          <w:rFonts w:ascii="Calibri" w:hAnsi="Calibri"/>
          <w:color w:val="002060"/>
          <w:sz w:val="22"/>
          <w:szCs w:val="22"/>
        </w:rPr>
        <w:tab/>
      </w:r>
      <w:r w:rsidR="007732BD" w:rsidRPr="002224D1">
        <w:rPr>
          <w:rFonts w:ascii="Calibri" w:hAnsi="Calibri"/>
          <w:color w:val="002060"/>
          <w:sz w:val="22"/>
          <w:szCs w:val="22"/>
        </w:rPr>
        <w:tab/>
      </w:r>
      <w:r w:rsidR="00DA5235" w:rsidRPr="00DA5235">
        <w:rPr>
          <w:rFonts w:ascii="Calibri" w:hAnsi="Calibri"/>
          <w:b/>
          <w:bCs/>
          <w:color w:val="002060"/>
          <w:sz w:val="22"/>
          <w:szCs w:val="22"/>
        </w:rPr>
        <w:t>2</w:t>
      </w:r>
      <w:r w:rsidR="005764FD">
        <w:rPr>
          <w:rFonts w:ascii="Calibri" w:hAnsi="Calibri"/>
          <w:b/>
          <w:bCs/>
          <w:color w:val="002060"/>
          <w:sz w:val="22"/>
          <w:szCs w:val="22"/>
        </w:rPr>
        <w:t>7</w:t>
      </w:r>
    </w:p>
    <w:p w14:paraId="7F457C54" w14:textId="44345026" w:rsidR="007732BD" w:rsidRPr="004E50E7" w:rsidRDefault="00650B44" w:rsidP="007732BD">
      <w:pPr>
        <w:ind w:left="720"/>
        <w:rPr>
          <w:rFonts w:ascii="Calibri" w:hAnsi="Calibri"/>
          <w:sz w:val="22"/>
        </w:rPr>
      </w:pPr>
      <w:r>
        <w:rPr>
          <w:rFonts w:ascii="Calibri" w:hAnsi="Calibri"/>
          <w:sz w:val="22"/>
        </w:rPr>
        <w:t>1</w:t>
      </w:r>
      <w:r w:rsidR="007732BD" w:rsidRPr="004E50E7">
        <w:rPr>
          <w:rFonts w:ascii="Calibri" w:hAnsi="Calibri"/>
          <w:sz w:val="22"/>
        </w:rPr>
        <w:t xml:space="preserve"> </w:t>
      </w:r>
      <w:r w:rsidR="007732BD" w:rsidRPr="004E50E7">
        <w:rPr>
          <w:rFonts w:ascii="Calibri" w:hAnsi="Calibri"/>
          <w:sz w:val="22"/>
        </w:rPr>
        <w:tab/>
        <w:t>Income</w:t>
      </w:r>
      <w:r w:rsidR="0044610F">
        <w:rPr>
          <w:rFonts w:ascii="Calibri" w:hAnsi="Calibri"/>
          <w:sz w:val="22"/>
        </w:rPr>
        <w:tab/>
      </w:r>
      <w:r w:rsidR="00DA5235">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2</w:t>
      </w:r>
      <w:r w:rsidR="005764FD">
        <w:rPr>
          <w:rFonts w:ascii="Calibri" w:hAnsi="Calibri"/>
          <w:sz w:val="22"/>
        </w:rPr>
        <w:t>7</w:t>
      </w:r>
    </w:p>
    <w:p w14:paraId="27BFA125" w14:textId="0B0BF89F" w:rsidR="007732BD" w:rsidRPr="004E50E7" w:rsidRDefault="00650B44" w:rsidP="007732BD">
      <w:pPr>
        <w:ind w:left="720"/>
        <w:rPr>
          <w:rFonts w:ascii="Calibri" w:hAnsi="Calibri"/>
          <w:sz w:val="22"/>
        </w:rPr>
      </w:pPr>
      <w:r>
        <w:rPr>
          <w:rFonts w:ascii="Calibri" w:hAnsi="Calibri"/>
          <w:sz w:val="22"/>
        </w:rPr>
        <w:t>2</w:t>
      </w:r>
      <w:r w:rsidR="007732BD" w:rsidRPr="004E50E7">
        <w:rPr>
          <w:rFonts w:ascii="Calibri" w:hAnsi="Calibri"/>
          <w:sz w:val="22"/>
        </w:rPr>
        <w:tab/>
        <w:t>Poverty Status</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3</w:t>
      </w:r>
      <w:r w:rsidR="005764FD">
        <w:rPr>
          <w:rFonts w:ascii="Calibri" w:hAnsi="Calibri"/>
          <w:sz w:val="22"/>
        </w:rPr>
        <w:t>1</w:t>
      </w:r>
    </w:p>
    <w:p w14:paraId="7D95E161" w14:textId="6D5E7EC7" w:rsidR="007732BD" w:rsidRPr="004E50E7" w:rsidRDefault="00650B44" w:rsidP="007732BD">
      <w:pPr>
        <w:ind w:left="720"/>
        <w:rPr>
          <w:rFonts w:ascii="Calibri" w:hAnsi="Calibri"/>
          <w:sz w:val="22"/>
        </w:rPr>
      </w:pPr>
      <w:r>
        <w:rPr>
          <w:rFonts w:ascii="Calibri" w:hAnsi="Calibri"/>
          <w:sz w:val="22"/>
        </w:rPr>
        <w:t>3</w:t>
      </w:r>
      <w:r w:rsidR="007732BD" w:rsidRPr="004E50E7">
        <w:rPr>
          <w:rFonts w:ascii="Calibri" w:hAnsi="Calibri"/>
          <w:sz w:val="22"/>
        </w:rPr>
        <w:tab/>
        <w:t>Employment</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3</w:t>
      </w:r>
      <w:r w:rsidR="005764FD">
        <w:rPr>
          <w:rFonts w:ascii="Calibri" w:hAnsi="Calibri"/>
          <w:sz w:val="22"/>
        </w:rPr>
        <w:t>1</w:t>
      </w:r>
    </w:p>
    <w:p w14:paraId="79F43760" w14:textId="78A99689" w:rsidR="007732BD" w:rsidRPr="004E50E7" w:rsidRDefault="00650B44" w:rsidP="007732BD">
      <w:pPr>
        <w:ind w:left="720"/>
        <w:rPr>
          <w:rFonts w:ascii="Calibri" w:hAnsi="Calibri"/>
          <w:sz w:val="22"/>
        </w:rPr>
      </w:pPr>
      <w:r>
        <w:rPr>
          <w:rFonts w:ascii="Calibri" w:hAnsi="Calibri"/>
          <w:sz w:val="22"/>
        </w:rPr>
        <w:t>4</w:t>
      </w:r>
      <w:r w:rsidR="007732BD" w:rsidRPr="004E50E7">
        <w:rPr>
          <w:rFonts w:ascii="Calibri" w:hAnsi="Calibri"/>
          <w:sz w:val="22"/>
        </w:rPr>
        <w:tab/>
        <w:t>Education</w:t>
      </w:r>
      <w:r w:rsidR="007732BD" w:rsidRPr="004E50E7">
        <w:rPr>
          <w:rFonts w:ascii="Calibri" w:hAnsi="Calibri"/>
          <w:sz w:val="22"/>
        </w:rPr>
        <w:tab/>
      </w:r>
      <w:r w:rsidR="007732BD" w:rsidRPr="004E50E7">
        <w:rPr>
          <w:rFonts w:ascii="Calibri" w:hAnsi="Calibri"/>
          <w:sz w:val="22"/>
        </w:rPr>
        <w:tab/>
        <w:t xml:space="preserve"> </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3</w:t>
      </w:r>
      <w:r w:rsidR="005764FD">
        <w:rPr>
          <w:rFonts w:ascii="Calibri" w:hAnsi="Calibri"/>
          <w:sz w:val="22"/>
        </w:rPr>
        <w:t>3</w:t>
      </w:r>
    </w:p>
    <w:p w14:paraId="28FD68DE" w14:textId="4B8590D2" w:rsidR="007732BD" w:rsidRPr="004E50E7" w:rsidRDefault="00650B44" w:rsidP="007732BD">
      <w:pPr>
        <w:ind w:left="720"/>
        <w:rPr>
          <w:rFonts w:ascii="Calibri" w:hAnsi="Calibri"/>
          <w:sz w:val="22"/>
        </w:rPr>
      </w:pPr>
      <w:r>
        <w:rPr>
          <w:rFonts w:ascii="Calibri" w:hAnsi="Calibri"/>
          <w:sz w:val="22"/>
        </w:rPr>
        <w:t>5</w:t>
      </w:r>
      <w:r w:rsidR="007732BD" w:rsidRPr="004E50E7">
        <w:rPr>
          <w:rFonts w:ascii="Calibri" w:hAnsi="Calibri"/>
          <w:sz w:val="22"/>
        </w:rPr>
        <w:tab/>
        <w:t>Disability Status</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3</w:t>
      </w:r>
      <w:r w:rsidR="005764FD">
        <w:rPr>
          <w:rFonts w:ascii="Calibri" w:hAnsi="Calibri"/>
          <w:sz w:val="22"/>
        </w:rPr>
        <w:t>5</w:t>
      </w:r>
    </w:p>
    <w:p w14:paraId="1CACE464" w14:textId="674EA918" w:rsidR="007732BD" w:rsidRPr="004E50E7" w:rsidRDefault="00650B44" w:rsidP="007732BD">
      <w:pPr>
        <w:ind w:firstLine="720"/>
        <w:rPr>
          <w:rFonts w:ascii="Calibri" w:hAnsi="Calibri"/>
          <w:b/>
          <w:bCs/>
          <w:sz w:val="22"/>
        </w:rPr>
      </w:pPr>
      <w:r>
        <w:rPr>
          <w:rFonts w:ascii="Calibri" w:hAnsi="Calibri"/>
          <w:sz w:val="22"/>
        </w:rPr>
        <w:t>6</w:t>
      </w:r>
      <w:r w:rsidR="007732BD" w:rsidRPr="004E50E7">
        <w:rPr>
          <w:rFonts w:ascii="Calibri" w:hAnsi="Calibri"/>
          <w:sz w:val="22"/>
        </w:rPr>
        <w:tab/>
        <w:t>Resident Mobility</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DA5235">
        <w:rPr>
          <w:rFonts w:ascii="Calibri" w:hAnsi="Calibri"/>
          <w:sz w:val="22"/>
        </w:rPr>
        <w:t>3</w:t>
      </w:r>
      <w:r w:rsidR="005764FD">
        <w:rPr>
          <w:rFonts w:ascii="Calibri" w:hAnsi="Calibri"/>
          <w:sz w:val="22"/>
        </w:rPr>
        <w:t>5</w:t>
      </w:r>
      <w:r w:rsidR="007732BD" w:rsidRPr="004E50E7">
        <w:rPr>
          <w:rFonts w:ascii="Calibri" w:hAnsi="Calibri"/>
          <w:b/>
          <w:bCs/>
          <w:sz w:val="22"/>
        </w:rPr>
        <w:tab/>
      </w:r>
    </w:p>
    <w:p w14:paraId="2FC29EB4" w14:textId="77777777" w:rsidR="007732BD" w:rsidRPr="004E50E7" w:rsidRDefault="007732BD" w:rsidP="007732BD">
      <w:pPr>
        <w:ind w:firstLine="720"/>
        <w:rPr>
          <w:rFonts w:ascii="Calibri" w:hAnsi="Calibri"/>
          <w:b/>
          <w:bCs/>
          <w:sz w:val="22"/>
        </w:rPr>
      </w:pPr>
    </w:p>
    <w:p w14:paraId="584F3914" w14:textId="2CC7FE7C" w:rsidR="007732BD" w:rsidRPr="002224D1" w:rsidRDefault="00650B44" w:rsidP="007732BD">
      <w:pPr>
        <w:ind w:firstLine="720"/>
        <w:rPr>
          <w:rFonts w:ascii="Calibri" w:hAnsi="Calibri"/>
          <w:b/>
          <w:bCs/>
          <w:color w:val="002060"/>
          <w:sz w:val="22"/>
          <w:szCs w:val="22"/>
        </w:rPr>
      </w:pPr>
      <w:r w:rsidRPr="002224D1">
        <w:rPr>
          <w:rFonts w:ascii="Calibri" w:hAnsi="Calibri"/>
          <w:b/>
          <w:bCs/>
          <w:color w:val="002060"/>
          <w:sz w:val="22"/>
          <w:szCs w:val="22"/>
        </w:rPr>
        <w:t>C</w:t>
      </w:r>
      <w:r w:rsidR="002224D1">
        <w:rPr>
          <w:rFonts w:ascii="Calibri" w:hAnsi="Calibri"/>
          <w:b/>
          <w:bCs/>
          <w:color w:val="002060"/>
          <w:sz w:val="22"/>
          <w:szCs w:val="22"/>
        </w:rPr>
        <w:t>.</w:t>
      </w:r>
      <w:r w:rsidRPr="002224D1">
        <w:rPr>
          <w:rFonts w:ascii="Calibri" w:hAnsi="Calibri"/>
          <w:b/>
          <w:bCs/>
          <w:color w:val="002060"/>
          <w:sz w:val="22"/>
          <w:szCs w:val="22"/>
        </w:rPr>
        <w:tab/>
      </w:r>
      <w:r w:rsidR="007732BD" w:rsidRPr="002224D1">
        <w:rPr>
          <w:rFonts w:ascii="Calibri" w:hAnsi="Calibri"/>
          <w:b/>
          <w:bCs/>
          <w:color w:val="002060"/>
          <w:sz w:val="22"/>
          <w:szCs w:val="22"/>
        </w:rPr>
        <w:t>Housing Profile</w:t>
      </w:r>
      <w:r w:rsidR="007732BD" w:rsidRPr="002224D1">
        <w:rPr>
          <w:rFonts w:ascii="Calibri" w:hAnsi="Calibri"/>
          <w:b/>
          <w:bCs/>
          <w:color w:val="002060"/>
          <w:sz w:val="22"/>
          <w:szCs w:val="22"/>
        </w:rPr>
        <w:tab/>
      </w:r>
      <w:r w:rsidR="007732BD" w:rsidRPr="002224D1">
        <w:rPr>
          <w:rFonts w:ascii="Calibri" w:hAnsi="Calibri"/>
          <w:b/>
          <w:bCs/>
          <w:color w:val="002060"/>
          <w:sz w:val="22"/>
          <w:szCs w:val="22"/>
        </w:rPr>
        <w:tab/>
      </w:r>
      <w:r w:rsidR="007732BD" w:rsidRPr="002224D1">
        <w:rPr>
          <w:rFonts w:ascii="Calibri" w:hAnsi="Calibri"/>
          <w:b/>
          <w:bCs/>
          <w:color w:val="002060"/>
          <w:sz w:val="22"/>
          <w:szCs w:val="22"/>
        </w:rPr>
        <w:tab/>
      </w:r>
      <w:r w:rsidR="007732BD" w:rsidRPr="002224D1">
        <w:rPr>
          <w:rFonts w:ascii="Calibri" w:hAnsi="Calibri"/>
          <w:b/>
          <w:bCs/>
          <w:color w:val="002060"/>
          <w:sz w:val="22"/>
          <w:szCs w:val="22"/>
        </w:rPr>
        <w:tab/>
      </w:r>
      <w:r w:rsidR="007732BD" w:rsidRPr="002224D1">
        <w:rPr>
          <w:rFonts w:ascii="Calibri" w:hAnsi="Calibri"/>
          <w:b/>
          <w:bCs/>
          <w:color w:val="002060"/>
          <w:sz w:val="22"/>
          <w:szCs w:val="22"/>
        </w:rPr>
        <w:tab/>
      </w:r>
      <w:r w:rsidR="007732BD" w:rsidRPr="002224D1">
        <w:rPr>
          <w:rFonts w:ascii="Calibri" w:hAnsi="Calibri"/>
          <w:b/>
          <w:bCs/>
          <w:color w:val="002060"/>
          <w:sz w:val="22"/>
          <w:szCs w:val="22"/>
        </w:rPr>
        <w:tab/>
      </w:r>
      <w:r w:rsidR="001325AE" w:rsidRPr="002224D1">
        <w:rPr>
          <w:rFonts w:ascii="Calibri" w:hAnsi="Calibri"/>
          <w:b/>
          <w:bCs/>
          <w:color w:val="002060"/>
          <w:sz w:val="22"/>
          <w:szCs w:val="22"/>
        </w:rPr>
        <w:tab/>
      </w:r>
      <w:r w:rsidR="00DA5235">
        <w:rPr>
          <w:rFonts w:ascii="Calibri" w:hAnsi="Calibri"/>
          <w:b/>
          <w:bCs/>
          <w:color w:val="002060"/>
          <w:sz w:val="22"/>
          <w:szCs w:val="22"/>
        </w:rPr>
        <w:t>3</w:t>
      </w:r>
      <w:r w:rsidR="005764FD">
        <w:rPr>
          <w:rFonts w:ascii="Calibri" w:hAnsi="Calibri"/>
          <w:b/>
          <w:bCs/>
          <w:color w:val="002060"/>
          <w:sz w:val="22"/>
          <w:szCs w:val="22"/>
        </w:rPr>
        <w:t>6</w:t>
      </w:r>
    </w:p>
    <w:p w14:paraId="724D9E5D" w14:textId="71B0D7AD" w:rsidR="007732BD" w:rsidRDefault="007732BD" w:rsidP="007732BD">
      <w:pPr>
        <w:ind w:left="720"/>
        <w:rPr>
          <w:rFonts w:ascii="Calibri" w:hAnsi="Calibri"/>
          <w:sz w:val="22"/>
        </w:rPr>
      </w:pPr>
      <w:r w:rsidRPr="004E50E7">
        <w:rPr>
          <w:rFonts w:ascii="Calibri" w:hAnsi="Calibri"/>
          <w:sz w:val="22"/>
        </w:rPr>
        <w:t>1</w:t>
      </w:r>
      <w:r w:rsidRPr="004E50E7">
        <w:rPr>
          <w:rFonts w:ascii="Calibri" w:hAnsi="Calibri"/>
          <w:sz w:val="22"/>
        </w:rPr>
        <w:tab/>
        <w:t>Housing Growth</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DA5235">
        <w:rPr>
          <w:rFonts w:ascii="Calibri" w:hAnsi="Calibri"/>
          <w:sz w:val="22"/>
        </w:rPr>
        <w:t>3</w:t>
      </w:r>
      <w:r w:rsidR="005764FD">
        <w:rPr>
          <w:rFonts w:ascii="Calibri" w:hAnsi="Calibri"/>
          <w:sz w:val="22"/>
        </w:rPr>
        <w:t>6</w:t>
      </w:r>
    </w:p>
    <w:p w14:paraId="26C1376B" w14:textId="7AA70FE2" w:rsidR="00650B44" w:rsidRPr="004E50E7" w:rsidRDefault="00650B44" w:rsidP="007732BD">
      <w:pPr>
        <w:ind w:left="720"/>
        <w:rPr>
          <w:rFonts w:ascii="Calibri" w:hAnsi="Calibri"/>
          <w:sz w:val="22"/>
        </w:rPr>
      </w:pPr>
      <w:r>
        <w:rPr>
          <w:rFonts w:ascii="Calibri" w:hAnsi="Calibri"/>
          <w:sz w:val="22"/>
        </w:rPr>
        <w:t>2</w:t>
      </w:r>
      <w:r>
        <w:rPr>
          <w:rFonts w:ascii="Calibri" w:hAnsi="Calibri"/>
          <w:sz w:val="22"/>
        </w:rPr>
        <w:tab/>
        <w:t>Housing Occupancy</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DA5235">
        <w:rPr>
          <w:rFonts w:ascii="Calibri" w:hAnsi="Calibri"/>
          <w:sz w:val="22"/>
        </w:rPr>
        <w:t>3</w:t>
      </w:r>
      <w:r w:rsidR="005764FD">
        <w:rPr>
          <w:rFonts w:ascii="Calibri" w:hAnsi="Calibri"/>
          <w:sz w:val="22"/>
        </w:rPr>
        <w:t>8</w:t>
      </w:r>
    </w:p>
    <w:p w14:paraId="5D77D16C" w14:textId="380C9A38" w:rsidR="007732BD" w:rsidRPr="004E50E7" w:rsidRDefault="00650B44" w:rsidP="007732BD">
      <w:pPr>
        <w:ind w:left="720"/>
        <w:rPr>
          <w:rFonts w:ascii="Calibri" w:hAnsi="Calibri"/>
          <w:sz w:val="22"/>
        </w:rPr>
      </w:pPr>
      <w:r>
        <w:rPr>
          <w:rFonts w:ascii="Calibri" w:hAnsi="Calibri"/>
          <w:sz w:val="22"/>
        </w:rPr>
        <w:t>3</w:t>
      </w:r>
      <w:r w:rsidR="007732BD" w:rsidRPr="004E50E7">
        <w:rPr>
          <w:rFonts w:ascii="Calibri" w:hAnsi="Calibri"/>
          <w:sz w:val="22"/>
        </w:rPr>
        <w:tab/>
        <w:t>Types of Structures and Units</w:t>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7732BD" w:rsidRPr="004E50E7">
        <w:rPr>
          <w:rFonts w:ascii="Calibri" w:hAnsi="Calibri"/>
          <w:sz w:val="22"/>
        </w:rPr>
        <w:tab/>
      </w:r>
      <w:r w:rsidR="005764FD">
        <w:rPr>
          <w:rFonts w:ascii="Calibri" w:hAnsi="Calibri"/>
          <w:sz w:val="22"/>
        </w:rPr>
        <w:t>39</w:t>
      </w:r>
    </w:p>
    <w:p w14:paraId="58A9F5FF" w14:textId="4D4E9B7D" w:rsidR="007732BD" w:rsidRPr="004E50E7" w:rsidRDefault="007732BD" w:rsidP="007732BD">
      <w:pPr>
        <w:ind w:left="720"/>
        <w:rPr>
          <w:rFonts w:ascii="Calibri" w:hAnsi="Calibri"/>
          <w:sz w:val="22"/>
        </w:rPr>
      </w:pPr>
      <w:r w:rsidRPr="004E50E7">
        <w:rPr>
          <w:rFonts w:ascii="Calibri" w:hAnsi="Calibri"/>
          <w:sz w:val="22"/>
        </w:rPr>
        <w:t>4</w:t>
      </w:r>
      <w:r w:rsidRPr="004E50E7">
        <w:rPr>
          <w:rFonts w:ascii="Calibri" w:hAnsi="Calibri"/>
          <w:sz w:val="22"/>
        </w:rPr>
        <w:tab/>
        <w:t>Housing Values</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DA5235">
        <w:rPr>
          <w:rFonts w:ascii="Calibri" w:hAnsi="Calibri"/>
          <w:sz w:val="22"/>
        </w:rPr>
        <w:t>4</w:t>
      </w:r>
      <w:r w:rsidR="005764FD">
        <w:rPr>
          <w:rFonts w:ascii="Calibri" w:hAnsi="Calibri"/>
          <w:sz w:val="22"/>
        </w:rPr>
        <w:t>2</w:t>
      </w:r>
    </w:p>
    <w:p w14:paraId="0B4F28B5" w14:textId="072D2D68" w:rsidR="007732BD" w:rsidRPr="004E50E7" w:rsidRDefault="007732BD" w:rsidP="007732BD">
      <w:pPr>
        <w:ind w:left="720"/>
        <w:rPr>
          <w:rFonts w:ascii="Calibri" w:hAnsi="Calibri"/>
          <w:sz w:val="22"/>
        </w:rPr>
      </w:pPr>
      <w:r w:rsidRPr="004E50E7">
        <w:rPr>
          <w:rFonts w:ascii="Calibri" w:hAnsi="Calibri"/>
          <w:sz w:val="22"/>
        </w:rPr>
        <w:t>5</w:t>
      </w:r>
      <w:r w:rsidRPr="004E50E7">
        <w:rPr>
          <w:rFonts w:ascii="Calibri" w:hAnsi="Calibri"/>
          <w:sz w:val="22"/>
        </w:rPr>
        <w:tab/>
        <w:t>Affordability Analysis</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4D0EAA">
        <w:rPr>
          <w:rFonts w:ascii="Calibri" w:hAnsi="Calibri"/>
          <w:sz w:val="22"/>
        </w:rPr>
        <w:t>5</w:t>
      </w:r>
      <w:r w:rsidR="005764FD">
        <w:rPr>
          <w:rFonts w:ascii="Calibri" w:hAnsi="Calibri"/>
          <w:sz w:val="22"/>
        </w:rPr>
        <w:t>0</w:t>
      </w:r>
    </w:p>
    <w:p w14:paraId="76D95EE6" w14:textId="3774492F" w:rsidR="007732BD" w:rsidRDefault="007732BD" w:rsidP="007732BD">
      <w:pPr>
        <w:ind w:left="720"/>
        <w:rPr>
          <w:rFonts w:ascii="Calibri" w:hAnsi="Calibri"/>
          <w:sz w:val="22"/>
        </w:rPr>
      </w:pPr>
      <w:r w:rsidRPr="004E50E7">
        <w:rPr>
          <w:rFonts w:ascii="Calibri" w:hAnsi="Calibri"/>
          <w:sz w:val="22"/>
        </w:rPr>
        <w:t>6</w:t>
      </w:r>
      <w:r w:rsidRPr="004E50E7">
        <w:rPr>
          <w:rFonts w:ascii="Calibri" w:hAnsi="Calibri"/>
          <w:sz w:val="22"/>
        </w:rPr>
        <w:tab/>
        <w:t>Subsidized Housing Inventory</w:t>
      </w:r>
      <w:r w:rsidR="004D0EAA">
        <w:rPr>
          <w:rFonts w:ascii="Calibri" w:hAnsi="Calibri"/>
          <w:sz w:val="22"/>
        </w:rPr>
        <w:t xml:space="preserve"> (SHI)</w:t>
      </w:r>
      <w:r w:rsidRPr="004E50E7">
        <w:rPr>
          <w:rFonts w:ascii="Calibri" w:hAnsi="Calibri"/>
          <w:sz w:val="22"/>
        </w:rPr>
        <w:tab/>
      </w:r>
      <w:r w:rsidRPr="004E50E7">
        <w:rPr>
          <w:rFonts w:ascii="Calibri" w:hAnsi="Calibri"/>
          <w:sz w:val="22"/>
        </w:rPr>
        <w:tab/>
      </w:r>
      <w:r w:rsidRPr="004E50E7">
        <w:rPr>
          <w:rFonts w:ascii="Calibri" w:hAnsi="Calibri"/>
          <w:sz w:val="22"/>
        </w:rPr>
        <w:tab/>
      </w:r>
      <w:r w:rsidRPr="004E50E7">
        <w:rPr>
          <w:rFonts w:ascii="Calibri" w:hAnsi="Calibri"/>
          <w:sz w:val="22"/>
        </w:rPr>
        <w:tab/>
      </w:r>
      <w:r w:rsidR="004D0EAA">
        <w:rPr>
          <w:rFonts w:ascii="Calibri" w:hAnsi="Calibri"/>
          <w:sz w:val="22"/>
        </w:rPr>
        <w:t>6</w:t>
      </w:r>
      <w:r w:rsidR="005764FD">
        <w:rPr>
          <w:rFonts w:ascii="Calibri" w:hAnsi="Calibri"/>
          <w:sz w:val="22"/>
        </w:rPr>
        <w:t>0</w:t>
      </w:r>
    </w:p>
    <w:p w14:paraId="73FBB5EA" w14:textId="3E40A107" w:rsidR="004D0EAA" w:rsidRPr="004E50E7" w:rsidRDefault="004D0EAA" w:rsidP="007732BD">
      <w:pPr>
        <w:ind w:left="720"/>
        <w:rPr>
          <w:rFonts w:ascii="Calibri" w:hAnsi="Calibri"/>
          <w:sz w:val="22"/>
        </w:rPr>
      </w:pPr>
      <w:r>
        <w:rPr>
          <w:rFonts w:ascii="Calibri" w:hAnsi="Calibri"/>
          <w:sz w:val="22"/>
        </w:rPr>
        <w:t>7</w:t>
      </w:r>
      <w:r>
        <w:rPr>
          <w:rFonts w:ascii="Calibri" w:hAnsi="Calibri"/>
          <w:sz w:val="22"/>
        </w:rPr>
        <w:tab/>
        <w:t>Priority Housing Needs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6</w:t>
      </w:r>
      <w:r w:rsidR="005764FD">
        <w:rPr>
          <w:rFonts w:ascii="Calibri" w:hAnsi="Calibri"/>
          <w:sz w:val="22"/>
        </w:rPr>
        <w:t>6</w:t>
      </w:r>
    </w:p>
    <w:p w14:paraId="0C1A91C6" w14:textId="77777777" w:rsidR="007732BD" w:rsidRPr="004E50E7" w:rsidRDefault="007732BD" w:rsidP="007732BD">
      <w:pPr>
        <w:ind w:firstLine="720"/>
        <w:rPr>
          <w:rFonts w:ascii="Calibri" w:hAnsi="Calibri"/>
          <w:b/>
          <w:bCs/>
          <w:sz w:val="22"/>
        </w:rPr>
      </w:pPr>
    </w:p>
    <w:p w14:paraId="725701EA" w14:textId="39E7BB16" w:rsidR="00955D97" w:rsidRDefault="001325AE" w:rsidP="005D3FC9">
      <w:pPr>
        <w:pStyle w:val="Header"/>
        <w:numPr>
          <w:ilvl w:val="0"/>
          <w:numId w:val="14"/>
        </w:numPr>
        <w:rPr>
          <w:rFonts w:ascii="Calibri" w:hAnsi="Calibri"/>
          <w:b/>
          <w:color w:val="002060"/>
        </w:rPr>
      </w:pPr>
      <w:r>
        <w:rPr>
          <w:rFonts w:ascii="Calibri" w:hAnsi="Calibri"/>
          <w:b/>
          <w:color w:val="002060"/>
        </w:rPr>
        <w:t>Housing Strategies</w:t>
      </w:r>
      <w:r w:rsidR="004D0EAA">
        <w:rPr>
          <w:rFonts w:ascii="Calibri" w:hAnsi="Calibri"/>
          <w:b/>
          <w:color w:val="002060"/>
        </w:rPr>
        <w:t>/yet to be prepared</w:t>
      </w:r>
      <w:r w:rsidR="00BC4528">
        <w:rPr>
          <w:rFonts w:ascii="Calibri" w:hAnsi="Calibri"/>
          <w:b/>
          <w:color w:val="002060"/>
        </w:rPr>
        <w:tab/>
      </w:r>
      <w:r w:rsidR="00BC4528">
        <w:rPr>
          <w:rFonts w:ascii="Calibri" w:hAnsi="Calibri"/>
          <w:b/>
          <w:color w:val="002060"/>
        </w:rPr>
        <w:tab/>
      </w:r>
    </w:p>
    <w:p w14:paraId="21EFCA64" w14:textId="45DAF360" w:rsidR="001325AE" w:rsidRPr="001325AE" w:rsidRDefault="00BC4528" w:rsidP="001325AE">
      <w:pPr>
        <w:ind w:left="720" w:right="-720"/>
        <w:rPr>
          <w:rFonts w:ascii="Calibri" w:hAnsi="Calibri"/>
          <w:b/>
          <w:bCs/>
          <w:color w:val="002060"/>
        </w:rPr>
      </w:pPr>
      <w:r>
        <w:rPr>
          <w:rFonts w:ascii="Calibri" w:hAnsi="Calibri"/>
          <w:b/>
          <w:bCs/>
          <w:color w:val="002060"/>
        </w:rPr>
        <w:t>A</w:t>
      </w:r>
      <w:r w:rsidR="001325AE" w:rsidRPr="001325AE">
        <w:rPr>
          <w:rFonts w:ascii="Calibri" w:hAnsi="Calibri"/>
          <w:b/>
          <w:bCs/>
          <w:color w:val="002060"/>
        </w:rPr>
        <w:t>ppendices</w:t>
      </w:r>
    </w:p>
    <w:p w14:paraId="1F7D91BB" w14:textId="3626CC6F" w:rsidR="00BC4528" w:rsidRDefault="001325AE" w:rsidP="001325AE">
      <w:pPr>
        <w:ind w:left="720" w:right="-720"/>
        <w:rPr>
          <w:rFonts w:ascii="Calibri" w:hAnsi="Calibri"/>
          <w:sz w:val="22"/>
          <w:szCs w:val="28"/>
        </w:rPr>
      </w:pPr>
      <w:r>
        <w:rPr>
          <w:rFonts w:ascii="Calibri" w:hAnsi="Calibri"/>
          <w:sz w:val="22"/>
          <w:szCs w:val="28"/>
        </w:rPr>
        <w:t xml:space="preserve">Appendix 1: </w:t>
      </w:r>
      <w:r w:rsidR="00E81639">
        <w:rPr>
          <w:rFonts w:ascii="Calibri" w:hAnsi="Calibri"/>
          <w:sz w:val="22"/>
          <w:szCs w:val="28"/>
        </w:rPr>
        <w:t>Housing and Zoning Analysis</w:t>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t>7</w:t>
      </w:r>
      <w:r w:rsidR="005764FD">
        <w:rPr>
          <w:rFonts w:ascii="Calibri" w:hAnsi="Calibri"/>
          <w:sz w:val="22"/>
          <w:szCs w:val="28"/>
        </w:rPr>
        <w:t>8</w:t>
      </w:r>
    </w:p>
    <w:p w14:paraId="1543453B" w14:textId="5762E68F" w:rsidR="001325AE" w:rsidRDefault="001325AE" w:rsidP="001325AE">
      <w:pPr>
        <w:ind w:left="720" w:right="-720"/>
        <w:rPr>
          <w:rFonts w:ascii="Calibri" w:hAnsi="Calibri"/>
          <w:sz w:val="22"/>
          <w:szCs w:val="28"/>
        </w:rPr>
      </w:pPr>
      <w:r>
        <w:rPr>
          <w:rFonts w:ascii="Calibri" w:hAnsi="Calibri"/>
          <w:sz w:val="22"/>
          <w:szCs w:val="28"/>
        </w:rPr>
        <w:t xml:space="preserve">Appendix </w:t>
      </w:r>
      <w:r w:rsidR="00920BC9">
        <w:rPr>
          <w:rFonts w:ascii="Calibri" w:hAnsi="Calibri"/>
          <w:sz w:val="22"/>
          <w:szCs w:val="28"/>
        </w:rPr>
        <w:t>2</w:t>
      </w:r>
      <w:r>
        <w:rPr>
          <w:rFonts w:ascii="Calibri" w:hAnsi="Calibri"/>
          <w:sz w:val="22"/>
          <w:szCs w:val="28"/>
        </w:rPr>
        <w:t>: Glossary of Housing Terms</w:t>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t>9</w:t>
      </w:r>
      <w:r w:rsidR="00000356">
        <w:rPr>
          <w:rFonts w:ascii="Calibri" w:hAnsi="Calibri"/>
          <w:sz w:val="22"/>
          <w:szCs w:val="28"/>
        </w:rPr>
        <w:t>2</w:t>
      </w:r>
    </w:p>
    <w:p w14:paraId="31DB7ED4" w14:textId="46614648" w:rsidR="001325AE" w:rsidRDefault="001325AE" w:rsidP="001325AE">
      <w:pPr>
        <w:ind w:left="720" w:right="-720"/>
        <w:rPr>
          <w:rFonts w:ascii="Calibri" w:hAnsi="Calibri"/>
          <w:sz w:val="22"/>
          <w:szCs w:val="28"/>
        </w:rPr>
      </w:pPr>
      <w:r>
        <w:rPr>
          <w:rFonts w:ascii="Calibri" w:hAnsi="Calibri"/>
          <w:sz w:val="22"/>
          <w:szCs w:val="28"/>
        </w:rPr>
        <w:t xml:space="preserve">Appendix </w:t>
      </w:r>
      <w:r w:rsidR="00920BC9">
        <w:rPr>
          <w:rFonts w:ascii="Calibri" w:hAnsi="Calibri"/>
          <w:sz w:val="22"/>
          <w:szCs w:val="28"/>
        </w:rPr>
        <w:t>3</w:t>
      </w:r>
      <w:r>
        <w:rPr>
          <w:rFonts w:ascii="Calibri" w:hAnsi="Calibri"/>
          <w:sz w:val="22"/>
          <w:szCs w:val="28"/>
        </w:rPr>
        <w:t>: Summary of Housing Regulations and Resources</w:t>
      </w:r>
      <w:r w:rsidR="004D0EAA">
        <w:rPr>
          <w:rFonts w:ascii="Calibri" w:hAnsi="Calibri"/>
          <w:sz w:val="22"/>
          <w:szCs w:val="28"/>
        </w:rPr>
        <w:tab/>
      </w:r>
      <w:r w:rsidR="004D0EAA">
        <w:rPr>
          <w:rFonts w:ascii="Calibri" w:hAnsi="Calibri"/>
          <w:sz w:val="22"/>
          <w:szCs w:val="28"/>
        </w:rPr>
        <w:tab/>
        <w:t>9</w:t>
      </w:r>
      <w:r w:rsidR="00000356">
        <w:rPr>
          <w:rFonts w:ascii="Calibri" w:hAnsi="Calibri"/>
          <w:sz w:val="22"/>
          <w:szCs w:val="28"/>
        </w:rPr>
        <w:t>8</w:t>
      </w:r>
    </w:p>
    <w:p w14:paraId="42A16E7E" w14:textId="62CD9405" w:rsidR="001325AE" w:rsidRDefault="001325AE" w:rsidP="001325AE">
      <w:pPr>
        <w:ind w:left="720" w:right="-720"/>
        <w:rPr>
          <w:rFonts w:ascii="Calibri" w:hAnsi="Calibri"/>
          <w:sz w:val="22"/>
          <w:szCs w:val="28"/>
        </w:rPr>
      </w:pPr>
      <w:r>
        <w:rPr>
          <w:rFonts w:ascii="Calibri" w:hAnsi="Calibri"/>
          <w:sz w:val="22"/>
          <w:szCs w:val="28"/>
        </w:rPr>
        <w:t xml:space="preserve">Appendix </w:t>
      </w:r>
      <w:r w:rsidR="00920BC9">
        <w:rPr>
          <w:rFonts w:ascii="Calibri" w:hAnsi="Calibri"/>
          <w:sz w:val="22"/>
          <w:szCs w:val="28"/>
        </w:rPr>
        <w:t>4</w:t>
      </w:r>
      <w:r>
        <w:rPr>
          <w:rFonts w:ascii="Calibri" w:hAnsi="Calibri"/>
          <w:sz w:val="22"/>
          <w:szCs w:val="28"/>
        </w:rPr>
        <w:t xml:space="preserve">: Map of </w:t>
      </w:r>
      <w:r w:rsidR="00010FF4">
        <w:rPr>
          <w:rFonts w:ascii="Calibri" w:hAnsi="Calibri"/>
          <w:sz w:val="22"/>
          <w:szCs w:val="28"/>
        </w:rPr>
        <w:t>Multi-family Housing</w:t>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r>
      <w:r w:rsidR="004D0EAA">
        <w:rPr>
          <w:rFonts w:ascii="Calibri" w:hAnsi="Calibri"/>
          <w:sz w:val="22"/>
          <w:szCs w:val="28"/>
        </w:rPr>
        <w:tab/>
        <w:t>1</w:t>
      </w:r>
      <w:r w:rsidR="00000356">
        <w:rPr>
          <w:rFonts w:ascii="Calibri" w:hAnsi="Calibri"/>
          <w:sz w:val="22"/>
          <w:szCs w:val="28"/>
        </w:rPr>
        <w:t>20</w:t>
      </w:r>
    </w:p>
    <w:p w14:paraId="62E50049" w14:textId="2B003C2E" w:rsidR="005B7E7D" w:rsidRDefault="005B7E7D" w:rsidP="005A7763">
      <w:pPr>
        <w:rPr>
          <w:rFonts w:ascii="Calibri" w:hAnsi="Calibri"/>
          <w:b/>
          <w:bCs/>
        </w:rPr>
      </w:pPr>
    </w:p>
    <w:p w14:paraId="5CCBEAED" w14:textId="045F9BB4" w:rsidR="005A7763" w:rsidRDefault="005A7763" w:rsidP="005A7763">
      <w:pPr>
        <w:rPr>
          <w:rFonts w:ascii="Calibri" w:hAnsi="Calibri"/>
          <w:b/>
          <w:bCs/>
        </w:rPr>
      </w:pPr>
      <w:r>
        <w:rPr>
          <w:rFonts w:ascii="Calibri" w:hAnsi="Calibri"/>
          <w:b/>
          <w:bCs/>
        </w:rPr>
        <w:t xml:space="preserve">List of Tables </w:t>
      </w:r>
    </w:p>
    <w:p w14:paraId="1503B0E7" w14:textId="77777777" w:rsidR="00D07E5A" w:rsidRDefault="005A7763" w:rsidP="00C57243">
      <w:pPr>
        <w:pStyle w:val="CommentText"/>
        <w:spacing w:line="240" w:lineRule="auto"/>
        <w:rPr>
          <w:rFonts w:ascii="Calibri" w:hAnsi="Calibri"/>
        </w:rPr>
      </w:pPr>
      <w:r>
        <w:rPr>
          <w:rFonts w:ascii="Calibri" w:hAnsi="Calibri"/>
        </w:rPr>
        <w:t xml:space="preserve">Table </w:t>
      </w:r>
      <w:r w:rsidR="007D57F0">
        <w:rPr>
          <w:rFonts w:ascii="Calibri" w:hAnsi="Calibri"/>
        </w:rPr>
        <w:t>I</w:t>
      </w:r>
      <w:r w:rsidR="00654BB0">
        <w:rPr>
          <w:rFonts w:ascii="Calibri" w:hAnsi="Calibri"/>
        </w:rPr>
        <w:t>I</w:t>
      </w:r>
      <w:r>
        <w:rPr>
          <w:rFonts w:ascii="Calibri" w:hAnsi="Calibri"/>
        </w:rPr>
        <w:t>-1:</w:t>
      </w:r>
      <w:r w:rsidR="007D57F0">
        <w:rPr>
          <w:rFonts w:ascii="Calibri" w:hAnsi="Calibri"/>
        </w:rPr>
        <w:t xml:space="preserve"> HUD Income Limits</w:t>
      </w:r>
      <w:r w:rsidR="00D07E5A">
        <w:rPr>
          <w:rFonts w:ascii="Calibri" w:hAnsi="Calibri"/>
        </w:rPr>
        <w:t xml:space="preserve"> for Boston-Cambridge-Quincy MA-NH Metro</w:t>
      </w:r>
    </w:p>
    <w:p w14:paraId="5F3E4E55" w14:textId="2EBF9D69" w:rsidR="00D07E5A" w:rsidRDefault="00D07E5A" w:rsidP="00C57243">
      <w:pPr>
        <w:pStyle w:val="CommentText"/>
        <w:spacing w:line="240" w:lineRule="auto"/>
        <w:rPr>
          <w:rFonts w:ascii="Calibri" w:hAnsi="Calibri"/>
        </w:rPr>
      </w:pPr>
      <w:r>
        <w:rPr>
          <w:rFonts w:ascii="Calibri" w:hAnsi="Calibri"/>
        </w:rPr>
        <w:t>Area, 2021</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r w:rsidR="005764FD">
        <w:rPr>
          <w:rFonts w:ascii="Calibri" w:hAnsi="Calibri"/>
        </w:rPr>
        <w:t>1</w:t>
      </w:r>
    </w:p>
    <w:p w14:paraId="65047B8F" w14:textId="7ED1F4F3" w:rsidR="005A7763" w:rsidRDefault="005A7763" w:rsidP="005A7763">
      <w:pPr>
        <w:pStyle w:val="CommentText"/>
        <w:spacing w:line="240" w:lineRule="auto"/>
        <w:rPr>
          <w:rFonts w:ascii="Calibri" w:hAnsi="Calibri"/>
        </w:rPr>
      </w:pPr>
      <w:r>
        <w:rPr>
          <w:rFonts w:ascii="Calibri" w:hAnsi="Calibri"/>
        </w:rPr>
        <w:t xml:space="preserve">Table </w:t>
      </w:r>
      <w:r w:rsidR="00654BB0">
        <w:rPr>
          <w:rFonts w:ascii="Calibri" w:hAnsi="Calibri"/>
        </w:rPr>
        <w:t>III</w:t>
      </w:r>
      <w:r>
        <w:rPr>
          <w:rFonts w:ascii="Calibri" w:hAnsi="Calibri"/>
        </w:rPr>
        <w:t>-1: Population Change, 1930 to 20</w:t>
      </w:r>
      <w:r w:rsidR="00D07E5A">
        <w:rPr>
          <w:rFonts w:ascii="Calibri" w:hAnsi="Calibri"/>
        </w:rPr>
        <w:t>20</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r w:rsidR="005764FD">
        <w:rPr>
          <w:rFonts w:ascii="Calibri" w:hAnsi="Calibri"/>
        </w:rPr>
        <w:t>3</w:t>
      </w:r>
    </w:p>
    <w:p w14:paraId="3E364EFD" w14:textId="73E4DE52" w:rsidR="00D07E5A" w:rsidRDefault="00D07E5A" w:rsidP="005A7763">
      <w:pPr>
        <w:rPr>
          <w:rFonts w:ascii="Calibri" w:hAnsi="Calibri"/>
          <w:sz w:val="22"/>
        </w:rPr>
      </w:pPr>
      <w:r>
        <w:rPr>
          <w:rFonts w:ascii="Calibri" w:hAnsi="Calibri"/>
          <w:sz w:val="22"/>
        </w:rPr>
        <w:t>Table III-2: Racial Distribution, 2000, 2010 and 2020</w:t>
      </w:r>
      <w:r>
        <w:rPr>
          <w:rFonts w:ascii="Calibri" w:hAnsi="Calibri"/>
          <w:sz w:val="22"/>
        </w:rPr>
        <w:tab/>
      </w:r>
      <w:r>
        <w:rPr>
          <w:rFonts w:ascii="Calibri" w:hAnsi="Calibri"/>
          <w:sz w:val="22"/>
        </w:rPr>
        <w:tab/>
      </w:r>
      <w:r>
        <w:rPr>
          <w:rFonts w:ascii="Calibri" w:hAnsi="Calibri"/>
          <w:sz w:val="22"/>
        </w:rPr>
        <w:tab/>
      </w:r>
      <w:r>
        <w:rPr>
          <w:rFonts w:ascii="Calibri" w:hAnsi="Calibri"/>
          <w:sz w:val="22"/>
        </w:rPr>
        <w:tab/>
        <w:t>1</w:t>
      </w:r>
      <w:r w:rsidR="005764FD">
        <w:rPr>
          <w:rFonts w:ascii="Calibri" w:hAnsi="Calibri"/>
          <w:sz w:val="22"/>
        </w:rPr>
        <w:t>5</w:t>
      </w:r>
    </w:p>
    <w:p w14:paraId="78051CD9" w14:textId="17518B62"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D07E5A">
        <w:rPr>
          <w:rFonts w:ascii="Calibri" w:hAnsi="Calibri"/>
          <w:sz w:val="22"/>
        </w:rPr>
        <w:t>3</w:t>
      </w:r>
      <w:r>
        <w:rPr>
          <w:rFonts w:ascii="Calibri" w:hAnsi="Calibri"/>
          <w:sz w:val="22"/>
        </w:rPr>
        <w:t>: Age Distribution, 1990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D07E5A">
        <w:rPr>
          <w:rFonts w:ascii="Calibri" w:hAnsi="Calibri"/>
          <w:sz w:val="22"/>
        </w:rPr>
        <w:t>1</w:t>
      </w:r>
      <w:r w:rsidR="005764FD">
        <w:rPr>
          <w:rFonts w:ascii="Calibri" w:hAnsi="Calibri"/>
          <w:sz w:val="22"/>
        </w:rPr>
        <w:t>5</w:t>
      </w:r>
    </w:p>
    <w:p w14:paraId="7730B35B" w14:textId="782A12E5"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-3: Age Distribution, 2010 and Future Projections</w:t>
      </w:r>
      <w:r>
        <w:rPr>
          <w:rFonts w:ascii="Calibri" w:hAnsi="Calibri"/>
          <w:sz w:val="22"/>
        </w:rPr>
        <w:tab/>
      </w:r>
      <w:r>
        <w:rPr>
          <w:rFonts w:ascii="Calibri" w:hAnsi="Calibri"/>
          <w:sz w:val="22"/>
        </w:rPr>
        <w:tab/>
      </w:r>
      <w:r>
        <w:rPr>
          <w:rFonts w:ascii="Calibri" w:hAnsi="Calibri"/>
          <w:sz w:val="22"/>
        </w:rPr>
        <w:tab/>
        <w:t>1</w:t>
      </w:r>
      <w:r w:rsidR="005764FD">
        <w:rPr>
          <w:rFonts w:ascii="Calibri" w:hAnsi="Calibri"/>
          <w:sz w:val="22"/>
        </w:rPr>
        <w:t>5</w:t>
      </w:r>
    </w:p>
    <w:p w14:paraId="55CED9CB" w14:textId="5922D229" w:rsidR="00D07E5A" w:rsidRDefault="00D07E5A" w:rsidP="005A7763">
      <w:pPr>
        <w:rPr>
          <w:rFonts w:ascii="Calibri" w:hAnsi="Calibri"/>
          <w:sz w:val="22"/>
        </w:rPr>
      </w:pPr>
      <w:r>
        <w:rPr>
          <w:rFonts w:ascii="Calibri" w:hAnsi="Calibri"/>
          <w:sz w:val="22"/>
        </w:rPr>
        <w:t>Table III-4: Age Distribution</w:t>
      </w:r>
      <w:r w:rsidR="003508E8">
        <w:rPr>
          <w:rFonts w:ascii="Calibri" w:hAnsi="Calibri"/>
          <w:sz w:val="22"/>
        </w:rPr>
        <w:t>, MAPC Population Projections</w:t>
      </w:r>
      <w:r w:rsidR="003508E8">
        <w:rPr>
          <w:rFonts w:ascii="Calibri" w:hAnsi="Calibri"/>
          <w:sz w:val="22"/>
        </w:rPr>
        <w:tab/>
      </w:r>
      <w:r w:rsidR="003508E8">
        <w:rPr>
          <w:rFonts w:ascii="Calibri" w:hAnsi="Calibri"/>
          <w:sz w:val="22"/>
        </w:rPr>
        <w:tab/>
      </w:r>
      <w:r w:rsidR="003508E8">
        <w:rPr>
          <w:rFonts w:ascii="Calibri" w:hAnsi="Calibri"/>
          <w:sz w:val="22"/>
        </w:rPr>
        <w:tab/>
        <w:t>1</w:t>
      </w:r>
      <w:r w:rsidR="005764FD">
        <w:rPr>
          <w:rFonts w:ascii="Calibri" w:hAnsi="Calibri"/>
          <w:sz w:val="22"/>
        </w:rPr>
        <w:t>8</w:t>
      </w:r>
    </w:p>
    <w:p w14:paraId="3CEB844D" w14:textId="09884957" w:rsidR="001A3D4B" w:rsidRDefault="001A3D4B" w:rsidP="005A7763">
      <w:pPr>
        <w:rPr>
          <w:rFonts w:ascii="Calibri" w:hAnsi="Calibri"/>
          <w:sz w:val="22"/>
        </w:rPr>
      </w:pPr>
      <w:r>
        <w:rPr>
          <w:rFonts w:ascii="Calibri" w:hAnsi="Calibri"/>
          <w:sz w:val="22"/>
        </w:rPr>
        <w:t>Table III-5: 2020/2030 MAPC Population Projections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5764FD">
        <w:rPr>
          <w:rFonts w:ascii="Calibri" w:hAnsi="Calibri"/>
          <w:sz w:val="22"/>
        </w:rPr>
        <w:t>19</w:t>
      </w:r>
    </w:p>
    <w:p w14:paraId="2922C33A" w14:textId="575AE5EB" w:rsidR="001A3D4B" w:rsidRDefault="001A3D4B" w:rsidP="005A7763">
      <w:pPr>
        <w:rPr>
          <w:rFonts w:ascii="Calibri" w:hAnsi="Calibri"/>
          <w:sz w:val="22"/>
        </w:rPr>
      </w:pPr>
      <w:r>
        <w:rPr>
          <w:rFonts w:ascii="Calibri" w:hAnsi="Calibri"/>
          <w:sz w:val="22"/>
        </w:rPr>
        <w:t>Table III-6: State Data Center Population Projections</w:t>
      </w:r>
      <w:r>
        <w:rPr>
          <w:rFonts w:ascii="Calibri" w:hAnsi="Calibri"/>
          <w:sz w:val="22"/>
        </w:rPr>
        <w:tab/>
      </w:r>
      <w:r>
        <w:rPr>
          <w:rFonts w:ascii="Calibri" w:hAnsi="Calibri"/>
          <w:sz w:val="22"/>
        </w:rPr>
        <w:tab/>
      </w:r>
      <w:r>
        <w:rPr>
          <w:rFonts w:ascii="Calibri" w:hAnsi="Calibri"/>
          <w:sz w:val="22"/>
        </w:rPr>
        <w:tab/>
      </w:r>
      <w:r>
        <w:rPr>
          <w:rFonts w:ascii="Calibri" w:hAnsi="Calibri"/>
          <w:sz w:val="22"/>
        </w:rPr>
        <w:tab/>
        <w:t>2</w:t>
      </w:r>
      <w:r w:rsidR="005764FD">
        <w:rPr>
          <w:rFonts w:ascii="Calibri" w:hAnsi="Calibri"/>
          <w:sz w:val="22"/>
        </w:rPr>
        <w:t>0</w:t>
      </w:r>
    </w:p>
    <w:p w14:paraId="6B3FD4E9" w14:textId="2D937FDB" w:rsidR="001A3D4B" w:rsidRDefault="001A3D4B" w:rsidP="005A7763">
      <w:pPr>
        <w:rPr>
          <w:rFonts w:ascii="Calibri" w:hAnsi="Calibri"/>
          <w:sz w:val="22"/>
        </w:rPr>
      </w:pPr>
      <w:r>
        <w:rPr>
          <w:rFonts w:ascii="Calibri" w:hAnsi="Calibri"/>
          <w:sz w:val="22"/>
        </w:rPr>
        <w:t>Table III-7: Needham Public Schools Population Projections</w:t>
      </w:r>
      <w:r>
        <w:rPr>
          <w:rFonts w:ascii="Calibri" w:hAnsi="Calibri"/>
          <w:sz w:val="22"/>
        </w:rPr>
        <w:tab/>
      </w:r>
      <w:r>
        <w:rPr>
          <w:rFonts w:ascii="Calibri" w:hAnsi="Calibri"/>
          <w:sz w:val="22"/>
        </w:rPr>
        <w:tab/>
      </w:r>
      <w:r>
        <w:rPr>
          <w:rFonts w:ascii="Calibri" w:hAnsi="Calibri"/>
          <w:sz w:val="22"/>
        </w:rPr>
        <w:tab/>
        <w:t>2</w:t>
      </w:r>
      <w:r w:rsidR="005764FD">
        <w:rPr>
          <w:rFonts w:ascii="Calibri" w:hAnsi="Calibri"/>
          <w:sz w:val="22"/>
        </w:rPr>
        <w:t>2</w:t>
      </w:r>
    </w:p>
    <w:p w14:paraId="7B68BB07" w14:textId="2E178E37" w:rsidR="001A3D4B" w:rsidRDefault="001A3D4B" w:rsidP="005A7763">
      <w:pPr>
        <w:rPr>
          <w:rFonts w:ascii="Calibri" w:hAnsi="Calibri"/>
          <w:sz w:val="22"/>
        </w:rPr>
      </w:pPr>
      <w:r>
        <w:rPr>
          <w:rFonts w:ascii="Calibri" w:hAnsi="Calibri"/>
          <w:sz w:val="22"/>
        </w:rPr>
        <w:t>Table III-8: Comparison of Population Projections</w:t>
      </w:r>
      <w:r>
        <w:rPr>
          <w:rFonts w:ascii="Calibri" w:hAnsi="Calibri"/>
          <w:sz w:val="22"/>
        </w:rPr>
        <w:tab/>
      </w:r>
      <w:r>
        <w:rPr>
          <w:rFonts w:ascii="Calibri" w:hAnsi="Calibri"/>
          <w:sz w:val="22"/>
        </w:rPr>
        <w:tab/>
      </w:r>
      <w:r>
        <w:rPr>
          <w:rFonts w:ascii="Calibri" w:hAnsi="Calibri"/>
          <w:sz w:val="22"/>
        </w:rPr>
        <w:tab/>
      </w:r>
      <w:r>
        <w:rPr>
          <w:rFonts w:ascii="Calibri" w:hAnsi="Calibri"/>
          <w:sz w:val="22"/>
        </w:rPr>
        <w:tab/>
        <w:t>2</w:t>
      </w:r>
      <w:r w:rsidR="005764FD">
        <w:rPr>
          <w:rFonts w:ascii="Calibri" w:hAnsi="Calibri"/>
          <w:sz w:val="22"/>
        </w:rPr>
        <w:t>3</w:t>
      </w:r>
    </w:p>
    <w:p w14:paraId="225D9416" w14:textId="7DF7FB48"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1A3D4B">
        <w:rPr>
          <w:rFonts w:ascii="Calibri" w:hAnsi="Calibri"/>
          <w:sz w:val="22"/>
        </w:rPr>
        <w:t>9</w:t>
      </w:r>
      <w:r>
        <w:rPr>
          <w:rFonts w:ascii="Calibri" w:hAnsi="Calibri"/>
          <w:sz w:val="22"/>
        </w:rPr>
        <w:t>: Household Characteristics, 1990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1A3D4B">
        <w:rPr>
          <w:rFonts w:ascii="Calibri" w:hAnsi="Calibri"/>
          <w:sz w:val="22"/>
        </w:rPr>
        <w:t>2</w:t>
      </w:r>
      <w:r w:rsidR="005764FD">
        <w:rPr>
          <w:rFonts w:ascii="Calibri" w:hAnsi="Calibri"/>
          <w:sz w:val="22"/>
        </w:rPr>
        <w:t>4</w:t>
      </w:r>
    </w:p>
    <w:p w14:paraId="7B06C45D" w14:textId="46EF0870"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1A3D4B">
        <w:rPr>
          <w:rFonts w:ascii="Calibri" w:hAnsi="Calibri"/>
          <w:sz w:val="22"/>
        </w:rPr>
        <w:t>10</w:t>
      </w:r>
      <w:r>
        <w:rPr>
          <w:rFonts w:ascii="Calibri" w:hAnsi="Calibri"/>
          <w:sz w:val="22"/>
        </w:rPr>
        <w:t>: Types of Households by Size, 2000 and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sidR="001A3D4B">
        <w:rPr>
          <w:rFonts w:ascii="Calibri" w:hAnsi="Calibri"/>
          <w:sz w:val="22"/>
        </w:rPr>
        <w:t>2</w:t>
      </w:r>
      <w:r w:rsidR="005764FD">
        <w:rPr>
          <w:rFonts w:ascii="Calibri" w:hAnsi="Calibri"/>
          <w:sz w:val="22"/>
        </w:rPr>
        <w:t>5</w:t>
      </w:r>
    </w:p>
    <w:p w14:paraId="4DA822B7" w14:textId="17A2F731"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1A3D4B">
        <w:rPr>
          <w:rFonts w:ascii="Calibri" w:hAnsi="Calibri"/>
          <w:sz w:val="22"/>
        </w:rPr>
        <w:t>11</w:t>
      </w:r>
      <w:r>
        <w:rPr>
          <w:rFonts w:ascii="Calibri" w:hAnsi="Calibri"/>
          <w:sz w:val="22"/>
        </w:rPr>
        <w:t>: Household Size by Tenure, 2000 and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6312C0">
        <w:rPr>
          <w:rFonts w:ascii="Calibri" w:hAnsi="Calibri"/>
          <w:sz w:val="22"/>
        </w:rPr>
        <w:t>2</w:t>
      </w:r>
      <w:r w:rsidR="005764FD">
        <w:rPr>
          <w:rFonts w:ascii="Calibri" w:hAnsi="Calibri"/>
          <w:sz w:val="22"/>
        </w:rPr>
        <w:t>6</w:t>
      </w:r>
    </w:p>
    <w:p w14:paraId="464894EE" w14:textId="025D1307"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6312C0">
        <w:rPr>
          <w:rFonts w:ascii="Calibri" w:hAnsi="Calibri"/>
          <w:sz w:val="22"/>
        </w:rPr>
        <w:t>12</w:t>
      </w:r>
      <w:r>
        <w:rPr>
          <w:rFonts w:ascii="Calibri" w:hAnsi="Calibri"/>
          <w:sz w:val="22"/>
        </w:rPr>
        <w:t>: Household Income Distribution, 1989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sidR="006312C0">
        <w:rPr>
          <w:rFonts w:ascii="Calibri" w:hAnsi="Calibri"/>
          <w:sz w:val="22"/>
        </w:rPr>
        <w:t>2</w:t>
      </w:r>
      <w:r w:rsidR="005764FD">
        <w:rPr>
          <w:rFonts w:ascii="Calibri" w:hAnsi="Calibri"/>
          <w:sz w:val="22"/>
        </w:rPr>
        <w:t>7</w:t>
      </w:r>
    </w:p>
    <w:p w14:paraId="7569BACE" w14:textId="10B445CA" w:rsidR="006312C0" w:rsidRDefault="006312C0" w:rsidP="005A7763">
      <w:pPr>
        <w:rPr>
          <w:rFonts w:ascii="Calibri" w:hAnsi="Calibri"/>
          <w:sz w:val="22"/>
        </w:rPr>
      </w:pPr>
      <w:r>
        <w:rPr>
          <w:rFonts w:ascii="Calibri" w:hAnsi="Calibri"/>
          <w:sz w:val="22"/>
        </w:rPr>
        <w:t>Table III-13: Median Income by Household Type,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t>2</w:t>
      </w:r>
      <w:r w:rsidR="005764FD">
        <w:rPr>
          <w:rFonts w:ascii="Calibri" w:hAnsi="Calibri"/>
          <w:sz w:val="22"/>
        </w:rPr>
        <w:t>8</w:t>
      </w:r>
    </w:p>
    <w:p w14:paraId="69864F1E" w14:textId="7F41C29B"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6312C0">
        <w:rPr>
          <w:rFonts w:ascii="Calibri" w:hAnsi="Calibri"/>
          <w:sz w:val="22"/>
        </w:rPr>
        <w:t>14</w:t>
      </w:r>
      <w:r>
        <w:rPr>
          <w:rFonts w:ascii="Calibri" w:hAnsi="Calibri"/>
          <w:sz w:val="22"/>
        </w:rPr>
        <w:t>: Median Household Income by Household Size,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sidR="005764FD">
        <w:rPr>
          <w:rFonts w:ascii="Calibri" w:hAnsi="Calibri"/>
          <w:sz w:val="22"/>
        </w:rPr>
        <w:t>29</w:t>
      </w:r>
    </w:p>
    <w:p w14:paraId="609617E0" w14:textId="58C7A20B"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6312C0">
        <w:rPr>
          <w:rFonts w:ascii="Calibri" w:hAnsi="Calibri"/>
          <w:sz w:val="22"/>
        </w:rPr>
        <w:t>15</w:t>
      </w:r>
      <w:r>
        <w:rPr>
          <w:rFonts w:ascii="Calibri" w:hAnsi="Calibri"/>
          <w:sz w:val="22"/>
        </w:rPr>
        <w:t>: Household Income by Age of Householder,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sidR="006312C0">
        <w:rPr>
          <w:rFonts w:ascii="Calibri" w:hAnsi="Calibri"/>
          <w:sz w:val="22"/>
        </w:rPr>
        <w:t>3</w:t>
      </w:r>
      <w:r w:rsidR="005764FD">
        <w:rPr>
          <w:rFonts w:ascii="Calibri" w:hAnsi="Calibri"/>
          <w:sz w:val="22"/>
        </w:rPr>
        <w:t>0</w:t>
      </w:r>
    </w:p>
    <w:p w14:paraId="791ECE61" w14:textId="77AE400F"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-1</w:t>
      </w:r>
      <w:r w:rsidR="006312C0">
        <w:rPr>
          <w:rFonts w:ascii="Calibri" w:hAnsi="Calibri"/>
          <w:sz w:val="22"/>
        </w:rPr>
        <w:t>6</w:t>
      </w:r>
      <w:r>
        <w:rPr>
          <w:rFonts w:ascii="Calibri" w:hAnsi="Calibri"/>
          <w:sz w:val="22"/>
        </w:rPr>
        <w:t xml:space="preserve">: Income Distribution by Owner and Renter Households, </w:t>
      </w:r>
      <w:r w:rsidR="006312C0">
        <w:rPr>
          <w:rFonts w:ascii="Calibri" w:hAnsi="Calibri"/>
          <w:sz w:val="22"/>
        </w:rPr>
        <w:t>2000/20</w:t>
      </w:r>
      <w:r w:rsidR="003D07A0">
        <w:rPr>
          <w:rFonts w:ascii="Calibri" w:hAnsi="Calibri"/>
          <w:sz w:val="22"/>
        </w:rPr>
        <w:t>20</w:t>
      </w:r>
      <w:r w:rsidR="006312C0">
        <w:rPr>
          <w:rFonts w:ascii="Calibri" w:hAnsi="Calibri"/>
          <w:sz w:val="22"/>
        </w:rPr>
        <w:t xml:space="preserve">    3</w:t>
      </w:r>
      <w:r w:rsidR="005764FD">
        <w:rPr>
          <w:rFonts w:ascii="Calibri" w:hAnsi="Calibri"/>
          <w:sz w:val="22"/>
        </w:rPr>
        <w:t>1</w:t>
      </w:r>
    </w:p>
    <w:p w14:paraId="2DE04F8F" w14:textId="7957018A"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-1</w:t>
      </w:r>
      <w:r w:rsidR="006312C0">
        <w:rPr>
          <w:rFonts w:ascii="Calibri" w:hAnsi="Calibri"/>
          <w:sz w:val="22"/>
        </w:rPr>
        <w:t>7</w:t>
      </w:r>
      <w:r>
        <w:rPr>
          <w:rFonts w:ascii="Calibri" w:hAnsi="Calibri"/>
          <w:sz w:val="22"/>
        </w:rPr>
        <w:t>: Poverty Status, 1989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6312C0">
        <w:rPr>
          <w:rFonts w:ascii="Calibri" w:hAnsi="Calibri"/>
          <w:sz w:val="22"/>
        </w:rPr>
        <w:t>3</w:t>
      </w:r>
      <w:r w:rsidR="005764FD">
        <w:rPr>
          <w:rFonts w:ascii="Calibri" w:hAnsi="Calibri"/>
          <w:sz w:val="22"/>
        </w:rPr>
        <w:t>1</w:t>
      </w:r>
    </w:p>
    <w:p w14:paraId="1158DF38" w14:textId="7571A8A9"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-1</w:t>
      </w:r>
      <w:r w:rsidR="006312C0">
        <w:rPr>
          <w:rFonts w:ascii="Calibri" w:hAnsi="Calibri"/>
          <w:sz w:val="22"/>
        </w:rPr>
        <w:t>8</w:t>
      </w:r>
      <w:r>
        <w:rPr>
          <w:rFonts w:ascii="Calibri" w:hAnsi="Calibri"/>
          <w:sz w:val="22"/>
        </w:rPr>
        <w:t>: Average Employment and Wages by Industry</w:t>
      </w:r>
      <w:r w:rsidR="00573B19">
        <w:rPr>
          <w:rFonts w:ascii="Calibri" w:hAnsi="Calibri"/>
          <w:sz w:val="22"/>
        </w:rPr>
        <w:t>, 2021, 2017, 2020</w:t>
      </w:r>
      <w:r>
        <w:rPr>
          <w:rFonts w:ascii="Calibri" w:hAnsi="Calibri"/>
          <w:sz w:val="22"/>
        </w:rPr>
        <w:tab/>
      </w:r>
      <w:r w:rsidR="006312C0">
        <w:rPr>
          <w:rFonts w:ascii="Calibri" w:hAnsi="Calibri"/>
          <w:sz w:val="22"/>
        </w:rPr>
        <w:t>3</w:t>
      </w:r>
      <w:r w:rsidR="005764FD">
        <w:rPr>
          <w:rFonts w:ascii="Calibri" w:hAnsi="Calibri"/>
          <w:sz w:val="22"/>
        </w:rPr>
        <w:t>2</w:t>
      </w:r>
    </w:p>
    <w:p w14:paraId="2F565FB6" w14:textId="30C5429F"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-1</w:t>
      </w:r>
      <w:r w:rsidR="00573B19">
        <w:rPr>
          <w:rFonts w:ascii="Calibri" w:hAnsi="Calibri"/>
          <w:sz w:val="22"/>
        </w:rPr>
        <w:t>9</w:t>
      </w:r>
      <w:r>
        <w:rPr>
          <w:rFonts w:ascii="Calibri" w:hAnsi="Calibri"/>
          <w:sz w:val="22"/>
        </w:rPr>
        <w:t xml:space="preserve">: Population with </w:t>
      </w:r>
      <w:r w:rsidR="00573B19">
        <w:rPr>
          <w:rFonts w:ascii="Calibri" w:hAnsi="Calibri"/>
          <w:sz w:val="22"/>
        </w:rPr>
        <w:t xml:space="preserve">Physical </w:t>
      </w:r>
      <w:r>
        <w:rPr>
          <w:rFonts w:ascii="Calibri" w:hAnsi="Calibri"/>
          <w:sz w:val="22"/>
        </w:rPr>
        <w:t>Disabilities,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573B19">
        <w:rPr>
          <w:rFonts w:ascii="Calibri" w:hAnsi="Calibri"/>
          <w:sz w:val="22"/>
        </w:rPr>
        <w:t>3</w:t>
      </w:r>
      <w:r w:rsidR="005764FD">
        <w:rPr>
          <w:rFonts w:ascii="Calibri" w:hAnsi="Calibri"/>
          <w:sz w:val="22"/>
        </w:rPr>
        <w:t>5</w:t>
      </w:r>
    </w:p>
    <w:p w14:paraId="05A6F72B" w14:textId="76A4D92E" w:rsidR="00573B19" w:rsidRDefault="00573B19" w:rsidP="005A7763">
      <w:pPr>
        <w:rPr>
          <w:rFonts w:ascii="Calibri" w:hAnsi="Calibri"/>
          <w:sz w:val="22"/>
        </w:rPr>
      </w:pPr>
      <w:r>
        <w:rPr>
          <w:rFonts w:ascii="Calibri" w:hAnsi="Calibri"/>
          <w:sz w:val="22"/>
        </w:rPr>
        <w:t>Table III-20: Types and Distribution of Disabilities,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t>3</w:t>
      </w:r>
      <w:r w:rsidR="005764FD">
        <w:rPr>
          <w:rFonts w:ascii="Calibri" w:hAnsi="Calibri"/>
          <w:sz w:val="22"/>
        </w:rPr>
        <w:t>5</w:t>
      </w:r>
    </w:p>
    <w:p w14:paraId="1FA2A6EE" w14:textId="3A564E54"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573B19">
        <w:rPr>
          <w:rFonts w:ascii="Calibri" w:hAnsi="Calibri"/>
          <w:sz w:val="22"/>
        </w:rPr>
        <w:t>2</w:t>
      </w:r>
      <w:r>
        <w:rPr>
          <w:rFonts w:ascii="Calibri" w:hAnsi="Calibri"/>
          <w:sz w:val="22"/>
        </w:rPr>
        <w:t>1: Housing Units by Year the Structure Was Built</w:t>
      </w:r>
      <w:r w:rsidR="00573B19">
        <w:rPr>
          <w:rFonts w:ascii="Calibri" w:hAnsi="Calibri"/>
          <w:sz w:val="22"/>
        </w:rPr>
        <w:t>,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sidR="00573B19">
        <w:rPr>
          <w:rFonts w:ascii="Calibri" w:hAnsi="Calibri"/>
          <w:sz w:val="22"/>
        </w:rPr>
        <w:t>3</w:t>
      </w:r>
      <w:r w:rsidR="005764FD">
        <w:rPr>
          <w:rFonts w:ascii="Calibri" w:hAnsi="Calibri"/>
          <w:sz w:val="22"/>
        </w:rPr>
        <w:t>6</w:t>
      </w:r>
    </w:p>
    <w:p w14:paraId="3D3D82B6" w14:textId="7FC4EA1A" w:rsidR="00573B19" w:rsidRDefault="00573B19" w:rsidP="005A7763">
      <w:pPr>
        <w:rPr>
          <w:rFonts w:ascii="Calibri" w:hAnsi="Calibri"/>
          <w:sz w:val="22"/>
        </w:rPr>
      </w:pPr>
      <w:r>
        <w:rPr>
          <w:rFonts w:ascii="Calibri" w:hAnsi="Calibri"/>
          <w:sz w:val="22"/>
        </w:rPr>
        <w:t>Table III-22: Net New Residential Units, 2010-2021</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229C4">
        <w:rPr>
          <w:rFonts w:ascii="Calibri" w:hAnsi="Calibri"/>
          <w:sz w:val="22"/>
        </w:rPr>
        <w:t>3</w:t>
      </w:r>
      <w:r w:rsidR="005764FD">
        <w:rPr>
          <w:rFonts w:ascii="Calibri" w:hAnsi="Calibri"/>
          <w:sz w:val="22"/>
        </w:rPr>
        <w:t>7</w:t>
      </w:r>
    </w:p>
    <w:p w14:paraId="3DEABBD2" w14:textId="1D99EF7A"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-2</w:t>
      </w:r>
      <w:r w:rsidR="000229C4">
        <w:rPr>
          <w:rFonts w:ascii="Calibri" w:hAnsi="Calibri"/>
          <w:sz w:val="22"/>
        </w:rPr>
        <w:t>3</w:t>
      </w:r>
      <w:r>
        <w:rPr>
          <w:rFonts w:ascii="Calibri" w:hAnsi="Calibri"/>
          <w:sz w:val="22"/>
        </w:rPr>
        <w:t>: Housing Occupancy</w:t>
      </w:r>
      <w:r w:rsidR="0076189A">
        <w:rPr>
          <w:rFonts w:ascii="Calibri" w:hAnsi="Calibri"/>
          <w:sz w:val="22"/>
        </w:rPr>
        <w:t xml:space="preserve"> Characteristics</w:t>
      </w:r>
      <w:r>
        <w:rPr>
          <w:rFonts w:ascii="Calibri" w:hAnsi="Calibri"/>
          <w:sz w:val="22"/>
        </w:rPr>
        <w:t xml:space="preserve">, 1990 to </w:t>
      </w:r>
      <w:r w:rsidR="000229C4">
        <w:rPr>
          <w:rFonts w:ascii="Calibri" w:hAnsi="Calibri"/>
          <w:sz w:val="22"/>
        </w:rPr>
        <w:t>2020</w:t>
      </w:r>
      <w:r w:rsidR="003D07A0">
        <w:rPr>
          <w:rFonts w:ascii="Calibri" w:hAnsi="Calibri"/>
          <w:sz w:val="22"/>
        </w:rPr>
        <w:tab/>
      </w:r>
      <w:r>
        <w:rPr>
          <w:rFonts w:ascii="Calibri" w:hAnsi="Calibri"/>
          <w:sz w:val="22"/>
        </w:rPr>
        <w:tab/>
      </w:r>
      <w:r>
        <w:rPr>
          <w:rFonts w:ascii="Calibri" w:hAnsi="Calibri"/>
          <w:sz w:val="22"/>
        </w:rPr>
        <w:tab/>
      </w:r>
      <w:r w:rsidR="000229C4">
        <w:rPr>
          <w:rFonts w:ascii="Calibri" w:hAnsi="Calibri"/>
          <w:sz w:val="22"/>
        </w:rPr>
        <w:t>3</w:t>
      </w:r>
      <w:r w:rsidR="005764FD">
        <w:rPr>
          <w:rFonts w:ascii="Calibri" w:hAnsi="Calibri"/>
          <w:sz w:val="22"/>
        </w:rPr>
        <w:t>8</w:t>
      </w:r>
    </w:p>
    <w:p w14:paraId="6009564C" w14:textId="6EEEF913" w:rsidR="000229C4" w:rsidRDefault="000229C4" w:rsidP="000229C4">
      <w:pPr>
        <w:rPr>
          <w:rFonts w:ascii="Calibri" w:hAnsi="Calibri"/>
          <w:sz w:val="22"/>
        </w:rPr>
      </w:pPr>
      <w:r>
        <w:rPr>
          <w:rFonts w:ascii="Calibri" w:hAnsi="Calibri"/>
          <w:sz w:val="22"/>
        </w:rPr>
        <w:t>Table III-24: Vacancy Rates by Tenure, 2000 and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5764FD">
        <w:rPr>
          <w:rFonts w:ascii="Calibri" w:hAnsi="Calibri"/>
          <w:sz w:val="22"/>
        </w:rPr>
        <w:t>39</w:t>
      </w:r>
    </w:p>
    <w:p w14:paraId="71344C71" w14:textId="51013F37"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229C4">
        <w:rPr>
          <w:rFonts w:ascii="Calibri" w:hAnsi="Calibri"/>
          <w:sz w:val="22"/>
        </w:rPr>
        <w:t>25</w:t>
      </w:r>
      <w:r>
        <w:rPr>
          <w:rFonts w:ascii="Calibri" w:hAnsi="Calibri"/>
          <w:sz w:val="22"/>
        </w:rPr>
        <w:t>: Units by Type of Structure, 1990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229C4">
        <w:rPr>
          <w:rFonts w:ascii="Calibri" w:hAnsi="Calibri"/>
          <w:sz w:val="22"/>
        </w:rPr>
        <w:t>4</w:t>
      </w:r>
      <w:r w:rsidR="005764FD">
        <w:rPr>
          <w:rFonts w:ascii="Calibri" w:hAnsi="Calibri"/>
          <w:sz w:val="22"/>
        </w:rPr>
        <w:t>0</w:t>
      </w:r>
    </w:p>
    <w:p w14:paraId="7E656D21" w14:textId="630BABEB"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229C4">
        <w:rPr>
          <w:rFonts w:ascii="Calibri" w:hAnsi="Calibri"/>
          <w:sz w:val="22"/>
        </w:rPr>
        <w:t>26</w:t>
      </w:r>
      <w:r>
        <w:rPr>
          <w:rFonts w:ascii="Calibri" w:hAnsi="Calibri"/>
          <w:sz w:val="22"/>
        </w:rPr>
        <w:t>: Type of Structure by Tenure, 201</w:t>
      </w:r>
      <w:r w:rsidR="000229C4">
        <w:rPr>
          <w:rFonts w:ascii="Calibri" w:hAnsi="Calibri"/>
          <w:sz w:val="22"/>
        </w:rPr>
        <w:t>0 and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229C4">
        <w:rPr>
          <w:rFonts w:ascii="Calibri" w:hAnsi="Calibri"/>
          <w:sz w:val="22"/>
        </w:rPr>
        <w:t>4</w:t>
      </w:r>
      <w:r w:rsidR="005764FD">
        <w:rPr>
          <w:rFonts w:ascii="Calibri" w:hAnsi="Calibri"/>
          <w:sz w:val="22"/>
        </w:rPr>
        <w:t>1</w:t>
      </w:r>
    </w:p>
    <w:p w14:paraId="1418825A" w14:textId="01C2C9D3"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229C4">
        <w:rPr>
          <w:rFonts w:ascii="Calibri" w:hAnsi="Calibri"/>
          <w:sz w:val="22"/>
        </w:rPr>
        <w:t>27</w:t>
      </w:r>
      <w:r>
        <w:rPr>
          <w:rFonts w:ascii="Calibri" w:hAnsi="Calibri"/>
          <w:sz w:val="22"/>
        </w:rPr>
        <w:t>: Number of Rooms Per Unit,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229C4">
        <w:rPr>
          <w:rFonts w:ascii="Calibri" w:hAnsi="Calibri"/>
          <w:sz w:val="22"/>
        </w:rPr>
        <w:t>4</w:t>
      </w:r>
      <w:r w:rsidR="005764FD">
        <w:rPr>
          <w:rFonts w:ascii="Calibri" w:hAnsi="Calibri"/>
          <w:sz w:val="22"/>
        </w:rPr>
        <w:t>2</w:t>
      </w:r>
    </w:p>
    <w:p w14:paraId="35FA141F" w14:textId="79A4C364"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229C4">
        <w:rPr>
          <w:rFonts w:ascii="Calibri" w:hAnsi="Calibri"/>
          <w:sz w:val="22"/>
        </w:rPr>
        <w:t>28</w:t>
      </w:r>
      <w:r>
        <w:rPr>
          <w:rFonts w:ascii="Calibri" w:hAnsi="Calibri"/>
          <w:sz w:val="22"/>
        </w:rPr>
        <w:t>: Housing Values</w:t>
      </w:r>
      <w:r w:rsidR="000229C4">
        <w:rPr>
          <w:rFonts w:ascii="Calibri" w:hAnsi="Calibri"/>
          <w:sz w:val="22"/>
        </w:rPr>
        <w:t xml:space="preserve"> of Owner-occupied Units</w:t>
      </w:r>
      <w:r>
        <w:rPr>
          <w:rFonts w:ascii="Calibri" w:hAnsi="Calibri"/>
          <w:sz w:val="22"/>
        </w:rPr>
        <w:t>, 1990 to 20</w:t>
      </w:r>
      <w:r w:rsidR="003D07A0">
        <w:rPr>
          <w:rFonts w:ascii="Calibri" w:hAnsi="Calibri"/>
          <w:sz w:val="22"/>
        </w:rPr>
        <w:t>20</w:t>
      </w:r>
      <w:r>
        <w:rPr>
          <w:rFonts w:ascii="Calibri" w:hAnsi="Calibri"/>
          <w:sz w:val="22"/>
        </w:rPr>
        <w:tab/>
      </w:r>
      <w:r>
        <w:rPr>
          <w:rFonts w:ascii="Calibri" w:hAnsi="Calibri"/>
          <w:sz w:val="22"/>
        </w:rPr>
        <w:tab/>
      </w:r>
      <w:r w:rsidR="000229C4">
        <w:rPr>
          <w:rFonts w:ascii="Calibri" w:hAnsi="Calibri"/>
          <w:sz w:val="22"/>
        </w:rPr>
        <w:t>4</w:t>
      </w:r>
      <w:r w:rsidR="005764FD">
        <w:rPr>
          <w:rFonts w:ascii="Calibri" w:hAnsi="Calibri"/>
          <w:sz w:val="22"/>
        </w:rPr>
        <w:t>3</w:t>
      </w:r>
    </w:p>
    <w:p w14:paraId="55E2AD85" w14:textId="158A08AC"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229C4">
        <w:rPr>
          <w:rFonts w:ascii="Calibri" w:hAnsi="Calibri"/>
          <w:sz w:val="22"/>
        </w:rPr>
        <w:t>29</w:t>
      </w:r>
      <w:r>
        <w:rPr>
          <w:rFonts w:ascii="Calibri" w:hAnsi="Calibri"/>
          <w:sz w:val="22"/>
        </w:rPr>
        <w:t xml:space="preserve">: Median Sales Prices and Number of Sales, </w:t>
      </w:r>
      <w:r w:rsidR="00000397">
        <w:rPr>
          <w:rFonts w:ascii="Calibri" w:hAnsi="Calibri"/>
          <w:sz w:val="22"/>
        </w:rPr>
        <w:t>2000</w:t>
      </w:r>
      <w:r>
        <w:rPr>
          <w:rFonts w:ascii="Calibri" w:hAnsi="Calibri"/>
          <w:sz w:val="22"/>
        </w:rPr>
        <w:t xml:space="preserve"> to </w:t>
      </w:r>
      <w:r w:rsidR="00000397">
        <w:rPr>
          <w:rFonts w:ascii="Calibri" w:hAnsi="Calibri"/>
          <w:sz w:val="22"/>
        </w:rPr>
        <w:t>9/</w:t>
      </w:r>
      <w:r>
        <w:rPr>
          <w:rFonts w:ascii="Calibri" w:hAnsi="Calibri"/>
          <w:sz w:val="22"/>
        </w:rPr>
        <w:t>202</w:t>
      </w:r>
      <w:r w:rsidR="00000397">
        <w:rPr>
          <w:rFonts w:ascii="Calibri" w:hAnsi="Calibri"/>
          <w:sz w:val="22"/>
        </w:rPr>
        <w:t>1</w:t>
      </w:r>
      <w:r>
        <w:rPr>
          <w:rFonts w:ascii="Calibri" w:hAnsi="Calibri"/>
          <w:sz w:val="22"/>
        </w:rPr>
        <w:tab/>
      </w:r>
      <w:r>
        <w:rPr>
          <w:rFonts w:ascii="Calibri" w:hAnsi="Calibri"/>
          <w:sz w:val="22"/>
        </w:rPr>
        <w:tab/>
      </w:r>
      <w:r w:rsidR="00000397">
        <w:rPr>
          <w:rFonts w:ascii="Calibri" w:hAnsi="Calibri"/>
          <w:sz w:val="22"/>
        </w:rPr>
        <w:t>4</w:t>
      </w:r>
      <w:r w:rsidR="005764FD">
        <w:rPr>
          <w:rFonts w:ascii="Calibri" w:hAnsi="Calibri"/>
          <w:sz w:val="22"/>
        </w:rPr>
        <w:t>4</w:t>
      </w:r>
    </w:p>
    <w:p w14:paraId="7427B35C" w14:textId="01572121"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00397">
        <w:rPr>
          <w:rFonts w:ascii="Calibri" w:hAnsi="Calibri"/>
          <w:sz w:val="22"/>
        </w:rPr>
        <w:t>30</w:t>
      </w:r>
      <w:r>
        <w:rPr>
          <w:rFonts w:ascii="Calibri" w:hAnsi="Calibri"/>
          <w:sz w:val="22"/>
        </w:rPr>
        <w:t xml:space="preserve">: Median Single-family Home Prices for Needham and </w:t>
      </w:r>
    </w:p>
    <w:p w14:paraId="3218CDC7" w14:textId="795E1588" w:rsidR="005A7763" w:rsidRDefault="005A7763" w:rsidP="005A7763">
      <w:pPr>
        <w:rPr>
          <w:rFonts w:ascii="Calibri" w:hAnsi="Calibri"/>
          <w:sz w:val="22"/>
        </w:rPr>
      </w:pPr>
      <w:r>
        <w:rPr>
          <w:rFonts w:ascii="Calibri" w:hAnsi="Calibri"/>
          <w:sz w:val="22"/>
        </w:rPr>
        <w:t>Neighboring Communities, 2000, 2005</w:t>
      </w:r>
      <w:r w:rsidR="00000397">
        <w:rPr>
          <w:rFonts w:ascii="Calibri" w:hAnsi="Calibri"/>
          <w:sz w:val="22"/>
        </w:rPr>
        <w:t xml:space="preserve">, 2010 </w:t>
      </w:r>
      <w:r>
        <w:rPr>
          <w:rFonts w:ascii="Calibri" w:hAnsi="Calibri"/>
          <w:sz w:val="22"/>
        </w:rPr>
        <w:t xml:space="preserve">and </w:t>
      </w:r>
      <w:r w:rsidR="00000397">
        <w:rPr>
          <w:rFonts w:ascii="Calibri" w:hAnsi="Calibri"/>
          <w:sz w:val="22"/>
        </w:rPr>
        <w:t>9/21</w:t>
      </w:r>
      <w:r w:rsidR="00000397">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00397">
        <w:rPr>
          <w:rFonts w:ascii="Calibri" w:hAnsi="Calibri"/>
          <w:sz w:val="22"/>
        </w:rPr>
        <w:t>4</w:t>
      </w:r>
      <w:r w:rsidR="005764FD">
        <w:rPr>
          <w:rFonts w:ascii="Calibri" w:hAnsi="Calibri"/>
          <w:sz w:val="22"/>
        </w:rPr>
        <w:t>4</w:t>
      </w:r>
    </w:p>
    <w:p w14:paraId="6645A286" w14:textId="57BED8C3"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00397">
        <w:rPr>
          <w:rFonts w:ascii="Calibri" w:hAnsi="Calibri"/>
          <w:sz w:val="22"/>
        </w:rPr>
        <w:t>3</w:t>
      </w:r>
      <w:r>
        <w:rPr>
          <w:rFonts w:ascii="Calibri" w:hAnsi="Calibri"/>
          <w:sz w:val="22"/>
        </w:rPr>
        <w:t xml:space="preserve">1: Assessed Values of Single-family and Condos, </w:t>
      </w:r>
      <w:r w:rsidR="00000397">
        <w:rPr>
          <w:rFonts w:ascii="Calibri" w:hAnsi="Calibri"/>
          <w:sz w:val="22"/>
        </w:rPr>
        <w:t xml:space="preserve">FY22  </w:t>
      </w:r>
      <w:r w:rsidR="00000397">
        <w:rPr>
          <w:rFonts w:ascii="Calibri" w:hAnsi="Calibri"/>
          <w:sz w:val="22"/>
        </w:rPr>
        <w:tab/>
      </w:r>
      <w:r>
        <w:rPr>
          <w:rFonts w:ascii="Calibri" w:hAnsi="Calibri"/>
          <w:sz w:val="22"/>
        </w:rPr>
        <w:tab/>
      </w:r>
      <w:r>
        <w:rPr>
          <w:rFonts w:ascii="Calibri" w:hAnsi="Calibri"/>
          <w:sz w:val="22"/>
        </w:rPr>
        <w:tab/>
        <w:t>4</w:t>
      </w:r>
      <w:r w:rsidR="005764FD">
        <w:rPr>
          <w:rFonts w:ascii="Calibri" w:hAnsi="Calibri"/>
          <w:sz w:val="22"/>
        </w:rPr>
        <w:t>6</w:t>
      </w:r>
    </w:p>
    <w:p w14:paraId="1878D0EA" w14:textId="2982315C"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00397">
        <w:rPr>
          <w:rFonts w:ascii="Calibri" w:hAnsi="Calibri"/>
          <w:sz w:val="22"/>
        </w:rPr>
        <w:t>3</w:t>
      </w:r>
      <w:r>
        <w:rPr>
          <w:rFonts w:ascii="Calibri" w:hAnsi="Calibri"/>
          <w:sz w:val="22"/>
        </w:rPr>
        <w:t xml:space="preserve">2: Assessed Values of Multi-family Properties, </w:t>
      </w:r>
      <w:r w:rsidR="00000397">
        <w:rPr>
          <w:rFonts w:ascii="Calibri" w:hAnsi="Calibri"/>
          <w:sz w:val="22"/>
        </w:rPr>
        <w:t>FY22</w:t>
      </w:r>
      <w:r>
        <w:rPr>
          <w:rFonts w:ascii="Calibri" w:hAnsi="Calibri"/>
          <w:sz w:val="22"/>
        </w:rPr>
        <w:tab/>
      </w:r>
      <w:r>
        <w:rPr>
          <w:rFonts w:ascii="Calibri" w:hAnsi="Calibri"/>
          <w:sz w:val="22"/>
        </w:rPr>
        <w:tab/>
      </w:r>
      <w:r>
        <w:rPr>
          <w:rFonts w:ascii="Calibri" w:hAnsi="Calibri"/>
          <w:sz w:val="22"/>
        </w:rPr>
        <w:tab/>
      </w:r>
      <w:r w:rsidR="00000397">
        <w:rPr>
          <w:rFonts w:ascii="Calibri" w:hAnsi="Calibri"/>
          <w:sz w:val="22"/>
        </w:rPr>
        <w:t>4</w:t>
      </w:r>
      <w:r w:rsidR="005764FD">
        <w:rPr>
          <w:rFonts w:ascii="Calibri" w:hAnsi="Calibri"/>
          <w:sz w:val="22"/>
        </w:rPr>
        <w:t>7</w:t>
      </w:r>
    </w:p>
    <w:p w14:paraId="6DF35980" w14:textId="40D328A2"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000397">
        <w:rPr>
          <w:rFonts w:ascii="Calibri" w:hAnsi="Calibri"/>
          <w:sz w:val="22"/>
        </w:rPr>
        <w:t>3</w:t>
      </w:r>
      <w:r>
        <w:rPr>
          <w:rFonts w:ascii="Calibri" w:hAnsi="Calibri"/>
          <w:sz w:val="22"/>
        </w:rPr>
        <w:t>3: Rental Costs, 1990 to 20</w:t>
      </w:r>
      <w:r w:rsidR="003D07A0">
        <w:rPr>
          <w:rFonts w:ascii="Calibri" w:hAnsi="Calibri"/>
          <w:sz w:val="22"/>
        </w:rPr>
        <w:t>20</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00397">
        <w:rPr>
          <w:rFonts w:ascii="Calibri" w:hAnsi="Calibri"/>
          <w:sz w:val="22"/>
        </w:rPr>
        <w:t>4</w:t>
      </w:r>
      <w:r w:rsidR="005764FD">
        <w:rPr>
          <w:rFonts w:ascii="Calibri" w:hAnsi="Calibri"/>
          <w:sz w:val="22"/>
        </w:rPr>
        <w:t>8</w:t>
      </w:r>
    </w:p>
    <w:p w14:paraId="43632951" w14:textId="3A130BAC" w:rsidR="00000397" w:rsidRDefault="00000397" w:rsidP="005A7763">
      <w:pPr>
        <w:rPr>
          <w:rFonts w:ascii="Calibri" w:hAnsi="Calibri"/>
          <w:sz w:val="22"/>
        </w:rPr>
      </w:pPr>
      <w:r>
        <w:rPr>
          <w:rFonts w:ascii="Calibri" w:hAnsi="Calibri"/>
          <w:sz w:val="22"/>
        </w:rPr>
        <w:t>Table III-34: Market Rental Listings, 11/21</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w:t>
      </w:r>
      <w:r w:rsidR="005764FD">
        <w:rPr>
          <w:rFonts w:ascii="Calibri" w:hAnsi="Calibri"/>
          <w:sz w:val="22"/>
        </w:rPr>
        <w:t>8</w:t>
      </w:r>
    </w:p>
    <w:p w14:paraId="7BA7553B" w14:textId="795FEF68" w:rsidR="00000397" w:rsidRDefault="00000397" w:rsidP="005A7763">
      <w:pPr>
        <w:rPr>
          <w:rFonts w:ascii="Calibri" w:hAnsi="Calibri"/>
          <w:sz w:val="22"/>
        </w:rPr>
      </w:pPr>
      <w:r>
        <w:rPr>
          <w:rFonts w:ascii="Calibri" w:hAnsi="Calibri"/>
          <w:sz w:val="22"/>
        </w:rPr>
        <w:t>Table III-35: HUD Fair Market Rents (FMRs), 2018-2021</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5764FD">
        <w:rPr>
          <w:rFonts w:ascii="Calibri" w:hAnsi="Calibri"/>
          <w:sz w:val="22"/>
        </w:rPr>
        <w:t>49</w:t>
      </w:r>
    </w:p>
    <w:p w14:paraId="2BBD820E" w14:textId="30DACE5C"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36</w:t>
      </w:r>
      <w:r>
        <w:rPr>
          <w:rFonts w:ascii="Calibri" w:hAnsi="Calibri"/>
          <w:sz w:val="22"/>
        </w:rPr>
        <w:t>: Affordability Analysis I, Maximum Affordable Prices</w:t>
      </w:r>
      <w:r>
        <w:rPr>
          <w:rFonts w:ascii="Calibri" w:hAnsi="Calibri"/>
          <w:sz w:val="22"/>
        </w:rPr>
        <w:tab/>
      </w:r>
      <w:r>
        <w:rPr>
          <w:rFonts w:ascii="Calibri" w:hAnsi="Calibri"/>
          <w:sz w:val="22"/>
        </w:rPr>
        <w:tab/>
      </w:r>
    </w:p>
    <w:p w14:paraId="203324FC" w14:textId="23785D4C" w:rsidR="005A7763" w:rsidRDefault="005A7763" w:rsidP="005A7763">
      <w:pPr>
        <w:rPr>
          <w:rFonts w:ascii="Calibri" w:hAnsi="Calibri"/>
          <w:sz w:val="22"/>
        </w:rPr>
      </w:pPr>
      <w:r>
        <w:rPr>
          <w:rFonts w:ascii="Calibri" w:hAnsi="Calibri"/>
          <w:sz w:val="22"/>
        </w:rPr>
        <w:t>Based on Income Levels</w:t>
      </w:r>
      <w:r>
        <w:rPr>
          <w:rFonts w:ascii="Calibri" w:hAnsi="Calibri"/>
          <w:sz w:val="22"/>
        </w:rPr>
        <w:tab/>
      </w:r>
      <w:r w:rsidR="00744FAC">
        <w:rPr>
          <w:rFonts w:ascii="Calibri" w:hAnsi="Calibri"/>
          <w:sz w:val="22"/>
        </w:rPr>
        <w:t>and Housing Types</w:t>
      </w:r>
      <w:r w:rsidR="00744FAC">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1</w:t>
      </w:r>
      <w:r>
        <w:rPr>
          <w:rFonts w:ascii="Calibri" w:hAnsi="Calibri"/>
          <w:sz w:val="22"/>
        </w:rPr>
        <w:tab/>
      </w:r>
    </w:p>
    <w:p w14:paraId="651E9F7A" w14:textId="7A3A6E87"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37</w:t>
      </w:r>
      <w:r>
        <w:rPr>
          <w:rFonts w:ascii="Calibri" w:hAnsi="Calibri"/>
          <w:sz w:val="22"/>
        </w:rPr>
        <w:t xml:space="preserve">: Affordability Analysis II, Income Required to Afford </w:t>
      </w:r>
    </w:p>
    <w:p w14:paraId="62D8F38B" w14:textId="20617249" w:rsidR="005A7763" w:rsidRDefault="005A7763" w:rsidP="005A7763">
      <w:pPr>
        <w:rPr>
          <w:rFonts w:ascii="Calibri" w:hAnsi="Calibri"/>
          <w:sz w:val="22"/>
        </w:rPr>
      </w:pPr>
      <w:r>
        <w:rPr>
          <w:rFonts w:ascii="Calibri" w:hAnsi="Calibri"/>
          <w:sz w:val="22"/>
        </w:rPr>
        <w:t>Median Prices and Minimum Market Rents</w:t>
      </w:r>
      <w:r w:rsidR="00744FAC">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2</w:t>
      </w:r>
    </w:p>
    <w:p w14:paraId="38040EBD" w14:textId="1A45268C"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38</w:t>
      </w:r>
      <w:r>
        <w:rPr>
          <w:rFonts w:ascii="Calibri" w:hAnsi="Calibri"/>
          <w:sz w:val="22"/>
        </w:rPr>
        <w:t xml:space="preserve">: Affordability Analysis III, Relative Affordability of </w:t>
      </w:r>
    </w:p>
    <w:p w14:paraId="0EB62A13" w14:textId="63BB5DDF" w:rsidR="005A7763" w:rsidRDefault="005A7763" w:rsidP="005A7763">
      <w:pPr>
        <w:rPr>
          <w:rFonts w:ascii="Calibri" w:hAnsi="Calibri"/>
          <w:sz w:val="22"/>
        </w:rPr>
      </w:pPr>
      <w:r>
        <w:rPr>
          <w:rFonts w:ascii="Calibri" w:hAnsi="Calibri"/>
          <w:sz w:val="22"/>
        </w:rPr>
        <w:t xml:space="preserve">Single-family Homes and Condos, </w:t>
      </w:r>
      <w:r w:rsidR="00744FAC">
        <w:rPr>
          <w:rFonts w:ascii="Calibri" w:hAnsi="Calibri"/>
          <w:sz w:val="22"/>
        </w:rPr>
        <w:t>FY22</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4</w:t>
      </w:r>
    </w:p>
    <w:p w14:paraId="7D78E454" w14:textId="61099123"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39</w:t>
      </w:r>
      <w:r>
        <w:rPr>
          <w:rFonts w:ascii="Calibri" w:hAnsi="Calibri"/>
          <w:sz w:val="22"/>
        </w:rPr>
        <w:t xml:space="preserve">: Homeownership Need Analysis, </w:t>
      </w:r>
      <w:r w:rsidR="00744FAC">
        <w:rPr>
          <w:rFonts w:ascii="Calibri" w:hAnsi="Calibri"/>
          <w:sz w:val="22"/>
        </w:rPr>
        <w:t>FY22</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4</w:t>
      </w:r>
    </w:p>
    <w:p w14:paraId="21DC6B05" w14:textId="1297CA72" w:rsidR="005A7763" w:rsidRDefault="005A7763" w:rsidP="005A7763">
      <w:pPr>
        <w:rPr>
          <w:rFonts w:ascii="Calibri" w:hAnsi="Calibri"/>
          <w:sz w:val="22"/>
        </w:rPr>
      </w:pPr>
      <w:r>
        <w:rPr>
          <w:rFonts w:ascii="Calibri" w:hAnsi="Calibri"/>
          <w:sz w:val="22"/>
        </w:rPr>
        <w:lastRenderedPageBreak/>
        <w:t xml:space="preserve">Table </w:t>
      </w:r>
      <w:r w:rsidR="00654BB0">
        <w:rPr>
          <w:rFonts w:ascii="Calibri" w:hAnsi="Calibri"/>
          <w:sz w:val="22"/>
        </w:rPr>
        <w:t>III</w:t>
      </w:r>
      <w:r>
        <w:rPr>
          <w:rFonts w:ascii="Calibri" w:hAnsi="Calibri"/>
          <w:sz w:val="22"/>
        </w:rPr>
        <w:t>-</w:t>
      </w:r>
      <w:r w:rsidR="00744FAC">
        <w:rPr>
          <w:rFonts w:ascii="Calibri" w:hAnsi="Calibri"/>
          <w:sz w:val="22"/>
        </w:rPr>
        <w:t>40</w:t>
      </w:r>
      <w:r>
        <w:rPr>
          <w:rFonts w:ascii="Calibri" w:hAnsi="Calibri"/>
          <w:sz w:val="22"/>
        </w:rPr>
        <w:t>: Rental Need Analysis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5</w:t>
      </w:r>
    </w:p>
    <w:p w14:paraId="20026613" w14:textId="433C1941"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4</w:t>
      </w:r>
      <w:r>
        <w:rPr>
          <w:rFonts w:ascii="Calibri" w:hAnsi="Calibri"/>
          <w:sz w:val="22"/>
        </w:rPr>
        <w:t>1: Cost Burdens by Tenure and Income Level, 20</w:t>
      </w:r>
      <w:r w:rsidR="00744FAC">
        <w:rPr>
          <w:rFonts w:ascii="Calibri" w:hAnsi="Calibri"/>
          <w:sz w:val="22"/>
        </w:rPr>
        <w:t>18</w:t>
      </w:r>
      <w:r>
        <w:rPr>
          <w:rFonts w:ascii="Calibri" w:hAnsi="Calibri"/>
          <w:sz w:val="22"/>
        </w:rPr>
        <w:tab/>
      </w:r>
      <w:r>
        <w:rPr>
          <w:rFonts w:ascii="Calibri" w:hAnsi="Calibri"/>
          <w:sz w:val="22"/>
        </w:rPr>
        <w:tab/>
      </w:r>
      <w:r>
        <w:rPr>
          <w:rFonts w:ascii="Calibri" w:hAnsi="Calibri"/>
          <w:sz w:val="22"/>
        </w:rPr>
        <w:tab/>
      </w:r>
      <w:r w:rsidR="00744FAC">
        <w:rPr>
          <w:rFonts w:ascii="Calibri" w:hAnsi="Calibri"/>
          <w:sz w:val="22"/>
        </w:rPr>
        <w:t>5</w:t>
      </w:r>
      <w:r w:rsidR="005764FD">
        <w:rPr>
          <w:rFonts w:ascii="Calibri" w:hAnsi="Calibri"/>
          <w:sz w:val="22"/>
        </w:rPr>
        <w:t>7</w:t>
      </w:r>
    </w:p>
    <w:p w14:paraId="43FABBE5" w14:textId="1CAC6C74"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744FAC">
        <w:rPr>
          <w:rFonts w:ascii="Calibri" w:hAnsi="Calibri"/>
          <w:sz w:val="22"/>
        </w:rPr>
        <w:t>4</w:t>
      </w:r>
      <w:r>
        <w:rPr>
          <w:rFonts w:ascii="Calibri" w:hAnsi="Calibri"/>
          <w:sz w:val="22"/>
        </w:rPr>
        <w:t xml:space="preserve">2 Needham’s Subsidized Housing Inventory (SHI), </w:t>
      </w:r>
      <w:r w:rsidR="00744FAC">
        <w:rPr>
          <w:rFonts w:ascii="Calibri" w:hAnsi="Calibri"/>
          <w:sz w:val="22"/>
        </w:rPr>
        <w:t>10/21</w:t>
      </w:r>
      <w:r w:rsidR="00B144EE">
        <w:rPr>
          <w:rFonts w:ascii="Calibri" w:hAnsi="Calibri"/>
          <w:sz w:val="22"/>
        </w:rPr>
        <w:tab/>
      </w:r>
      <w:r w:rsidR="00B144EE">
        <w:rPr>
          <w:rFonts w:ascii="Calibri" w:hAnsi="Calibri"/>
          <w:sz w:val="22"/>
        </w:rPr>
        <w:tab/>
        <w:t>6</w:t>
      </w:r>
      <w:r w:rsidR="005764FD">
        <w:rPr>
          <w:rFonts w:ascii="Calibri" w:hAnsi="Calibri"/>
          <w:sz w:val="22"/>
        </w:rPr>
        <w:t>1</w:t>
      </w:r>
    </w:p>
    <w:p w14:paraId="7E13C457" w14:textId="506C5F23" w:rsidR="005A7763" w:rsidRDefault="005A7763" w:rsidP="005A7763">
      <w:pPr>
        <w:rPr>
          <w:rFonts w:ascii="Calibri" w:hAnsi="Calibri"/>
          <w:sz w:val="22"/>
        </w:rPr>
      </w:pPr>
      <w:r>
        <w:rPr>
          <w:rFonts w:ascii="Calibri" w:hAnsi="Calibri"/>
          <w:sz w:val="22"/>
        </w:rPr>
        <w:t xml:space="preserve">Table </w:t>
      </w:r>
      <w:r w:rsidR="00654BB0">
        <w:rPr>
          <w:rFonts w:ascii="Calibri" w:hAnsi="Calibri"/>
          <w:sz w:val="22"/>
        </w:rPr>
        <w:t>III</w:t>
      </w:r>
      <w:r>
        <w:rPr>
          <w:rFonts w:ascii="Calibri" w:hAnsi="Calibri"/>
          <w:sz w:val="22"/>
        </w:rPr>
        <w:t>-</w:t>
      </w:r>
      <w:r w:rsidR="00B144EE">
        <w:rPr>
          <w:rFonts w:ascii="Calibri" w:hAnsi="Calibri"/>
          <w:sz w:val="22"/>
        </w:rPr>
        <w:t>43</w:t>
      </w:r>
      <w:r>
        <w:rPr>
          <w:rFonts w:ascii="Calibri" w:hAnsi="Calibri"/>
          <w:sz w:val="22"/>
        </w:rPr>
        <w:t>: Unmet Housing Needs</w:t>
      </w:r>
      <w:r w:rsidR="00B144EE">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B144EE">
        <w:rPr>
          <w:rFonts w:ascii="Calibri" w:hAnsi="Calibri"/>
          <w:sz w:val="22"/>
        </w:rPr>
        <w:t>7</w:t>
      </w:r>
      <w:r w:rsidR="005764FD">
        <w:rPr>
          <w:rFonts w:ascii="Calibri" w:hAnsi="Calibri"/>
          <w:sz w:val="22"/>
        </w:rPr>
        <w:t>5</w:t>
      </w:r>
    </w:p>
    <w:p w14:paraId="30C076FB" w14:textId="567D2961" w:rsidR="00B144EE" w:rsidRDefault="00B144EE" w:rsidP="005A7763">
      <w:pPr>
        <w:rPr>
          <w:rFonts w:ascii="Calibri" w:hAnsi="Calibri"/>
          <w:sz w:val="22"/>
        </w:rPr>
      </w:pPr>
      <w:r>
        <w:rPr>
          <w:rFonts w:ascii="Calibri" w:hAnsi="Calibri"/>
          <w:sz w:val="22"/>
        </w:rPr>
        <w:t>Table III-44: Summary of Priority Housing Needs and Estimated</w:t>
      </w:r>
    </w:p>
    <w:p w14:paraId="28D8BF43" w14:textId="29E897F7" w:rsidR="00B144EE" w:rsidRDefault="00B144EE" w:rsidP="005A7763">
      <w:pPr>
        <w:rPr>
          <w:rFonts w:ascii="Calibri" w:hAnsi="Calibri"/>
          <w:sz w:val="22"/>
        </w:rPr>
      </w:pPr>
      <w:r>
        <w:rPr>
          <w:rFonts w:ascii="Calibri" w:hAnsi="Calibri"/>
          <w:sz w:val="22"/>
        </w:rPr>
        <w:t>Development Goals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w:t>
      </w:r>
      <w:r w:rsidR="005764FD">
        <w:rPr>
          <w:rFonts w:ascii="Calibri" w:hAnsi="Calibri"/>
          <w:sz w:val="22"/>
        </w:rPr>
        <w:t>7</w:t>
      </w:r>
    </w:p>
    <w:p w14:paraId="576037BD" w14:textId="6F5A6533" w:rsidR="005A7763" w:rsidRDefault="005A7763" w:rsidP="005A7763">
      <w:pPr>
        <w:rPr>
          <w:rFonts w:ascii="Calibri" w:hAnsi="Calibri"/>
          <w:sz w:val="22"/>
        </w:rPr>
      </w:pPr>
    </w:p>
    <w:p w14:paraId="21472A80" w14:textId="77777777" w:rsidR="005A7763" w:rsidRDefault="005A7763" w:rsidP="005A7763">
      <w:pPr>
        <w:rPr>
          <w:rFonts w:ascii="Calibri" w:hAnsi="Calibri"/>
          <w:b/>
          <w:bCs/>
        </w:rPr>
      </w:pPr>
      <w:r>
        <w:rPr>
          <w:rFonts w:ascii="Calibri" w:hAnsi="Calibri"/>
          <w:b/>
          <w:bCs/>
        </w:rPr>
        <w:t>List of Figures</w:t>
      </w:r>
    </w:p>
    <w:p w14:paraId="73F37DB6" w14:textId="085EB73F" w:rsidR="00C57243" w:rsidRDefault="005A7763" w:rsidP="00C57243">
      <w:pPr>
        <w:pStyle w:val="CommentText"/>
        <w:spacing w:line="240" w:lineRule="auto"/>
        <w:rPr>
          <w:rFonts w:ascii="Calibri" w:hAnsi="Calibri"/>
        </w:rPr>
      </w:pPr>
      <w:r>
        <w:rPr>
          <w:rFonts w:ascii="Calibri" w:hAnsi="Calibri"/>
        </w:rPr>
        <w:t xml:space="preserve">Figure </w:t>
      </w:r>
      <w:r w:rsidR="00654BB0">
        <w:rPr>
          <w:rFonts w:ascii="Calibri" w:hAnsi="Calibri"/>
        </w:rPr>
        <w:t>I</w:t>
      </w:r>
      <w:r>
        <w:rPr>
          <w:rFonts w:ascii="Calibri" w:hAnsi="Calibri"/>
        </w:rPr>
        <w:t xml:space="preserve">-1: </w:t>
      </w:r>
      <w:r w:rsidR="00C57243">
        <w:rPr>
          <w:rFonts w:ascii="Calibri" w:hAnsi="Calibri"/>
        </w:rPr>
        <w:t xml:space="preserve">Median Household Income and Median Owner-occupied </w:t>
      </w:r>
    </w:p>
    <w:p w14:paraId="2D9BD3B7" w14:textId="2513C127" w:rsidR="00C57243" w:rsidRDefault="00C57243" w:rsidP="00C57243">
      <w:pPr>
        <w:pStyle w:val="CommentText"/>
        <w:spacing w:line="240" w:lineRule="auto"/>
        <w:rPr>
          <w:rFonts w:ascii="Calibri" w:hAnsi="Calibri"/>
        </w:rPr>
      </w:pPr>
      <w:r>
        <w:rPr>
          <w:rFonts w:ascii="Calibri" w:hAnsi="Calibri"/>
        </w:rPr>
        <w:t>Unit Values, 1990-2019</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3</w:t>
      </w:r>
    </w:p>
    <w:p w14:paraId="01E5C1D3" w14:textId="3448A576" w:rsidR="00C57243" w:rsidRDefault="00C57243" w:rsidP="00C57243">
      <w:pPr>
        <w:pStyle w:val="CommentText"/>
        <w:spacing w:line="240" w:lineRule="auto"/>
        <w:rPr>
          <w:rFonts w:ascii="Calibri" w:hAnsi="Calibri"/>
        </w:rPr>
      </w:pPr>
      <w:r>
        <w:rPr>
          <w:rFonts w:ascii="Calibri" w:hAnsi="Calibri"/>
        </w:rPr>
        <w:t>Figure I-2: Change in Population and Total Housing Units, 1990-2020</w:t>
      </w:r>
      <w:r>
        <w:rPr>
          <w:rFonts w:ascii="Calibri" w:hAnsi="Calibri"/>
        </w:rPr>
        <w:tab/>
      </w:r>
      <w:r>
        <w:rPr>
          <w:rFonts w:ascii="Calibri" w:hAnsi="Calibri"/>
        </w:rPr>
        <w:tab/>
        <w:t>4</w:t>
      </w:r>
    </w:p>
    <w:p w14:paraId="62007908" w14:textId="1DB91456" w:rsidR="00C57243" w:rsidRDefault="00C57243" w:rsidP="00C57243">
      <w:pPr>
        <w:pStyle w:val="CommentText"/>
        <w:spacing w:line="240" w:lineRule="auto"/>
        <w:rPr>
          <w:rFonts w:ascii="Calibri" w:hAnsi="Calibri"/>
        </w:rPr>
      </w:pPr>
      <w:r>
        <w:rPr>
          <w:rFonts w:ascii="Calibri" w:hAnsi="Calibri"/>
        </w:rPr>
        <w:t>Figure II-1:  Chapter 40B – What is Affordable Housing?</w:t>
      </w:r>
      <w:r>
        <w:rPr>
          <w:rFonts w:ascii="Calibri" w:hAnsi="Calibri"/>
        </w:rPr>
        <w:tab/>
      </w:r>
      <w:r>
        <w:rPr>
          <w:rFonts w:ascii="Calibri" w:hAnsi="Calibri"/>
        </w:rPr>
        <w:tab/>
      </w:r>
      <w:r>
        <w:rPr>
          <w:rFonts w:ascii="Calibri" w:hAnsi="Calibri"/>
        </w:rPr>
        <w:tab/>
      </w:r>
      <w:r>
        <w:rPr>
          <w:rFonts w:ascii="Calibri" w:hAnsi="Calibri"/>
        </w:rPr>
        <w:tab/>
        <w:t>1</w:t>
      </w:r>
      <w:r w:rsidR="003D07A0">
        <w:rPr>
          <w:rFonts w:ascii="Calibri" w:hAnsi="Calibri"/>
        </w:rPr>
        <w:t>2</w:t>
      </w:r>
    </w:p>
    <w:p w14:paraId="42362600" w14:textId="27A4014F" w:rsidR="005A7763" w:rsidRDefault="00C57243" w:rsidP="00C57243">
      <w:pPr>
        <w:pStyle w:val="CommentText"/>
        <w:spacing w:line="240" w:lineRule="auto"/>
        <w:rPr>
          <w:rFonts w:ascii="Calibri" w:hAnsi="Calibri"/>
        </w:rPr>
      </w:pPr>
      <w:r>
        <w:rPr>
          <w:rFonts w:ascii="Calibri" w:hAnsi="Calibri"/>
        </w:rPr>
        <w:t xml:space="preserve">Figure III-1: </w:t>
      </w:r>
      <w:r w:rsidR="005A7763">
        <w:rPr>
          <w:rFonts w:ascii="Calibri" w:hAnsi="Calibri"/>
        </w:rPr>
        <w:t xml:space="preserve">Population </w:t>
      </w:r>
      <w:r>
        <w:rPr>
          <w:rFonts w:ascii="Calibri" w:hAnsi="Calibri"/>
        </w:rPr>
        <w:t>Growth</w:t>
      </w:r>
      <w:r w:rsidR="005A7763">
        <w:rPr>
          <w:rFonts w:ascii="Calibri" w:hAnsi="Calibri"/>
        </w:rPr>
        <w:t>, 1950 to 20</w:t>
      </w:r>
      <w:r>
        <w:rPr>
          <w:rFonts w:ascii="Calibri" w:hAnsi="Calibri"/>
        </w:rPr>
        <w:t>2</w:t>
      </w:r>
      <w:r w:rsidR="005A7763">
        <w:rPr>
          <w:rFonts w:ascii="Calibri" w:hAnsi="Calibri"/>
        </w:rPr>
        <w:t>0</w:t>
      </w:r>
      <w:r w:rsidR="005A7763">
        <w:rPr>
          <w:rFonts w:ascii="Calibri" w:hAnsi="Calibri"/>
        </w:rPr>
        <w:tab/>
      </w:r>
      <w:r w:rsidR="005A7763">
        <w:rPr>
          <w:rFonts w:ascii="Calibri" w:hAnsi="Calibri"/>
        </w:rPr>
        <w:tab/>
      </w:r>
      <w:r w:rsidR="005A7763">
        <w:rPr>
          <w:rFonts w:ascii="Calibri" w:hAnsi="Calibri"/>
        </w:rPr>
        <w:tab/>
      </w:r>
      <w:r w:rsidR="005A7763">
        <w:rPr>
          <w:rFonts w:ascii="Calibri" w:hAnsi="Calibri"/>
        </w:rPr>
        <w:tab/>
      </w:r>
      <w:r w:rsidR="005A7763">
        <w:rPr>
          <w:rFonts w:ascii="Calibri" w:hAnsi="Calibri"/>
        </w:rPr>
        <w:tab/>
        <w:t>1</w:t>
      </w:r>
      <w:r w:rsidR="003D07A0">
        <w:rPr>
          <w:rFonts w:ascii="Calibri" w:hAnsi="Calibri"/>
        </w:rPr>
        <w:t>4</w:t>
      </w:r>
    </w:p>
    <w:p w14:paraId="325C9C00" w14:textId="0D1DA273" w:rsidR="005A7763" w:rsidRDefault="005A7763" w:rsidP="005A7763">
      <w:pPr>
        <w:rPr>
          <w:rFonts w:ascii="Calibri" w:hAnsi="Calibri"/>
          <w:sz w:val="22"/>
        </w:rPr>
      </w:pPr>
      <w:r>
        <w:rPr>
          <w:rFonts w:ascii="Calibri" w:hAnsi="Calibri"/>
          <w:sz w:val="22"/>
        </w:rPr>
        <w:t xml:space="preserve">Figure </w:t>
      </w:r>
      <w:r w:rsidR="00654BB0">
        <w:rPr>
          <w:rFonts w:ascii="Calibri" w:hAnsi="Calibri"/>
          <w:sz w:val="22"/>
        </w:rPr>
        <w:t>III</w:t>
      </w:r>
      <w:r>
        <w:rPr>
          <w:rFonts w:ascii="Calibri" w:hAnsi="Calibri"/>
          <w:sz w:val="22"/>
        </w:rPr>
        <w:t>-2: Changes in Age Distribution, 1990 to 201</w:t>
      </w:r>
      <w:r w:rsidR="007B2DEB">
        <w:rPr>
          <w:rFonts w:ascii="Calibri" w:hAnsi="Calibri"/>
          <w:sz w:val="22"/>
        </w:rPr>
        <w:t>9</w:t>
      </w:r>
      <w:r>
        <w:rPr>
          <w:rFonts w:ascii="Calibri" w:hAnsi="Calibri"/>
          <w:sz w:val="22"/>
        </w:rPr>
        <w:tab/>
      </w:r>
      <w:r>
        <w:rPr>
          <w:rFonts w:ascii="Calibri" w:hAnsi="Calibri"/>
          <w:sz w:val="22"/>
        </w:rPr>
        <w:tab/>
      </w:r>
      <w:r>
        <w:rPr>
          <w:rFonts w:ascii="Calibri" w:hAnsi="Calibri"/>
          <w:sz w:val="22"/>
        </w:rPr>
        <w:tab/>
      </w:r>
      <w:r>
        <w:rPr>
          <w:rFonts w:ascii="Calibri" w:hAnsi="Calibri"/>
          <w:sz w:val="22"/>
        </w:rPr>
        <w:tab/>
        <w:t>1</w:t>
      </w:r>
      <w:r w:rsidR="003D07A0">
        <w:rPr>
          <w:rFonts w:ascii="Calibri" w:hAnsi="Calibri"/>
          <w:sz w:val="22"/>
        </w:rPr>
        <w:t>7</w:t>
      </w:r>
    </w:p>
    <w:p w14:paraId="2AA6D6E6" w14:textId="74A16E00" w:rsidR="007B2DEB" w:rsidRDefault="007B2DEB" w:rsidP="005A7763">
      <w:pPr>
        <w:rPr>
          <w:rFonts w:ascii="Calibri" w:hAnsi="Calibri"/>
          <w:sz w:val="22"/>
        </w:rPr>
      </w:pPr>
      <w:r>
        <w:rPr>
          <w:rFonts w:ascii="Calibri" w:hAnsi="Calibri"/>
          <w:sz w:val="22"/>
        </w:rPr>
        <w:t>Figure III-3:  Population Change Comparison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w:t>
      </w:r>
      <w:r w:rsidR="003D07A0">
        <w:rPr>
          <w:rFonts w:ascii="Calibri" w:hAnsi="Calibri"/>
          <w:sz w:val="22"/>
        </w:rPr>
        <w:t>8</w:t>
      </w:r>
    </w:p>
    <w:p w14:paraId="566C67B7" w14:textId="3CFFA840" w:rsidR="007B2DEB" w:rsidRDefault="007B2DEB" w:rsidP="005A7763">
      <w:pPr>
        <w:rPr>
          <w:rFonts w:ascii="Calibri" w:hAnsi="Calibri"/>
          <w:sz w:val="22"/>
        </w:rPr>
      </w:pPr>
      <w:r>
        <w:rPr>
          <w:rFonts w:ascii="Calibri" w:hAnsi="Calibri"/>
          <w:sz w:val="22"/>
        </w:rPr>
        <w:t>Figure III-4; 2020 Census and 2020/2030 MAPC Population Projections</w:t>
      </w:r>
      <w:r>
        <w:rPr>
          <w:rFonts w:ascii="Calibri" w:hAnsi="Calibri"/>
          <w:sz w:val="22"/>
        </w:rPr>
        <w:tab/>
      </w:r>
      <w:r>
        <w:rPr>
          <w:rFonts w:ascii="Calibri" w:hAnsi="Calibri"/>
          <w:sz w:val="22"/>
        </w:rPr>
        <w:tab/>
      </w:r>
      <w:r w:rsidR="003D07A0">
        <w:rPr>
          <w:rFonts w:ascii="Calibri" w:hAnsi="Calibri"/>
          <w:sz w:val="22"/>
        </w:rPr>
        <w:t>19</w:t>
      </w:r>
    </w:p>
    <w:p w14:paraId="347A2DB2" w14:textId="4019D78C" w:rsidR="007B2DEB" w:rsidRDefault="007B2DEB" w:rsidP="005A7763">
      <w:pPr>
        <w:rPr>
          <w:rFonts w:ascii="Calibri" w:hAnsi="Calibri"/>
          <w:sz w:val="22"/>
        </w:rPr>
      </w:pPr>
      <w:r>
        <w:rPr>
          <w:rFonts w:ascii="Calibri" w:hAnsi="Calibri"/>
          <w:sz w:val="22"/>
        </w:rPr>
        <w:t>Figure III-5: Comparison of Population Projections</w:t>
      </w:r>
      <w:r>
        <w:rPr>
          <w:rFonts w:ascii="Calibri" w:hAnsi="Calibri"/>
          <w:sz w:val="22"/>
        </w:rPr>
        <w:tab/>
      </w:r>
      <w:r>
        <w:rPr>
          <w:rFonts w:ascii="Calibri" w:hAnsi="Calibri"/>
          <w:sz w:val="22"/>
        </w:rPr>
        <w:tab/>
      </w:r>
      <w:r>
        <w:rPr>
          <w:rFonts w:ascii="Calibri" w:hAnsi="Calibri"/>
          <w:sz w:val="22"/>
        </w:rPr>
        <w:tab/>
      </w:r>
      <w:r>
        <w:rPr>
          <w:rFonts w:ascii="Calibri" w:hAnsi="Calibri"/>
          <w:sz w:val="22"/>
        </w:rPr>
        <w:tab/>
        <w:t>2</w:t>
      </w:r>
      <w:r w:rsidR="003D07A0">
        <w:rPr>
          <w:rFonts w:ascii="Calibri" w:hAnsi="Calibri"/>
          <w:sz w:val="22"/>
        </w:rPr>
        <w:t>3</w:t>
      </w:r>
    </w:p>
    <w:p w14:paraId="25D98936" w14:textId="4EE2A132" w:rsidR="005A7763" w:rsidRDefault="005A7763" w:rsidP="005A7763">
      <w:pPr>
        <w:rPr>
          <w:rFonts w:ascii="Calibri" w:hAnsi="Calibri"/>
          <w:sz w:val="22"/>
        </w:rPr>
      </w:pPr>
      <w:r>
        <w:rPr>
          <w:rFonts w:ascii="Calibri" w:hAnsi="Calibri"/>
          <w:sz w:val="22"/>
        </w:rPr>
        <w:t xml:space="preserve">Figure </w:t>
      </w:r>
      <w:r w:rsidR="00654BB0">
        <w:rPr>
          <w:rFonts w:ascii="Calibri" w:hAnsi="Calibri"/>
          <w:sz w:val="22"/>
        </w:rPr>
        <w:t>III</w:t>
      </w:r>
      <w:r>
        <w:rPr>
          <w:rFonts w:ascii="Calibri" w:hAnsi="Calibri"/>
          <w:sz w:val="22"/>
        </w:rPr>
        <w:t>-</w:t>
      </w:r>
      <w:r w:rsidR="007B2DEB">
        <w:rPr>
          <w:rFonts w:ascii="Calibri" w:hAnsi="Calibri"/>
          <w:sz w:val="22"/>
        </w:rPr>
        <w:t>6</w:t>
      </w:r>
      <w:r>
        <w:rPr>
          <w:rFonts w:ascii="Calibri" w:hAnsi="Calibri"/>
          <w:sz w:val="22"/>
        </w:rPr>
        <w:t>: Income Distribution, 1989 to 201</w:t>
      </w:r>
      <w:r w:rsidR="007B2DEB">
        <w:rPr>
          <w:rFonts w:ascii="Calibri" w:hAnsi="Calibri"/>
          <w:sz w:val="22"/>
        </w:rPr>
        <w:t>9</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w:t>
      </w:r>
      <w:r w:rsidR="003D07A0">
        <w:rPr>
          <w:rFonts w:ascii="Calibri" w:hAnsi="Calibri"/>
          <w:sz w:val="22"/>
        </w:rPr>
        <w:t>8</w:t>
      </w:r>
    </w:p>
    <w:p w14:paraId="29B2D17A" w14:textId="58034560" w:rsidR="00F84DEE" w:rsidRDefault="00F84DEE" w:rsidP="005A7763">
      <w:pPr>
        <w:rPr>
          <w:rFonts w:ascii="Calibri" w:hAnsi="Calibri"/>
          <w:sz w:val="22"/>
        </w:rPr>
      </w:pPr>
      <w:r>
        <w:rPr>
          <w:rFonts w:ascii="Calibri" w:hAnsi="Calibri"/>
          <w:sz w:val="22"/>
        </w:rPr>
        <w:t>Figure III-7: Student Race and Diversity for Needham Public Schools, 2020-21</w:t>
      </w:r>
      <w:r>
        <w:rPr>
          <w:rFonts w:ascii="Calibri" w:hAnsi="Calibri"/>
          <w:sz w:val="22"/>
        </w:rPr>
        <w:tab/>
        <w:t>3</w:t>
      </w:r>
      <w:r w:rsidR="003D07A0">
        <w:rPr>
          <w:rFonts w:ascii="Calibri" w:hAnsi="Calibri"/>
          <w:sz w:val="22"/>
        </w:rPr>
        <w:t>4</w:t>
      </w:r>
    </w:p>
    <w:p w14:paraId="56792712" w14:textId="0242CB72" w:rsidR="00F84DEE" w:rsidRDefault="00F84DEE" w:rsidP="005A7763">
      <w:pPr>
        <w:rPr>
          <w:rFonts w:ascii="Calibri" w:hAnsi="Calibri"/>
          <w:sz w:val="22"/>
        </w:rPr>
      </w:pPr>
      <w:r>
        <w:rPr>
          <w:rFonts w:ascii="Calibri" w:hAnsi="Calibri"/>
          <w:sz w:val="22"/>
        </w:rPr>
        <w:t>Figure III-8: Selected Populations for Needham Public Schools, 2020-21</w:t>
      </w:r>
      <w:r>
        <w:rPr>
          <w:rFonts w:ascii="Calibri" w:hAnsi="Calibri"/>
          <w:sz w:val="22"/>
        </w:rPr>
        <w:tab/>
      </w:r>
      <w:r>
        <w:rPr>
          <w:rFonts w:ascii="Calibri" w:hAnsi="Calibri"/>
          <w:sz w:val="22"/>
        </w:rPr>
        <w:tab/>
      </w:r>
      <w:r w:rsidR="007D57F0">
        <w:rPr>
          <w:rFonts w:ascii="Calibri" w:hAnsi="Calibri"/>
          <w:sz w:val="22"/>
        </w:rPr>
        <w:t>3</w:t>
      </w:r>
      <w:r w:rsidR="003D07A0">
        <w:rPr>
          <w:rFonts w:ascii="Calibri" w:hAnsi="Calibri"/>
          <w:sz w:val="22"/>
        </w:rPr>
        <w:t>4</w:t>
      </w:r>
    </w:p>
    <w:p w14:paraId="6CC175E9" w14:textId="6A299CB6" w:rsidR="00F84DEE" w:rsidRDefault="005A7763" w:rsidP="005A7763">
      <w:pPr>
        <w:rPr>
          <w:rFonts w:ascii="Calibri" w:hAnsi="Calibri"/>
          <w:sz w:val="22"/>
        </w:rPr>
      </w:pPr>
      <w:r>
        <w:rPr>
          <w:rFonts w:ascii="Calibri" w:hAnsi="Calibri"/>
          <w:sz w:val="22"/>
        </w:rPr>
        <w:t xml:space="preserve">Figure </w:t>
      </w:r>
      <w:r w:rsidR="00654BB0">
        <w:rPr>
          <w:rFonts w:ascii="Calibri" w:hAnsi="Calibri"/>
          <w:sz w:val="22"/>
        </w:rPr>
        <w:t>III</w:t>
      </w:r>
      <w:r>
        <w:rPr>
          <w:rFonts w:ascii="Calibri" w:hAnsi="Calibri"/>
          <w:sz w:val="22"/>
        </w:rPr>
        <w:t>-</w:t>
      </w:r>
      <w:r w:rsidR="007D57F0">
        <w:rPr>
          <w:rFonts w:ascii="Calibri" w:hAnsi="Calibri"/>
          <w:sz w:val="22"/>
        </w:rPr>
        <w:t>9</w:t>
      </w:r>
      <w:r>
        <w:rPr>
          <w:rFonts w:ascii="Calibri" w:hAnsi="Calibri"/>
          <w:sz w:val="22"/>
        </w:rPr>
        <w:t>: Distribution of Units Per Structure, 201</w:t>
      </w:r>
      <w:r w:rsidR="007D57F0">
        <w:rPr>
          <w:rFonts w:ascii="Calibri" w:hAnsi="Calibri"/>
          <w:sz w:val="22"/>
        </w:rPr>
        <w:t>9</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7D57F0">
        <w:rPr>
          <w:rFonts w:ascii="Calibri" w:hAnsi="Calibri"/>
          <w:sz w:val="22"/>
        </w:rPr>
        <w:t>4</w:t>
      </w:r>
      <w:r w:rsidR="003D07A0">
        <w:rPr>
          <w:rFonts w:ascii="Calibri" w:hAnsi="Calibri"/>
          <w:sz w:val="22"/>
        </w:rPr>
        <w:t>0</w:t>
      </w:r>
    </w:p>
    <w:p w14:paraId="7C9BE9EC" w14:textId="3338139C" w:rsidR="005A7763" w:rsidRDefault="005A7763" w:rsidP="005A7763">
      <w:pPr>
        <w:rPr>
          <w:rFonts w:ascii="Calibri" w:hAnsi="Calibri"/>
          <w:sz w:val="22"/>
        </w:rPr>
      </w:pPr>
      <w:r>
        <w:rPr>
          <w:rFonts w:ascii="Calibri" w:hAnsi="Calibri"/>
          <w:sz w:val="22"/>
        </w:rPr>
        <w:t xml:space="preserve">Figure </w:t>
      </w:r>
      <w:r w:rsidR="00654BB0">
        <w:rPr>
          <w:rFonts w:ascii="Calibri" w:hAnsi="Calibri"/>
          <w:sz w:val="22"/>
        </w:rPr>
        <w:t>III</w:t>
      </w:r>
      <w:r>
        <w:rPr>
          <w:rFonts w:ascii="Calibri" w:hAnsi="Calibri"/>
          <w:sz w:val="22"/>
        </w:rPr>
        <w:t>-</w:t>
      </w:r>
      <w:r w:rsidR="007D57F0">
        <w:rPr>
          <w:rFonts w:ascii="Calibri" w:hAnsi="Calibri"/>
          <w:sz w:val="22"/>
        </w:rPr>
        <w:t>10</w:t>
      </w:r>
      <w:r>
        <w:rPr>
          <w:rFonts w:ascii="Calibri" w:hAnsi="Calibri"/>
          <w:sz w:val="22"/>
        </w:rPr>
        <w:t xml:space="preserve">: </w:t>
      </w:r>
      <w:r w:rsidR="007D57F0">
        <w:rPr>
          <w:rFonts w:ascii="Calibri" w:hAnsi="Calibri"/>
          <w:sz w:val="22"/>
        </w:rPr>
        <w:t xml:space="preserve">Change in </w:t>
      </w:r>
      <w:r>
        <w:rPr>
          <w:rFonts w:ascii="Calibri" w:hAnsi="Calibri"/>
          <w:sz w:val="22"/>
        </w:rPr>
        <w:t>Median Single-family Home Price for Needham and</w:t>
      </w:r>
    </w:p>
    <w:p w14:paraId="0469EFD5" w14:textId="65641A18" w:rsidR="005A7763" w:rsidRDefault="005A7763" w:rsidP="005A7763">
      <w:pPr>
        <w:rPr>
          <w:rFonts w:ascii="Calibri" w:hAnsi="Calibri"/>
          <w:sz w:val="22"/>
        </w:rPr>
      </w:pPr>
      <w:r>
        <w:rPr>
          <w:rFonts w:ascii="Calibri" w:hAnsi="Calibri"/>
          <w:sz w:val="22"/>
        </w:rPr>
        <w:t>Neighboring Communities, 2005</w:t>
      </w:r>
      <w:r w:rsidR="007D57F0">
        <w:rPr>
          <w:rFonts w:ascii="Calibri" w:hAnsi="Calibri"/>
          <w:sz w:val="22"/>
        </w:rPr>
        <w:t>, 2010</w:t>
      </w:r>
      <w:r>
        <w:rPr>
          <w:rFonts w:ascii="Calibri" w:hAnsi="Calibri"/>
          <w:sz w:val="22"/>
        </w:rPr>
        <w:t xml:space="preserve"> and </w:t>
      </w:r>
      <w:r w:rsidR="007D57F0">
        <w:rPr>
          <w:rFonts w:ascii="Calibri" w:hAnsi="Calibri"/>
          <w:sz w:val="22"/>
        </w:rPr>
        <w:t>September 2021</w:t>
      </w:r>
      <w:r>
        <w:rPr>
          <w:rFonts w:ascii="Calibri" w:hAnsi="Calibri"/>
          <w:sz w:val="22"/>
        </w:rPr>
        <w:tab/>
      </w:r>
      <w:r>
        <w:rPr>
          <w:rFonts w:ascii="Calibri" w:hAnsi="Calibri"/>
          <w:sz w:val="22"/>
        </w:rPr>
        <w:tab/>
      </w:r>
      <w:r>
        <w:rPr>
          <w:rFonts w:ascii="Calibri" w:hAnsi="Calibri"/>
          <w:sz w:val="22"/>
        </w:rPr>
        <w:tab/>
      </w:r>
      <w:r w:rsidR="007D57F0">
        <w:rPr>
          <w:rFonts w:ascii="Calibri" w:hAnsi="Calibri"/>
          <w:sz w:val="22"/>
        </w:rPr>
        <w:t>4</w:t>
      </w:r>
      <w:r w:rsidR="003D07A0">
        <w:rPr>
          <w:rFonts w:ascii="Calibri" w:hAnsi="Calibri"/>
          <w:sz w:val="22"/>
        </w:rPr>
        <w:t>5</w:t>
      </w:r>
    </w:p>
    <w:p w14:paraId="1A289132" w14:textId="4DE584AD" w:rsidR="005A7763" w:rsidRDefault="005A7763" w:rsidP="007D57F0">
      <w:pPr>
        <w:rPr>
          <w:rFonts w:ascii="Calibri" w:hAnsi="Calibri"/>
          <w:sz w:val="22"/>
        </w:rPr>
      </w:pPr>
      <w:r>
        <w:rPr>
          <w:rFonts w:ascii="Calibri" w:hAnsi="Calibri"/>
          <w:sz w:val="22"/>
        </w:rPr>
        <w:t xml:space="preserve">Figure </w:t>
      </w:r>
      <w:r w:rsidR="00654BB0">
        <w:rPr>
          <w:rFonts w:ascii="Calibri" w:hAnsi="Calibri"/>
          <w:sz w:val="22"/>
        </w:rPr>
        <w:t>III</w:t>
      </w:r>
      <w:r>
        <w:rPr>
          <w:rFonts w:ascii="Calibri" w:hAnsi="Calibri"/>
          <w:sz w:val="22"/>
        </w:rPr>
        <w:t>-</w:t>
      </w:r>
      <w:r w:rsidR="007D57F0">
        <w:rPr>
          <w:rFonts w:ascii="Calibri" w:hAnsi="Calibri"/>
          <w:sz w:val="22"/>
        </w:rPr>
        <w:t>11</w:t>
      </w:r>
      <w:r>
        <w:rPr>
          <w:rFonts w:ascii="Calibri" w:hAnsi="Calibri"/>
          <w:sz w:val="22"/>
        </w:rPr>
        <w:t xml:space="preserve">: </w:t>
      </w:r>
      <w:r w:rsidR="007D57F0">
        <w:rPr>
          <w:rFonts w:ascii="Calibri" w:hAnsi="Calibri"/>
          <w:sz w:val="22"/>
        </w:rPr>
        <w:t>Assessed Values of Single-family Homes, FY, 14, FY20 and FY22</w:t>
      </w:r>
      <w:r w:rsidR="007D57F0">
        <w:rPr>
          <w:rFonts w:ascii="Calibri" w:hAnsi="Calibri"/>
          <w:sz w:val="22"/>
        </w:rPr>
        <w:tab/>
        <w:t>4</w:t>
      </w:r>
      <w:r w:rsidR="003D07A0">
        <w:rPr>
          <w:rFonts w:ascii="Calibri" w:hAnsi="Calibri"/>
          <w:sz w:val="22"/>
        </w:rPr>
        <w:t>7</w:t>
      </w:r>
      <w:r>
        <w:rPr>
          <w:rFonts w:ascii="Calibri" w:hAnsi="Calibri"/>
          <w:sz w:val="22"/>
        </w:rPr>
        <w:tab/>
      </w:r>
      <w:r>
        <w:rPr>
          <w:rFonts w:ascii="Calibri" w:hAnsi="Calibri"/>
          <w:sz w:val="22"/>
        </w:rPr>
        <w:tab/>
      </w:r>
    </w:p>
    <w:p w14:paraId="2156E6BC" w14:textId="77777777" w:rsidR="005A7763" w:rsidRDefault="005A7763" w:rsidP="005A7763">
      <w:pPr>
        <w:rPr>
          <w:rFonts w:ascii="Calibri" w:hAnsi="Calibri"/>
        </w:rPr>
      </w:pPr>
    </w:p>
    <w:p w14:paraId="6EC26F57" w14:textId="77777777" w:rsidR="00C616F3" w:rsidRDefault="00C616F3" w:rsidP="005A7763">
      <w:pPr>
        <w:rPr>
          <w:rFonts w:ascii="Calibri" w:hAnsi="Calibri"/>
          <w:sz w:val="22"/>
        </w:rPr>
      </w:pPr>
    </w:p>
    <w:p w14:paraId="24F7DE7F" w14:textId="77777777" w:rsidR="00C616F3" w:rsidRDefault="00C616F3" w:rsidP="005A7763">
      <w:pPr>
        <w:rPr>
          <w:rFonts w:ascii="Calibri" w:hAnsi="Calibri"/>
          <w:sz w:val="22"/>
        </w:rPr>
      </w:pPr>
    </w:p>
    <w:p w14:paraId="541F7851" w14:textId="77777777" w:rsidR="00C616F3" w:rsidRDefault="00C616F3" w:rsidP="00C616F3">
      <w:pPr>
        <w:pStyle w:val="Header"/>
        <w:ind w:left="720" w:hanging="720"/>
        <w:jc w:val="center"/>
        <w:rPr>
          <w:rFonts w:ascii="Calibri" w:hAnsi="Calibri"/>
          <w:b/>
          <w:color w:val="1F497D" w:themeColor="text2"/>
          <w:sz w:val="28"/>
          <w:szCs w:val="28"/>
        </w:rPr>
      </w:pPr>
      <w:r>
        <w:rPr>
          <w:rFonts w:ascii="Calibri" w:hAnsi="Calibri"/>
          <w:b/>
          <w:color w:val="1F497D" w:themeColor="text2"/>
          <w:sz w:val="28"/>
          <w:szCs w:val="28"/>
        </w:rPr>
        <w:t>Acknowledgements</w:t>
      </w:r>
    </w:p>
    <w:p w14:paraId="78036F03" w14:textId="77777777" w:rsidR="00C616F3" w:rsidRPr="00C616F3" w:rsidRDefault="00C616F3" w:rsidP="00C616F3">
      <w:pPr>
        <w:pStyle w:val="Header"/>
        <w:jc w:val="both"/>
        <w:rPr>
          <w:rFonts w:ascii="Calibri" w:hAnsi="Calibri"/>
          <w:bCs/>
          <w:sz w:val="22"/>
          <w:szCs w:val="22"/>
        </w:rPr>
      </w:pPr>
      <w:r w:rsidRPr="00C616F3">
        <w:rPr>
          <w:rFonts w:ascii="Calibri" w:hAnsi="Calibri"/>
          <w:bCs/>
          <w:sz w:val="22"/>
          <w:szCs w:val="22"/>
        </w:rPr>
        <w:t>The Needham Planning Board and Housing Plan Working Group would like to acknowledge the following organizations and individuals for their contributions to this planning effort:</w:t>
      </w:r>
    </w:p>
    <w:p w14:paraId="36C6B91B" w14:textId="77777777" w:rsidR="00C616F3" w:rsidRPr="00C616F3" w:rsidRDefault="00C616F3" w:rsidP="00C616F3">
      <w:pPr>
        <w:pStyle w:val="Header"/>
        <w:rPr>
          <w:rFonts w:ascii="Calibri" w:hAnsi="Calibri"/>
          <w:bCs/>
          <w:sz w:val="22"/>
          <w:szCs w:val="22"/>
        </w:rPr>
      </w:pPr>
    </w:p>
    <w:p w14:paraId="00B813C2"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Angie Medeiros, Needham Housing Authority</w:t>
      </w:r>
    </w:p>
    <w:p w14:paraId="30DAAFE0"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Nayda Sanchez, Needham Housing Authority</w:t>
      </w:r>
    </w:p>
    <w:p w14:paraId="5099F945"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Chip Davis, Needham Town Assessor</w:t>
      </w:r>
    </w:p>
    <w:p w14:paraId="3DFCA9B1"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Lyn Heintz, Needham Building Department</w:t>
      </w:r>
    </w:p>
    <w:p w14:paraId="2106B063"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Tim MacDonald, Needham Department of Health and Human Services</w:t>
      </w:r>
    </w:p>
    <w:p w14:paraId="18A98B93" w14:textId="77777777" w:rsidR="00C616F3" w:rsidRPr="00C616F3" w:rsidRDefault="00C616F3" w:rsidP="00C616F3">
      <w:pPr>
        <w:pStyle w:val="Header"/>
        <w:numPr>
          <w:ilvl w:val="0"/>
          <w:numId w:val="15"/>
        </w:numPr>
        <w:ind w:left="720"/>
        <w:rPr>
          <w:rFonts w:ascii="Calibri" w:hAnsi="Calibri"/>
          <w:bCs/>
          <w:sz w:val="22"/>
          <w:szCs w:val="22"/>
        </w:rPr>
      </w:pPr>
      <w:r w:rsidRPr="00C616F3">
        <w:rPr>
          <w:rFonts w:ascii="Calibri" w:hAnsi="Calibri"/>
          <w:bCs/>
          <w:sz w:val="22"/>
          <w:szCs w:val="22"/>
        </w:rPr>
        <w:t>Lynn Schoeff, Needham Department of Health and Human Services</w:t>
      </w:r>
    </w:p>
    <w:p w14:paraId="3B5C566D" w14:textId="77777777" w:rsidR="00C616F3" w:rsidRPr="00C616F3" w:rsidRDefault="00C616F3" w:rsidP="00C616F3">
      <w:pPr>
        <w:rPr>
          <w:rFonts w:ascii="Calibri" w:hAnsi="Calibri"/>
          <w:sz w:val="22"/>
          <w:szCs w:val="22"/>
        </w:rPr>
      </w:pPr>
    </w:p>
    <w:p w14:paraId="702D8AB3" w14:textId="34365F6E" w:rsidR="00C616F3" w:rsidRDefault="00C616F3" w:rsidP="005A7763">
      <w:pPr>
        <w:rPr>
          <w:rFonts w:ascii="Calibri" w:hAnsi="Calibri"/>
          <w:sz w:val="22"/>
        </w:rPr>
        <w:sectPr w:rsidR="00C616F3">
          <w:headerReference w:type="default" r:id="rId9"/>
          <w:footerReference w:type="even" r:id="rId10"/>
          <w:footerReference w:type="default" r:id="rId11"/>
          <w:pgSz w:w="12240" w:h="15840"/>
          <w:pgMar w:top="1440" w:right="1800" w:bottom="1440" w:left="1800" w:header="720" w:footer="720" w:gutter="0"/>
          <w:pgNumType w:fmt="lowerRoman" w:start="1"/>
          <w:cols w:space="720"/>
          <w:titlePg/>
          <w:docGrid w:linePitch="360"/>
        </w:sectPr>
      </w:pPr>
    </w:p>
    <w:p w14:paraId="20585785" w14:textId="77777777" w:rsidR="00C829EA" w:rsidRPr="007732BD" w:rsidRDefault="00C829EA" w:rsidP="008772FC">
      <w:pPr>
        <w:pStyle w:val="Header"/>
        <w:ind w:left="720" w:hanging="720"/>
        <w:jc w:val="center"/>
        <w:rPr>
          <w:rFonts w:ascii="Calibri" w:hAnsi="Calibri"/>
          <w:b/>
          <w:color w:val="1F497D" w:themeColor="text2"/>
          <w:sz w:val="32"/>
          <w:szCs w:val="32"/>
        </w:rPr>
      </w:pPr>
      <w:r w:rsidRPr="007732BD">
        <w:rPr>
          <w:rFonts w:ascii="Calibri" w:hAnsi="Calibri"/>
          <w:b/>
          <w:color w:val="1F497D" w:themeColor="text2"/>
          <w:sz w:val="32"/>
          <w:szCs w:val="32"/>
        </w:rPr>
        <w:lastRenderedPageBreak/>
        <w:t>TOWN OF NEEDHAM</w:t>
      </w:r>
    </w:p>
    <w:p w14:paraId="78223E83" w14:textId="3D05223C" w:rsidR="008772FC" w:rsidRPr="007732BD" w:rsidRDefault="00582B03" w:rsidP="008772FC">
      <w:pPr>
        <w:pStyle w:val="Header"/>
        <w:ind w:left="720" w:hanging="720"/>
        <w:jc w:val="center"/>
        <w:rPr>
          <w:rFonts w:ascii="Calibri" w:hAnsi="Calibri"/>
          <w:b/>
          <w:color w:val="1F497D" w:themeColor="text2"/>
          <w:sz w:val="32"/>
          <w:szCs w:val="32"/>
        </w:rPr>
      </w:pPr>
      <w:r>
        <w:rPr>
          <w:rFonts w:ascii="Calibri" w:hAnsi="Calibri"/>
          <w:b/>
          <w:color w:val="1F497D" w:themeColor="text2"/>
          <w:sz w:val="32"/>
          <w:szCs w:val="32"/>
        </w:rPr>
        <w:t>HOUSING PLAN</w:t>
      </w:r>
    </w:p>
    <w:p w14:paraId="54C52671" w14:textId="1EB08402" w:rsidR="008772FC" w:rsidRDefault="008772FC" w:rsidP="008772FC">
      <w:pPr>
        <w:pStyle w:val="Header"/>
        <w:ind w:left="720" w:hanging="720"/>
        <w:jc w:val="center"/>
        <w:rPr>
          <w:rFonts w:ascii="Calibri" w:hAnsi="Calibri"/>
          <w:b/>
          <w:color w:val="FF0000"/>
          <w:sz w:val="22"/>
          <w:szCs w:val="22"/>
        </w:rPr>
      </w:pPr>
    </w:p>
    <w:p w14:paraId="74C4FFE3" w14:textId="77777777" w:rsidR="00A42CCD" w:rsidRDefault="00A42CCD" w:rsidP="008772FC">
      <w:pPr>
        <w:pStyle w:val="Header"/>
        <w:ind w:left="720" w:hanging="720"/>
        <w:jc w:val="center"/>
        <w:rPr>
          <w:rFonts w:ascii="Calibri" w:hAnsi="Calibri"/>
          <w:b/>
          <w:color w:val="FF0000"/>
          <w:sz w:val="22"/>
          <w:szCs w:val="22"/>
        </w:rPr>
      </w:pPr>
    </w:p>
    <w:p w14:paraId="4BC2B670" w14:textId="33B0075D" w:rsidR="00CE0594" w:rsidRDefault="00CE0594" w:rsidP="005D3FC9">
      <w:pPr>
        <w:pStyle w:val="Header"/>
        <w:numPr>
          <w:ilvl w:val="0"/>
          <w:numId w:val="16"/>
        </w:numPr>
        <w:tabs>
          <w:tab w:val="clear" w:pos="4680"/>
          <w:tab w:val="center" w:pos="720"/>
        </w:tabs>
        <w:ind w:hanging="1080"/>
        <w:jc w:val="both"/>
        <w:rPr>
          <w:rFonts w:ascii="Calibri" w:hAnsi="Calibri"/>
          <w:b/>
          <w:color w:val="002060"/>
          <w:sz w:val="28"/>
          <w:szCs w:val="28"/>
        </w:rPr>
      </w:pPr>
      <w:r w:rsidRPr="00CE0594">
        <w:rPr>
          <w:rFonts w:ascii="Calibri" w:hAnsi="Calibri"/>
          <w:b/>
          <w:color w:val="002060"/>
          <w:sz w:val="28"/>
          <w:szCs w:val="28"/>
        </w:rPr>
        <w:t>EXECUTIVE SUMMARY</w:t>
      </w:r>
    </w:p>
    <w:p w14:paraId="183F6F52" w14:textId="0AE7C853" w:rsidR="00BA2AC1" w:rsidRPr="000C7CDE" w:rsidRDefault="00BA2AC1" w:rsidP="005A7763">
      <w:pPr>
        <w:pStyle w:val="BodyTextIndent"/>
        <w:spacing w:after="0"/>
        <w:ind w:left="0"/>
        <w:jc w:val="both"/>
        <w:rPr>
          <w:rFonts w:ascii="Calibri" w:hAnsi="Calibri"/>
          <w:sz w:val="22"/>
          <w:szCs w:val="22"/>
        </w:rPr>
      </w:pPr>
      <w:r w:rsidRPr="005A7763">
        <w:rPr>
          <w:rFonts w:ascii="Calibri" w:hAnsi="Calibri"/>
          <w:sz w:val="22"/>
          <w:szCs w:val="22"/>
        </w:rPr>
        <w:t xml:space="preserve">Needham is among the most desirable places in the state to live, work, and raise children.  However, based on a substantial affordability gap due to demographic and economic conditions, the community must continue to strategically plan for more affordable and accessible residential development in appropriate locations.  The Needham </w:t>
      </w:r>
      <w:r w:rsidR="007918C1">
        <w:rPr>
          <w:rFonts w:ascii="Calibri" w:hAnsi="Calibri"/>
          <w:sz w:val="22"/>
          <w:szCs w:val="22"/>
        </w:rPr>
        <w:t>Planning Board</w:t>
      </w:r>
      <w:r w:rsidRPr="005A7763">
        <w:rPr>
          <w:rFonts w:ascii="Calibri" w:hAnsi="Calibri"/>
          <w:sz w:val="22"/>
          <w:szCs w:val="22"/>
        </w:rPr>
        <w:t xml:space="preserve"> is sponsoring this Housing </w:t>
      </w:r>
      <w:r w:rsidR="007918C1">
        <w:rPr>
          <w:rFonts w:ascii="Calibri" w:hAnsi="Calibri"/>
          <w:sz w:val="22"/>
          <w:szCs w:val="22"/>
        </w:rPr>
        <w:t>Plan</w:t>
      </w:r>
      <w:r w:rsidRPr="005A7763">
        <w:rPr>
          <w:rFonts w:ascii="Calibri" w:hAnsi="Calibri"/>
          <w:sz w:val="22"/>
          <w:szCs w:val="22"/>
        </w:rPr>
        <w:t xml:space="preserve"> to obtain important updated documentation on these conditions and identify priority local housing needs to guide decision-making on</w:t>
      </w:r>
      <w:r w:rsidR="007918C1">
        <w:rPr>
          <w:rFonts w:ascii="Calibri" w:hAnsi="Calibri"/>
          <w:sz w:val="22"/>
          <w:szCs w:val="22"/>
        </w:rPr>
        <w:t xml:space="preserve"> the Town’s</w:t>
      </w:r>
      <w:r w:rsidRPr="005A7763">
        <w:rPr>
          <w:rFonts w:ascii="Calibri" w:hAnsi="Calibri"/>
          <w:sz w:val="22"/>
          <w:szCs w:val="22"/>
        </w:rPr>
        <w:t xml:space="preserve"> future </w:t>
      </w:r>
      <w:r w:rsidR="007918C1">
        <w:rPr>
          <w:rFonts w:ascii="Calibri" w:hAnsi="Calibri"/>
          <w:sz w:val="22"/>
          <w:szCs w:val="22"/>
        </w:rPr>
        <w:t>housing agenda</w:t>
      </w:r>
      <w:r w:rsidRPr="005A7763">
        <w:rPr>
          <w:rFonts w:ascii="Calibri" w:hAnsi="Calibri"/>
          <w:sz w:val="22"/>
          <w:szCs w:val="22"/>
        </w:rPr>
        <w:t xml:space="preserve">. </w:t>
      </w:r>
      <w:r w:rsidR="00EF2779">
        <w:rPr>
          <w:rFonts w:ascii="Calibri" w:hAnsi="Calibri"/>
          <w:sz w:val="22"/>
          <w:szCs w:val="22"/>
        </w:rPr>
        <w:t xml:space="preserve">To undertake this work, the Planning Board has appointed a Working Group composed of representatives of various local boards and committees as well as at-large members of the community.  The active engagement of local leaders, housing stakeholders, and residents is a </w:t>
      </w:r>
      <w:r w:rsidR="00EF2779" w:rsidRPr="000C7CDE">
        <w:rPr>
          <w:rFonts w:ascii="Calibri" w:hAnsi="Calibri"/>
          <w:sz w:val="22"/>
          <w:szCs w:val="22"/>
        </w:rPr>
        <w:t>key component of the planning process that has included several community meetings and a community housing survey.</w:t>
      </w:r>
    </w:p>
    <w:p w14:paraId="549E683E" w14:textId="2A46DE6B" w:rsidR="00BA2AC1" w:rsidRPr="000C7CDE" w:rsidRDefault="00BA2AC1" w:rsidP="005A7763">
      <w:pPr>
        <w:pStyle w:val="BodyText3"/>
        <w:spacing w:after="0"/>
        <w:rPr>
          <w:rFonts w:ascii="Calibri" w:hAnsi="Calibri"/>
          <w:sz w:val="22"/>
        </w:rPr>
      </w:pPr>
    </w:p>
    <w:p w14:paraId="7BCF65DD" w14:textId="2D2D11FC" w:rsidR="0042546C" w:rsidRPr="000C7CDE" w:rsidRDefault="0042546C" w:rsidP="005B2C1D">
      <w:pPr>
        <w:pStyle w:val="BodyText3"/>
        <w:spacing w:after="0"/>
        <w:jc w:val="both"/>
        <w:rPr>
          <w:rFonts w:ascii="Calibri" w:hAnsi="Calibri"/>
          <w:bCs/>
          <w:sz w:val="22"/>
          <w:szCs w:val="22"/>
        </w:rPr>
      </w:pPr>
      <w:r w:rsidRPr="000C7CDE">
        <w:rPr>
          <w:rFonts w:ascii="Calibri" w:hAnsi="Calibri"/>
          <w:bCs/>
          <w:sz w:val="22"/>
          <w:szCs w:val="22"/>
        </w:rPr>
        <w:t xml:space="preserve">The Town of Needham has not had an approved Housing Plan in place since 2007, although it has made considerable progress in producing affordable housing since then, adding 894 new </w:t>
      </w:r>
      <w:r w:rsidR="005B2C1D" w:rsidRPr="000C7CDE">
        <w:rPr>
          <w:rFonts w:ascii="Calibri" w:hAnsi="Calibri"/>
          <w:bCs/>
          <w:sz w:val="22"/>
          <w:szCs w:val="22"/>
        </w:rPr>
        <w:t>state-approved</w:t>
      </w:r>
      <w:r w:rsidRPr="000C7CDE">
        <w:rPr>
          <w:rFonts w:ascii="Calibri" w:hAnsi="Calibri"/>
          <w:bCs/>
          <w:sz w:val="22"/>
          <w:szCs w:val="22"/>
        </w:rPr>
        <w:t xml:space="preserve"> units</w:t>
      </w:r>
      <w:r w:rsidRPr="000C7CDE">
        <w:rPr>
          <w:rStyle w:val="FootnoteReference"/>
          <w:rFonts w:ascii="Calibri" w:hAnsi="Calibri"/>
          <w:bCs/>
          <w:sz w:val="22"/>
          <w:szCs w:val="22"/>
        </w:rPr>
        <w:footnoteReference w:id="1"/>
      </w:r>
      <w:r w:rsidR="005B2C1D" w:rsidRPr="000C7CDE">
        <w:rPr>
          <w:rFonts w:ascii="Calibri" w:hAnsi="Calibri"/>
          <w:bCs/>
          <w:sz w:val="22"/>
          <w:szCs w:val="22"/>
        </w:rPr>
        <w:t xml:space="preserve"> to its Subsidized Housing Inventory (SHI)</w:t>
      </w:r>
      <w:r w:rsidRPr="000C7CDE">
        <w:rPr>
          <w:rFonts w:ascii="Calibri" w:hAnsi="Calibri"/>
          <w:bCs/>
          <w:sz w:val="22"/>
          <w:szCs w:val="22"/>
        </w:rPr>
        <w:t xml:space="preserve"> and surpassing the state affordability goal of 10%.  Despite reaching this threshold, the Town recognizes that significant unmet housing needs remain, particularly in the context of unprecedented housing prices and the pandemic.  Consequently, the Town has determined that it should revisit its housing agenda by obtaining updated documentation on the local housing dynamic and preparing a Housing Plan to strategically address identified priority housing needs.</w:t>
      </w:r>
    </w:p>
    <w:p w14:paraId="2CD0D74C" w14:textId="77777777" w:rsidR="0042546C" w:rsidRPr="000C7CDE" w:rsidRDefault="0042546C" w:rsidP="005A7763">
      <w:pPr>
        <w:pStyle w:val="BodyText3"/>
        <w:spacing w:after="0"/>
        <w:rPr>
          <w:rFonts w:ascii="Calibri" w:hAnsi="Calibri"/>
          <w:sz w:val="22"/>
        </w:rPr>
      </w:pPr>
    </w:p>
    <w:p w14:paraId="6AE57F4E" w14:textId="250AA35E" w:rsidR="007918C1" w:rsidRPr="000C7CDE" w:rsidRDefault="007918C1" w:rsidP="007918C1">
      <w:pPr>
        <w:pStyle w:val="Header"/>
        <w:jc w:val="both"/>
        <w:rPr>
          <w:rFonts w:asciiTheme="minorHAnsi" w:hAnsiTheme="minorHAnsi"/>
          <w:sz w:val="22"/>
          <w:szCs w:val="22"/>
        </w:rPr>
      </w:pPr>
      <w:r w:rsidRPr="000C7CDE">
        <w:rPr>
          <w:rFonts w:asciiTheme="minorHAnsi" w:hAnsiTheme="minorHAnsi"/>
          <w:sz w:val="22"/>
          <w:szCs w:val="22"/>
        </w:rPr>
        <w:t>The Town of Needham has approximately 11,800 total housing units with a median single-family house price of $1.</w:t>
      </w:r>
      <w:r w:rsidR="004359F6">
        <w:rPr>
          <w:rFonts w:asciiTheme="minorHAnsi" w:hAnsiTheme="minorHAnsi"/>
          <w:sz w:val="22"/>
          <w:szCs w:val="22"/>
        </w:rPr>
        <w:t>29</w:t>
      </w:r>
      <w:r w:rsidRPr="000C7CDE">
        <w:rPr>
          <w:rFonts w:asciiTheme="minorHAnsi" w:hAnsiTheme="minorHAnsi"/>
          <w:sz w:val="22"/>
          <w:szCs w:val="22"/>
        </w:rPr>
        <w:t xml:space="preserve"> million in 2021 ($8</w:t>
      </w:r>
      <w:r w:rsidR="004359F6">
        <w:rPr>
          <w:rFonts w:asciiTheme="minorHAnsi" w:hAnsiTheme="minorHAnsi"/>
          <w:sz w:val="22"/>
          <w:szCs w:val="22"/>
        </w:rPr>
        <w:t>85,000</w:t>
      </w:r>
      <w:r w:rsidRPr="000C7CDE">
        <w:rPr>
          <w:rFonts w:asciiTheme="minorHAnsi" w:hAnsiTheme="minorHAnsi"/>
          <w:sz w:val="22"/>
          <w:szCs w:val="22"/>
        </w:rPr>
        <w:t xml:space="preserve"> for condominium</w:t>
      </w:r>
      <w:r w:rsidR="0015294E">
        <w:rPr>
          <w:rFonts w:asciiTheme="minorHAnsi" w:hAnsiTheme="minorHAnsi"/>
          <w:sz w:val="22"/>
          <w:szCs w:val="22"/>
        </w:rPr>
        <w:t xml:space="preserve"> unit</w:t>
      </w:r>
      <w:r w:rsidRPr="000C7CDE">
        <w:rPr>
          <w:rFonts w:asciiTheme="minorHAnsi" w:hAnsiTheme="minorHAnsi"/>
          <w:sz w:val="22"/>
          <w:szCs w:val="22"/>
        </w:rPr>
        <w:t>s), up from $1,065,000 (+21%) and $805,000 (+</w:t>
      </w:r>
      <w:r w:rsidR="004359F6">
        <w:rPr>
          <w:rFonts w:asciiTheme="minorHAnsi" w:hAnsiTheme="minorHAnsi"/>
          <w:sz w:val="22"/>
          <w:szCs w:val="22"/>
        </w:rPr>
        <w:t>10</w:t>
      </w:r>
      <w:r w:rsidRPr="000C7CDE">
        <w:rPr>
          <w:rFonts w:asciiTheme="minorHAnsi" w:hAnsiTheme="minorHAnsi"/>
          <w:sz w:val="22"/>
          <w:szCs w:val="22"/>
        </w:rPr>
        <w:t>%), respectively, as of the end of 2019.  Housing prices are not only high and rising, but further evidence of tightening market conditions is reflected in vacancy rates</w:t>
      </w:r>
      <w:r w:rsidR="008568B1">
        <w:rPr>
          <w:rFonts w:asciiTheme="minorHAnsi" w:hAnsiTheme="minorHAnsi"/>
          <w:sz w:val="22"/>
          <w:szCs w:val="22"/>
        </w:rPr>
        <w:t xml:space="preserve"> for both rental and homeownership units</w:t>
      </w:r>
      <w:r w:rsidRPr="000C7CDE">
        <w:rPr>
          <w:rFonts w:asciiTheme="minorHAnsi" w:hAnsiTheme="minorHAnsi"/>
          <w:sz w:val="22"/>
          <w:szCs w:val="22"/>
        </w:rPr>
        <w:t xml:space="preserve"> </w:t>
      </w:r>
      <w:r w:rsidR="004359F6">
        <w:rPr>
          <w:rFonts w:asciiTheme="minorHAnsi" w:hAnsiTheme="minorHAnsi"/>
          <w:sz w:val="22"/>
          <w:szCs w:val="22"/>
        </w:rPr>
        <w:t>of</w:t>
      </w:r>
      <w:r w:rsidRPr="000C7CDE">
        <w:rPr>
          <w:rFonts w:asciiTheme="minorHAnsi" w:hAnsiTheme="minorHAnsi"/>
          <w:sz w:val="22"/>
          <w:szCs w:val="22"/>
        </w:rPr>
        <w:t xml:space="preserve"> </w:t>
      </w:r>
      <w:r w:rsidR="004359F6">
        <w:rPr>
          <w:rFonts w:asciiTheme="minorHAnsi" w:hAnsiTheme="minorHAnsi"/>
          <w:sz w:val="22"/>
          <w:szCs w:val="22"/>
        </w:rPr>
        <w:t>2.6</w:t>
      </w:r>
      <w:r w:rsidRPr="000C7CDE">
        <w:rPr>
          <w:rFonts w:asciiTheme="minorHAnsi" w:hAnsiTheme="minorHAnsi"/>
          <w:sz w:val="22"/>
          <w:szCs w:val="22"/>
        </w:rPr>
        <w:t>%</w:t>
      </w:r>
      <w:r w:rsidR="004359F6">
        <w:rPr>
          <w:rFonts w:asciiTheme="minorHAnsi" w:hAnsiTheme="minorHAnsi"/>
          <w:sz w:val="22"/>
          <w:szCs w:val="22"/>
        </w:rPr>
        <w:t xml:space="preserve"> and 1.0%, respectively,</w:t>
      </w:r>
      <w:r w:rsidRPr="000C7CDE">
        <w:rPr>
          <w:rFonts w:asciiTheme="minorHAnsi" w:hAnsiTheme="minorHAnsi"/>
          <w:sz w:val="22"/>
          <w:szCs w:val="22"/>
        </w:rPr>
        <w:t xml:space="preserve"> and little or no </w:t>
      </w:r>
      <w:r w:rsidR="001C0D6C">
        <w:rPr>
          <w:rFonts w:asciiTheme="minorHAnsi" w:hAnsiTheme="minorHAnsi"/>
          <w:sz w:val="22"/>
          <w:szCs w:val="22"/>
        </w:rPr>
        <w:t xml:space="preserve">units </w:t>
      </w:r>
      <w:r w:rsidRPr="000C7CDE">
        <w:rPr>
          <w:rFonts w:asciiTheme="minorHAnsi" w:hAnsiTheme="minorHAnsi"/>
          <w:sz w:val="22"/>
          <w:szCs w:val="22"/>
        </w:rPr>
        <w:t>remaining in the private unsubsidized housing stock</w:t>
      </w:r>
      <w:r w:rsidR="001C0D6C">
        <w:rPr>
          <w:rFonts w:asciiTheme="minorHAnsi" w:hAnsiTheme="minorHAnsi"/>
          <w:sz w:val="22"/>
          <w:szCs w:val="22"/>
        </w:rPr>
        <w:t xml:space="preserve"> that would be affordable to low- and moderate-income residents</w:t>
      </w:r>
      <w:r w:rsidRPr="000C7CDE">
        <w:rPr>
          <w:rFonts w:asciiTheme="minorHAnsi" w:hAnsiTheme="minorHAnsi"/>
          <w:sz w:val="22"/>
          <w:szCs w:val="22"/>
        </w:rPr>
        <w:t xml:space="preserve">. These conditions have been exacerbated by substantial teardown activity, involving the demolition of more modest homes </w:t>
      </w:r>
      <w:r w:rsidR="008568B1">
        <w:rPr>
          <w:rFonts w:asciiTheme="minorHAnsi" w:hAnsiTheme="minorHAnsi"/>
          <w:sz w:val="22"/>
          <w:szCs w:val="22"/>
        </w:rPr>
        <w:t xml:space="preserve">replaced </w:t>
      </w:r>
      <w:r w:rsidRPr="000C7CDE">
        <w:rPr>
          <w:rFonts w:asciiTheme="minorHAnsi" w:hAnsiTheme="minorHAnsi"/>
          <w:sz w:val="22"/>
          <w:szCs w:val="22"/>
        </w:rPr>
        <w:t xml:space="preserve">with much larger and expensive ones, further driving up housing prices and eroding housing </w:t>
      </w:r>
      <w:r w:rsidR="008568B1">
        <w:rPr>
          <w:rFonts w:asciiTheme="minorHAnsi" w:hAnsiTheme="minorHAnsi"/>
          <w:sz w:val="22"/>
          <w:szCs w:val="22"/>
        </w:rPr>
        <w:t>options</w:t>
      </w:r>
      <w:r w:rsidRPr="000C7CDE">
        <w:rPr>
          <w:rFonts w:asciiTheme="minorHAnsi" w:hAnsiTheme="minorHAnsi"/>
          <w:sz w:val="22"/>
          <w:szCs w:val="22"/>
        </w:rPr>
        <w:t xml:space="preserve">. </w:t>
      </w:r>
      <w:r w:rsidR="007648E9" w:rsidRPr="000C7CDE">
        <w:rPr>
          <w:rFonts w:asciiTheme="minorHAnsi" w:hAnsiTheme="minorHAnsi"/>
          <w:sz w:val="22"/>
          <w:szCs w:val="22"/>
        </w:rPr>
        <w:t xml:space="preserve">Low interest rates have also been a force in </w:t>
      </w:r>
      <w:r w:rsidR="00013CC9" w:rsidRPr="000C7CDE">
        <w:rPr>
          <w:rFonts w:asciiTheme="minorHAnsi" w:hAnsiTheme="minorHAnsi"/>
          <w:sz w:val="22"/>
          <w:szCs w:val="22"/>
        </w:rPr>
        <w:t>increasing</w:t>
      </w:r>
      <w:r w:rsidR="007648E9" w:rsidRPr="000C7CDE">
        <w:rPr>
          <w:rFonts w:asciiTheme="minorHAnsi" w:hAnsiTheme="minorHAnsi"/>
          <w:sz w:val="22"/>
          <w:szCs w:val="22"/>
        </w:rPr>
        <w:t xml:space="preserve"> housing demand and thus prices. </w:t>
      </w:r>
      <w:r w:rsidR="001C0D6C">
        <w:rPr>
          <w:rFonts w:asciiTheme="minorHAnsi" w:hAnsiTheme="minorHAnsi"/>
          <w:sz w:val="22"/>
          <w:szCs w:val="22"/>
        </w:rPr>
        <w:t xml:space="preserve"> </w:t>
      </w:r>
      <w:r w:rsidR="007648E9" w:rsidRPr="000C7CDE">
        <w:rPr>
          <w:rFonts w:asciiTheme="minorHAnsi" w:hAnsiTheme="minorHAnsi"/>
          <w:sz w:val="22"/>
          <w:szCs w:val="22"/>
        </w:rPr>
        <w:t>It should be further noted that t</w:t>
      </w:r>
      <w:r w:rsidRPr="000C7CDE">
        <w:rPr>
          <w:rFonts w:asciiTheme="minorHAnsi" w:hAnsiTheme="minorHAnsi"/>
          <w:sz w:val="22"/>
          <w:szCs w:val="22"/>
        </w:rPr>
        <w:t xml:space="preserve">he loss of income that </w:t>
      </w:r>
      <w:r w:rsidR="007648E9" w:rsidRPr="000C7CDE">
        <w:rPr>
          <w:rFonts w:asciiTheme="minorHAnsi" w:hAnsiTheme="minorHAnsi"/>
          <w:sz w:val="22"/>
          <w:szCs w:val="22"/>
        </w:rPr>
        <w:t>some households</w:t>
      </w:r>
      <w:r w:rsidRPr="000C7CDE">
        <w:rPr>
          <w:rFonts w:asciiTheme="minorHAnsi" w:hAnsiTheme="minorHAnsi"/>
          <w:sz w:val="22"/>
          <w:szCs w:val="22"/>
        </w:rPr>
        <w:t xml:space="preserve"> suffered as a result of </w:t>
      </w:r>
      <w:r w:rsidR="0015294E">
        <w:rPr>
          <w:rFonts w:asciiTheme="minorHAnsi" w:hAnsiTheme="minorHAnsi"/>
          <w:sz w:val="22"/>
          <w:szCs w:val="22"/>
        </w:rPr>
        <w:t xml:space="preserve">the </w:t>
      </w:r>
      <w:r w:rsidRPr="000C7CDE">
        <w:rPr>
          <w:rFonts w:asciiTheme="minorHAnsi" w:hAnsiTheme="minorHAnsi"/>
          <w:sz w:val="22"/>
          <w:szCs w:val="22"/>
        </w:rPr>
        <w:t>Covid-19</w:t>
      </w:r>
      <w:r w:rsidR="0015294E">
        <w:rPr>
          <w:rFonts w:asciiTheme="minorHAnsi" w:hAnsiTheme="minorHAnsi"/>
          <w:sz w:val="22"/>
          <w:szCs w:val="22"/>
        </w:rPr>
        <w:t xml:space="preserve"> pandemic</w:t>
      </w:r>
      <w:r w:rsidRPr="000C7CDE">
        <w:rPr>
          <w:rFonts w:asciiTheme="minorHAnsi" w:hAnsiTheme="minorHAnsi"/>
          <w:sz w:val="22"/>
          <w:szCs w:val="22"/>
        </w:rPr>
        <w:t xml:space="preserve"> </w:t>
      </w:r>
      <w:r w:rsidR="007648E9" w:rsidRPr="000C7CDE">
        <w:rPr>
          <w:rFonts w:asciiTheme="minorHAnsi" w:hAnsiTheme="minorHAnsi"/>
          <w:sz w:val="22"/>
          <w:szCs w:val="22"/>
        </w:rPr>
        <w:t xml:space="preserve">as well as rising property taxes due to </w:t>
      </w:r>
      <w:r w:rsidR="00013CC9" w:rsidRPr="000C7CDE">
        <w:rPr>
          <w:rFonts w:asciiTheme="minorHAnsi" w:hAnsiTheme="minorHAnsi"/>
          <w:sz w:val="22"/>
          <w:szCs w:val="22"/>
        </w:rPr>
        <w:t>escalating</w:t>
      </w:r>
      <w:r w:rsidR="007648E9" w:rsidRPr="000C7CDE">
        <w:rPr>
          <w:rFonts w:asciiTheme="minorHAnsi" w:hAnsiTheme="minorHAnsi"/>
          <w:sz w:val="22"/>
          <w:szCs w:val="22"/>
        </w:rPr>
        <w:t xml:space="preserve"> housing values, as well as other higher housing-related costs, have contributed to widening affordability gaps with some residents struggling to remain in the community</w:t>
      </w:r>
      <w:r w:rsidRPr="000C7CDE">
        <w:rPr>
          <w:rFonts w:asciiTheme="minorHAnsi" w:hAnsiTheme="minorHAnsi"/>
          <w:sz w:val="22"/>
          <w:szCs w:val="22"/>
        </w:rPr>
        <w:t xml:space="preserve">.  </w:t>
      </w:r>
    </w:p>
    <w:p w14:paraId="0151D1F8" w14:textId="77777777" w:rsidR="007918C1" w:rsidRPr="000C7CDE" w:rsidRDefault="007918C1" w:rsidP="007918C1">
      <w:pPr>
        <w:jc w:val="both"/>
        <w:rPr>
          <w:rFonts w:asciiTheme="minorHAnsi" w:hAnsiTheme="minorHAnsi"/>
          <w:sz w:val="22"/>
          <w:szCs w:val="22"/>
        </w:rPr>
      </w:pPr>
    </w:p>
    <w:p w14:paraId="225E8ADC" w14:textId="3C7A95A1" w:rsidR="007918C1" w:rsidRDefault="007918C1" w:rsidP="0042546C">
      <w:pPr>
        <w:pStyle w:val="BodyText2"/>
        <w:spacing w:after="0" w:line="240" w:lineRule="auto"/>
        <w:jc w:val="both"/>
        <w:rPr>
          <w:rFonts w:ascii="Calibri" w:hAnsi="Calibri"/>
          <w:sz w:val="22"/>
          <w:szCs w:val="22"/>
        </w:rPr>
      </w:pPr>
      <w:r w:rsidRPr="000C7CDE">
        <w:rPr>
          <w:rFonts w:ascii="Calibri" w:hAnsi="Calibri"/>
          <w:sz w:val="22"/>
        </w:rPr>
        <w:t>It is the premise of this Housing Plan to create housing opportunities that will not only be affordable</w:t>
      </w:r>
      <w:r w:rsidR="004359F6">
        <w:rPr>
          <w:rFonts w:ascii="Calibri" w:hAnsi="Calibri"/>
          <w:sz w:val="22"/>
        </w:rPr>
        <w:t xml:space="preserve"> to low- and moderate-</w:t>
      </w:r>
      <w:r w:rsidR="008C3389">
        <w:rPr>
          <w:rFonts w:ascii="Calibri" w:hAnsi="Calibri"/>
          <w:sz w:val="22"/>
        </w:rPr>
        <w:t>i</w:t>
      </w:r>
      <w:r w:rsidR="004359F6">
        <w:rPr>
          <w:rFonts w:ascii="Calibri" w:hAnsi="Calibri"/>
          <w:sz w:val="22"/>
        </w:rPr>
        <w:t>ncome households</w:t>
      </w:r>
      <w:r w:rsidRPr="000C7CDE">
        <w:rPr>
          <w:rFonts w:ascii="Calibri" w:hAnsi="Calibri"/>
          <w:sz w:val="22"/>
        </w:rPr>
        <w:t xml:space="preserve"> but </w:t>
      </w:r>
      <w:r w:rsidR="008C3389">
        <w:rPr>
          <w:rFonts w:ascii="Calibri" w:hAnsi="Calibri"/>
          <w:sz w:val="22"/>
        </w:rPr>
        <w:t xml:space="preserve">will </w:t>
      </w:r>
      <w:r w:rsidR="004E03CE" w:rsidRPr="000C7CDE">
        <w:rPr>
          <w:rFonts w:ascii="Calibri" w:hAnsi="Calibri"/>
          <w:sz w:val="22"/>
        </w:rPr>
        <w:t>remain</w:t>
      </w:r>
      <w:r w:rsidRPr="000C7CDE">
        <w:rPr>
          <w:rFonts w:ascii="Calibri" w:hAnsi="Calibri"/>
          <w:sz w:val="22"/>
        </w:rPr>
        <w:t xml:space="preserve"> </w:t>
      </w:r>
      <w:r w:rsidR="004359F6">
        <w:rPr>
          <w:rFonts w:ascii="Calibri" w:hAnsi="Calibri"/>
          <w:sz w:val="22"/>
        </w:rPr>
        <w:t>so</w:t>
      </w:r>
      <w:r w:rsidRPr="000C7CDE">
        <w:rPr>
          <w:rFonts w:ascii="Calibri" w:hAnsi="Calibri"/>
          <w:sz w:val="22"/>
        </w:rPr>
        <w:t xml:space="preserve"> for as long a period as possible, striving to </w:t>
      </w:r>
      <w:r w:rsidR="005B2C1D" w:rsidRPr="000C7CDE">
        <w:rPr>
          <w:rFonts w:ascii="Calibri" w:hAnsi="Calibri"/>
          <w:sz w:val="22"/>
        </w:rPr>
        <w:t>remain above</w:t>
      </w:r>
      <w:r w:rsidRPr="000C7CDE">
        <w:rPr>
          <w:rFonts w:ascii="Calibri" w:hAnsi="Calibri"/>
          <w:sz w:val="22"/>
        </w:rPr>
        <w:t xml:space="preserve"> the state’s</w:t>
      </w:r>
      <w:r w:rsidR="0015294E">
        <w:rPr>
          <w:rFonts w:ascii="Calibri" w:hAnsi="Calibri"/>
          <w:sz w:val="22"/>
        </w:rPr>
        <w:t xml:space="preserve"> Chapter 40B</w:t>
      </w:r>
      <w:r w:rsidRPr="000C7CDE">
        <w:rPr>
          <w:rFonts w:ascii="Calibri" w:hAnsi="Calibri"/>
          <w:sz w:val="22"/>
        </w:rPr>
        <w:t xml:space="preserve"> 10% affordability goal. </w:t>
      </w:r>
      <w:r w:rsidR="005B2C1D" w:rsidRPr="000C7CDE">
        <w:rPr>
          <w:rFonts w:ascii="Calibri" w:hAnsi="Calibri"/>
          <w:sz w:val="22"/>
        </w:rPr>
        <w:t xml:space="preserve"> Staying above this threshold offers the Town a strong negotiating position with developers to ensure that new units are created in the context of the Town’s needs and preferences. It is also the intention of the Housing Plan to identify and address </w:t>
      </w:r>
      <w:r w:rsidR="005B2C1D" w:rsidRPr="000C7CDE">
        <w:rPr>
          <w:rFonts w:ascii="Calibri" w:hAnsi="Calibri"/>
          <w:sz w:val="22"/>
        </w:rPr>
        <w:lastRenderedPageBreak/>
        <w:t>the wide range of housing needs in the community to the greatest extent possible</w:t>
      </w:r>
      <w:r w:rsidR="008C3389">
        <w:rPr>
          <w:rFonts w:ascii="Calibri" w:hAnsi="Calibri"/>
          <w:sz w:val="22"/>
        </w:rPr>
        <w:t xml:space="preserve"> based on diverse target populations</w:t>
      </w:r>
      <w:r w:rsidR="003D4A5A" w:rsidRPr="000C7CDE">
        <w:rPr>
          <w:rFonts w:ascii="Calibri" w:hAnsi="Calibri"/>
          <w:sz w:val="22"/>
        </w:rPr>
        <w:t xml:space="preserve">.  </w:t>
      </w:r>
      <w:r w:rsidRPr="000C7CDE">
        <w:rPr>
          <w:rFonts w:ascii="Calibri" w:hAnsi="Calibri"/>
          <w:sz w:val="22"/>
          <w:szCs w:val="22"/>
        </w:rPr>
        <w:t>Through a range of strategies including zoning changes, partnerships with developers and service providers, and subsidies</w:t>
      </w:r>
      <w:r w:rsidR="003D4A5A" w:rsidRPr="000C7CDE">
        <w:rPr>
          <w:rFonts w:ascii="Calibri" w:hAnsi="Calibri"/>
          <w:sz w:val="22"/>
          <w:szCs w:val="22"/>
        </w:rPr>
        <w:t>;</w:t>
      </w:r>
      <w:r w:rsidRPr="000C7CDE">
        <w:rPr>
          <w:rFonts w:ascii="Calibri" w:hAnsi="Calibri"/>
          <w:sz w:val="22"/>
          <w:szCs w:val="22"/>
        </w:rPr>
        <w:t xml:space="preserve"> the Town can continue to play a meaningful role in promoting housing options that match people to appropriately priced and sized units – producing </w:t>
      </w:r>
      <w:r w:rsidRPr="007D5B0E">
        <w:rPr>
          <w:rFonts w:ascii="Calibri" w:hAnsi="Calibri"/>
          <w:sz w:val="22"/>
          <w:szCs w:val="22"/>
        </w:rPr>
        <w:t xml:space="preserve">housing that reflects </w:t>
      </w:r>
      <w:r>
        <w:rPr>
          <w:rFonts w:ascii="Calibri" w:hAnsi="Calibri"/>
          <w:sz w:val="22"/>
          <w:szCs w:val="22"/>
        </w:rPr>
        <w:t>community priorities</w:t>
      </w:r>
      <w:r w:rsidR="0042546C">
        <w:rPr>
          <w:rFonts w:ascii="Calibri" w:hAnsi="Calibri"/>
          <w:sz w:val="22"/>
          <w:szCs w:val="22"/>
        </w:rPr>
        <w:t>.</w:t>
      </w:r>
      <w:r w:rsidRPr="007D5B0E">
        <w:rPr>
          <w:rFonts w:ascii="Calibri" w:hAnsi="Calibri"/>
          <w:sz w:val="22"/>
          <w:szCs w:val="22"/>
        </w:rPr>
        <w:t xml:space="preserve">  </w:t>
      </w:r>
    </w:p>
    <w:p w14:paraId="2FE7229A" w14:textId="77777777" w:rsidR="004E03CE" w:rsidRPr="007D5B0E" w:rsidRDefault="004E03CE" w:rsidP="0042546C">
      <w:pPr>
        <w:pStyle w:val="BodyText2"/>
        <w:spacing w:after="0" w:line="240" w:lineRule="auto"/>
        <w:jc w:val="both"/>
        <w:rPr>
          <w:rFonts w:ascii="Calibri" w:hAnsi="Calibri"/>
          <w:b/>
          <w:sz w:val="22"/>
          <w:szCs w:val="22"/>
        </w:rPr>
      </w:pPr>
    </w:p>
    <w:p w14:paraId="2C5221AD" w14:textId="68EADA37" w:rsidR="007918C1" w:rsidRPr="003D4A5A" w:rsidRDefault="003D4A5A" w:rsidP="007918C1">
      <w:pPr>
        <w:tabs>
          <w:tab w:val="num" w:pos="720"/>
        </w:tabs>
        <w:ind w:left="720" w:right="-720" w:hanging="720"/>
        <w:jc w:val="both"/>
        <w:rPr>
          <w:rFonts w:ascii="Calibri" w:hAnsi="Calibri" w:cs="Lucida Sans Unicode"/>
          <w:b/>
          <w:color w:val="002060"/>
        </w:rPr>
      </w:pPr>
      <w:r w:rsidRPr="003D4A5A">
        <w:rPr>
          <w:rFonts w:ascii="Calibri" w:hAnsi="Calibri" w:cs="Lucida Sans Unicode"/>
          <w:b/>
          <w:color w:val="002060"/>
        </w:rPr>
        <w:t>A.</w:t>
      </w:r>
      <w:r w:rsidR="007918C1" w:rsidRPr="003D4A5A">
        <w:rPr>
          <w:rFonts w:ascii="Calibri" w:hAnsi="Calibri" w:cs="Lucida Sans Unicode"/>
          <w:b/>
          <w:color w:val="002060"/>
        </w:rPr>
        <w:tab/>
      </w:r>
      <w:r>
        <w:rPr>
          <w:rFonts w:ascii="Calibri" w:hAnsi="Calibri" w:cs="Lucida Sans Unicode"/>
          <w:b/>
          <w:color w:val="002060"/>
        </w:rPr>
        <w:t xml:space="preserve">SUMMARY OF </w:t>
      </w:r>
      <w:r w:rsidR="00F12ECD">
        <w:rPr>
          <w:rFonts w:ascii="Calibri" w:hAnsi="Calibri" w:cs="Lucida Sans Unicode"/>
          <w:b/>
          <w:color w:val="002060"/>
        </w:rPr>
        <w:t>HOUSING NEEDS ASSESSMENT</w:t>
      </w:r>
    </w:p>
    <w:p w14:paraId="65E2AACF" w14:textId="544ED042" w:rsidR="007918C1" w:rsidRDefault="007918C1" w:rsidP="0042546C">
      <w:pPr>
        <w:jc w:val="both"/>
        <w:rPr>
          <w:rFonts w:ascii="Calibri" w:hAnsi="Calibri"/>
          <w:bCs/>
          <w:sz w:val="22"/>
        </w:rPr>
      </w:pPr>
      <w:r>
        <w:rPr>
          <w:rFonts w:ascii="Calibri" w:hAnsi="Calibri"/>
          <w:bCs/>
          <w:sz w:val="22"/>
        </w:rPr>
        <w:t>The Housing Needs Assessment provides information on demographic</w:t>
      </w:r>
      <w:r w:rsidR="00F12ECD">
        <w:rPr>
          <w:rFonts w:ascii="Calibri" w:hAnsi="Calibri"/>
          <w:bCs/>
          <w:sz w:val="22"/>
        </w:rPr>
        <w:t>, economic,</w:t>
      </w:r>
      <w:r>
        <w:rPr>
          <w:rFonts w:ascii="Calibri" w:hAnsi="Calibri"/>
          <w:bCs/>
          <w:sz w:val="22"/>
        </w:rPr>
        <w:t xml:space="preserve"> and housing characteristics and trends with the following key findings:</w:t>
      </w:r>
      <w:r w:rsidR="00757B6A">
        <w:rPr>
          <w:rStyle w:val="FootnoteReference"/>
          <w:rFonts w:ascii="Calibri" w:hAnsi="Calibri"/>
          <w:bCs/>
          <w:sz w:val="22"/>
        </w:rPr>
        <w:footnoteReference w:id="2"/>
      </w:r>
    </w:p>
    <w:p w14:paraId="43BFB38C" w14:textId="4DFDBCE4" w:rsidR="007918C1" w:rsidRDefault="007918C1" w:rsidP="0042546C">
      <w:pPr>
        <w:jc w:val="both"/>
        <w:rPr>
          <w:rFonts w:ascii="Calibri" w:hAnsi="Calibri"/>
          <w:b/>
          <w:sz w:val="22"/>
          <w:szCs w:val="22"/>
        </w:rPr>
      </w:pPr>
    </w:p>
    <w:p w14:paraId="1A446533" w14:textId="7E14B973" w:rsidR="00F12ECD" w:rsidRPr="00F12ECD" w:rsidRDefault="00F12ECD" w:rsidP="00F12ECD">
      <w:pPr>
        <w:jc w:val="both"/>
        <w:rPr>
          <w:rFonts w:ascii="Calibri" w:hAnsi="Calibri"/>
          <w:b/>
          <w:color w:val="002060"/>
        </w:rPr>
      </w:pPr>
      <w:r w:rsidRPr="00F12ECD">
        <w:rPr>
          <w:rFonts w:ascii="Calibri" w:hAnsi="Calibri"/>
          <w:b/>
          <w:color w:val="002060"/>
        </w:rPr>
        <w:t>1.</w:t>
      </w:r>
      <w:r>
        <w:rPr>
          <w:rFonts w:ascii="Calibri" w:hAnsi="Calibri"/>
          <w:b/>
          <w:color w:val="002060"/>
        </w:rPr>
        <w:tab/>
      </w:r>
      <w:r w:rsidR="009874C9">
        <w:rPr>
          <w:rFonts w:ascii="Calibri" w:hAnsi="Calibri"/>
          <w:b/>
          <w:color w:val="002060"/>
        </w:rPr>
        <w:t xml:space="preserve">Summary of </w:t>
      </w:r>
      <w:r>
        <w:rPr>
          <w:rFonts w:ascii="Calibri" w:hAnsi="Calibri"/>
          <w:b/>
          <w:color w:val="002060"/>
        </w:rPr>
        <w:t>Demographic and Economic Characteristics and Trends</w:t>
      </w:r>
    </w:p>
    <w:p w14:paraId="3F948AB8" w14:textId="78948DB2" w:rsidR="007918C1" w:rsidRPr="00FA0742" w:rsidRDefault="009874C9" w:rsidP="0042546C">
      <w:pPr>
        <w:jc w:val="both"/>
        <w:rPr>
          <w:rFonts w:ascii="Calibri" w:hAnsi="Calibri"/>
          <w:b/>
          <w:bCs/>
          <w:i/>
          <w:iCs/>
          <w:sz w:val="22"/>
          <w:szCs w:val="22"/>
        </w:rPr>
      </w:pPr>
      <w:r>
        <w:rPr>
          <w:rFonts w:ascii="Calibri" w:hAnsi="Calibri"/>
          <w:b/>
          <w:bCs/>
          <w:i/>
          <w:iCs/>
          <w:sz w:val="22"/>
          <w:szCs w:val="22"/>
        </w:rPr>
        <w:t>Recent spurt in population growth</w:t>
      </w:r>
      <w:r w:rsidR="00D7368F">
        <w:rPr>
          <w:rFonts w:ascii="Calibri" w:hAnsi="Calibri"/>
          <w:b/>
          <w:bCs/>
          <w:i/>
          <w:iCs/>
          <w:sz w:val="22"/>
          <w:szCs w:val="22"/>
        </w:rPr>
        <w:t>, increasing racial diversity,</w:t>
      </w:r>
      <w:r w:rsidR="00AA3853">
        <w:rPr>
          <w:rFonts w:ascii="Calibri" w:hAnsi="Calibri"/>
          <w:b/>
          <w:bCs/>
          <w:i/>
          <w:iCs/>
          <w:sz w:val="22"/>
          <w:szCs w:val="22"/>
        </w:rPr>
        <w:t xml:space="preserve"> and</w:t>
      </w:r>
      <w:r w:rsidR="00BF3329">
        <w:rPr>
          <w:rFonts w:ascii="Calibri" w:hAnsi="Calibri"/>
          <w:b/>
          <w:bCs/>
          <w:i/>
          <w:iCs/>
          <w:sz w:val="22"/>
          <w:szCs w:val="22"/>
        </w:rPr>
        <w:t xml:space="preserve"> shifts towards more</w:t>
      </w:r>
      <w:r w:rsidR="00AA3853">
        <w:rPr>
          <w:rFonts w:ascii="Calibri" w:hAnsi="Calibri"/>
          <w:b/>
          <w:bCs/>
          <w:i/>
          <w:iCs/>
          <w:sz w:val="22"/>
          <w:szCs w:val="22"/>
        </w:rPr>
        <w:t xml:space="preserve"> older adults</w:t>
      </w:r>
    </w:p>
    <w:p w14:paraId="104E2FFD" w14:textId="54EF215D" w:rsidR="007918C1" w:rsidRDefault="009874C9" w:rsidP="0042546C">
      <w:pPr>
        <w:jc w:val="both"/>
        <w:rPr>
          <w:rFonts w:ascii="Calibri" w:hAnsi="Calibri"/>
          <w:bCs/>
          <w:sz w:val="22"/>
        </w:rPr>
      </w:pPr>
      <w:r>
        <w:rPr>
          <w:rFonts w:ascii="Calibri" w:hAnsi="Calibri"/>
          <w:bCs/>
          <w:sz w:val="22"/>
          <w:szCs w:val="22"/>
        </w:rPr>
        <w:t xml:space="preserve">The 2020 </w:t>
      </w:r>
      <w:r w:rsidR="00C36BB1">
        <w:rPr>
          <w:rFonts w:ascii="Calibri" w:hAnsi="Calibri"/>
          <w:bCs/>
          <w:sz w:val="22"/>
          <w:szCs w:val="22"/>
        </w:rPr>
        <w:t xml:space="preserve">U.S. decennial </w:t>
      </w:r>
      <w:r>
        <w:rPr>
          <w:rFonts w:ascii="Calibri" w:hAnsi="Calibri"/>
          <w:bCs/>
          <w:sz w:val="22"/>
          <w:szCs w:val="22"/>
        </w:rPr>
        <w:t xml:space="preserve">census identified </w:t>
      </w:r>
      <w:r w:rsidR="00013CC9">
        <w:rPr>
          <w:rFonts w:ascii="Calibri" w:hAnsi="Calibri"/>
          <w:bCs/>
          <w:sz w:val="22"/>
          <w:szCs w:val="22"/>
        </w:rPr>
        <w:t xml:space="preserve">continued </w:t>
      </w:r>
      <w:r>
        <w:rPr>
          <w:rFonts w:ascii="Calibri" w:hAnsi="Calibri"/>
          <w:bCs/>
          <w:sz w:val="22"/>
          <w:szCs w:val="22"/>
        </w:rPr>
        <w:t>population growth</w:t>
      </w:r>
      <w:r w:rsidR="0015294E">
        <w:rPr>
          <w:rFonts w:ascii="Calibri" w:hAnsi="Calibri"/>
          <w:bCs/>
          <w:sz w:val="22"/>
          <w:szCs w:val="22"/>
        </w:rPr>
        <w:t xml:space="preserve"> in Needham</w:t>
      </w:r>
      <w:r>
        <w:rPr>
          <w:rFonts w:ascii="Calibri" w:hAnsi="Calibri"/>
          <w:bCs/>
          <w:sz w:val="22"/>
          <w:szCs w:val="22"/>
        </w:rPr>
        <w:t xml:space="preserve"> between 2010 and 2020, up to 32,091 residents, representing a gain of 3,205 new residents</w:t>
      </w:r>
      <w:r w:rsidR="00C36BB1">
        <w:rPr>
          <w:rFonts w:ascii="Calibri" w:hAnsi="Calibri"/>
          <w:bCs/>
          <w:sz w:val="22"/>
          <w:szCs w:val="22"/>
        </w:rPr>
        <w:t xml:space="preserve"> or 11%</w:t>
      </w:r>
      <w:r>
        <w:rPr>
          <w:rFonts w:ascii="Calibri" w:hAnsi="Calibri"/>
          <w:bCs/>
          <w:sz w:val="22"/>
          <w:szCs w:val="22"/>
        </w:rPr>
        <w:t>.  Some of this growth is due to new multi-family rental development that included 526 additional residential units in The Kendrick and Modera Needham 40B developments for example.</w:t>
      </w:r>
      <w:r w:rsidR="00AA3853">
        <w:rPr>
          <w:rFonts w:ascii="Calibri" w:hAnsi="Calibri"/>
          <w:bCs/>
          <w:sz w:val="22"/>
          <w:szCs w:val="22"/>
        </w:rPr>
        <w:t xml:space="preserve">  </w:t>
      </w:r>
      <w:r w:rsidR="00374A7A">
        <w:rPr>
          <w:rFonts w:asciiTheme="minorHAnsi" w:hAnsiTheme="minorHAnsi"/>
          <w:sz w:val="22"/>
          <w:szCs w:val="22"/>
        </w:rPr>
        <w:t>A</w:t>
      </w:r>
      <w:r w:rsidR="00A3758C">
        <w:rPr>
          <w:rFonts w:asciiTheme="minorHAnsi" w:hAnsiTheme="minorHAnsi"/>
          <w:sz w:val="22"/>
          <w:szCs w:val="22"/>
        </w:rPr>
        <w:t xml:space="preserve">ll of </w:t>
      </w:r>
      <w:r w:rsidR="00374A7A">
        <w:rPr>
          <w:rFonts w:asciiTheme="minorHAnsi" w:hAnsiTheme="minorHAnsi"/>
          <w:sz w:val="22"/>
          <w:szCs w:val="22"/>
        </w:rPr>
        <w:t>the</w:t>
      </w:r>
      <w:r w:rsidR="00AA3853">
        <w:rPr>
          <w:rFonts w:asciiTheme="minorHAnsi" w:hAnsiTheme="minorHAnsi"/>
          <w:sz w:val="22"/>
          <w:szCs w:val="22"/>
        </w:rPr>
        <w:t xml:space="preserve"> population</w:t>
      </w:r>
      <w:r w:rsidR="00374A7A">
        <w:rPr>
          <w:rFonts w:asciiTheme="minorHAnsi" w:hAnsiTheme="minorHAnsi"/>
          <w:sz w:val="22"/>
          <w:szCs w:val="22"/>
        </w:rPr>
        <w:t xml:space="preserve"> projections</w:t>
      </w:r>
      <w:r w:rsidR="00A3758C">
        <w:rPr>
          <w:rFonts w:asciiTheme="minorHAnsi" w:hAnsiTheme="minorHAnsi"/>
          <w:sz w:val="22"/>
          <w:szCs w:val="22"/>
        </w:rPr>
        <w:t xml:space="preserve"> forecasted </w:t>
      </w:r>
      <w:r w:rsidR="00A3758C" w:rsidRPr="00A3758C">
        <w:rPr>
          <w:rFonts w:asciiTheme="minorHAnsi" w:hAnsiTheme="minorHAnsi"/>
          <w:sz w:val="22"/>
          <w:szCs w:val="22"/>
        </w:rPr>
        <w:t>a total population of less than</w:t>
      </w:r>
      <w:r w:rsidR="00355231">
        <w:rPr>
          <w:rFonts w:asciiTheme="minorHAnsi" w:hAnsiTheme="minorHAnsi"/>
          <w:sz w:val="22"/>
          <w:szCs w:val="22"/>
        </w:rPr>
        <w:t xml:space="preserve"> 30,000 residents by 2020 and</w:t>
      </w:r>
      <w:r w:rsidR="00A3758C" w:rsidRPr="00A3758C">
        <w:rPr>
          <w:rFonts w:asciiTheme="minorHAnsi" w:hAnsiTheme="minorHAnsi"/>
          <w:sz w:val="22"/>
          <w:szCs w:val="22"/>
        </w:rPr>
        <w:t xml:space="preserve"> 31,000 by 2030, </w:t>
      </w:r>
      <w:r w:rsidR="00355231">
        <w:rPr>
          <w:rFonts w:asciiTheme="minorHAnsi" w:hAnsiTheme="minorHAnsi"/>
          <w:sz w:val="22"/>
          <w:szCs w:val="22"/>
        </w:rPr>
        <w:t>significantly</w:t>
      </w:r>
      <w:r w:rsidR="00A3758C" w:rsidRPr="00A3758C">
        <w:rPr>
          <w:rFonts w:asciiTheme="minorHAnsi" w:hAnsiTheme="minorHAnsi"/>
          <w:sz w:val="22"/>
          <w:szCs w:val="22"/>
        </w:rPr>
        <w:t xml:space="preserve"> less than the 32,091 residents reported in the 2020 census</w:t>
      </w:r>
      <w:r w:rsidR="00A3758C" w:rsidRPr="009420D5">
        <w:rPr>
          <w:rFonts w:asciiTheme="minorHAnsi" w:hAnsiTheme="minorHAnsi"/>
          <w:b/>
          <w:bCs/>
          <w:sz w:val="22"/>
          <w:szCs w:val="22"/>
        </w:rPr>
        <w:t>.</w:t>
      </w:r>
      <w:r w:rsidR="00A3758C">
        <w:rPr>
          <w:rFonts w:asciiTheme="minorHAnsi" w:hAnsiTheme="minorHAnsi"/>
          <w:b/>
          <w:bCs/>
          <w:sz w:val="22"/>
          <w:szCs w:val="22"/>
        </w:rPr>
        <w:t xml:space="preserve"> </w:t>
      </w:r>
    </w:p>
    <w:p w14:paraId="7CC5247A" w14:textId="77777777" w:rsidR="00AA3853" w:rsidRDefault="00AA3853" w:rsidP="009873E9">
      <w:pPr>
        <w:jc w:val="both"/>
        <w:rPr>
          <w:rFonts w:ascii="Calibri" w:hAnsi="Calibri"/>
          <w:sz w:val="22"/>
          <w:szCs w:val="22"/>
        </w:rPr>
      </w:pPr>
    </w:p>
    <w:p w14:paraId="78894B82" w14:textId="32154A3E" w:rsidR="009873E9" w:rsidRPr="009873E9" w:rsidRDefault="00AA3853" w:rsidP="009873E9">
      <w:pPr>
        <w:jc w:val="both"/>
      </w:pPr>
      <w:r>
        <w:rPr>
          <w:rFonts w:ascii="Calibri" w:hAnsi="Calibri"/>
          <w:sz w:val="22"/>
          <w:szCs w:val="22"/>
        </w:rPr>
        <w:t>While t</w:t>
      </w:r>
      <w:r w:rsidR="009873E9" w:rsidRPr="00445E74">
        <w:rPr>
          <w:rFonts w:ascii="Calibri" w:hAnsi="Calibri"/>
          <w:sz w:val="22"/>
          <w:szCs w:val="22"/>
        </w:rPr>
        <w:t xml:space="preserve">he population has remained predominantly White, </w:t>
      </w:r>
      <w:r w:rsidR="0015294E">
        <w:rPr>
          <w:rFonts w:ascii="Calibri" w:hAnsi="Calibri"/>
          <w:sz w:val="22"/>
          <w:szCs w:val="22"/>
        </w:rPr>
        <w:t>Black and other</w:t>
      </w:r>
      <w:r w:rsidR="009873E9" w:rsidRPr="00445E74">
        <w:rPr>
          <w:rFonts w:ascii="Calibri" w:hAnsi="Calibri"/>
          <w:sz w:val="22"/>
          <w:szCs w:val="22"/>
        </w:rPr>
        <w:t xml:space="preserve"> residents</w:t>
      </w:r>
      <w:r w:rsidR="0015294E">
        <w:rPr>
          <w:rFonts w:ascii="Calibri" w:hAnsi="Calibri"/>
          <w:sz w:val="22"/>
          <w:szCs w:val="22"/>
        </w:rPr>
        <w:t xml:space="preserve"> of color</w:t>
      </w:r>
      <w:r w:rsidR="009873E9" w:rsidRPr="00445E74">
        <w:rPr>
          <w:rFonts w:ascii="Calibri" w:hAnsi="Calibri"/>
          <w:sz w:val="22"/>
          <w:szCs w:val="22"/>
        </w:rPr>
        <w:t xml:space="preserve"> have been steadily growing in number and as a percentage of the total population, from 5% in 2000, </w:t>
      </w:r>
      <w:r w:rsidR="009873E9">
        <w:rPr>
          <w:rFonts w:ascii="Calibri" w:hAnsi="Calibri"/>
          <w:sz w:val="22"/>
          <w:szCs w:val="22"/>
        </w:rPr>
        <w:t>9% in 2010, and up to 15% according to the 2020 census.</w:t>
      </w:r>
      <w:r w:rsidR="009873E9" w:rsidRPr="00445E74">
        <w:rPr>
          <w:rFonts w:ascii="Calibri" w:hAnsi="Calibri"/>
          <w:sz w:val="22"/>
          <w:szCs w:val="22"/>
        </w:rPr>
        <w:t xml:space="preserve"> </w:t>
      </w:r>
      <w:r w:rsidR="009873E9">
        <w:rPr>
          <w:rFonts w:ascii="Calibri" w:hAnsi="Calibri"/>
          <w:sz w:val="22"/>
          <w:szCs w:val="22"/>
        </w:rPr>
        <w:t xml:space="preserve"> </w:t>
      </w:r>
    </w:p>
    <w:p w14:paraId="384B3AC8" w14:textId="77777777" w:rsidR="00457295" w:rsidRDefault="00AA3853" w:rsidP="00AA3853">
      <w:pPr>
        <w:pStyle w:val="Heading3"/>
        <w:jc w:val="both"/>
        <w:rPr>
          <w:rFonts w:ascii="Calibri" w:hAnsi="Calibri" w:cs="Lucida Sans Unicode"/>
          <w:b w:val="0"/>
          <w:bCs w:val="0"/>
          <w:color w:val="auto"/>
          <w:sz w:val="22"/>
        </w:rPr>
      </w:pPr>
      <w:r>
        <w:rPr>
          <w:rFonts w:ascii="Calibri" w:hAnsi="Calibri"/>
          <w:b w:val="0"/>
          <w:bCs w:val="0"/>
          <w:iCs/>
          <w:color w:val="auto"/>
          <w:sz w:val="22"/>
        </w:rPr>
        <w:t xml:space="preserve">In regard to demographic shifts, the </w:t>
      </w:r>
      <w:r w:rsidR="00097682" w:rsidRPr="00AA3853">
        <w:rPr>
          <w:rFonts w:ascii="Calibri" w:hAnsi="Calibri" w:cs="Lucida Sans Unicode"/>
          <w:b w:val="0"/>
          <w:bCs w:val="0"/>
          <w:color w:val="auto"/>
          <w:sz w:val="22"/>
        </w:rPr>
        <w:t xml:space="preserve">2020 </w:t>
      </w:r>
      <w:r w:rsidR="005B37F4">
        <w:rPr>
          <w:rFonts w:ascii="Calibri" w:hAnsi="Calibri" w:cs="Lucida Sans Unicode"/>
          <w:b w:val="0"/>
          <w:bCs w:val="0"/>
          <w:color w:val="auto"/>
          <w:sz w:val="22"/>
        </w:rPr>
        <w:t xml:space="preserve">decennial census </w:t>
      </w:r>
      <w:r w:rsidR="00097682" w:rsidRPr="00AA3853">
        <w:rPr>
          <w:rFonts w:ascii="Calibri" w:hAnsi="Calibri" w:cs="Lucida Sans Unicode"/>
          <w:b w:val="0"/>
          <w:bCs w:val="0"/>
          <w:color w:val="auto"/>
          <w:sz w:val="22"/>
        </w:rPr>
        <w:t>data</w:t>
      </w:r>
      <w:r w:rsidR="0067183A" w:rsidRPr="00AA3853">
        <w:rPr>
          <w:rFonts w:ascii="Calibri" w:hAnsi="Calibri" w:cs="Lucida Sans Unicode"/>
          <w:b w:val="0"/>
          <w:bCs w:val="0"/>
          <w:color w:val="auto"/>
          <w:sz w:val="22"/>
        </w:rPr>
        <w:t xml:space="preserve"> identified 8,439 residents as being under age 18, </w:t>
      </w:r>
      <w:r w:rsidR="005B37F4">
        <w:rPr>
          <w:rFonts w:ascii="Calibri" w:hAnsi="Calibri" w:cs="Lucida Sans Unicode"/>
          <w:b w:val="0"/>
          <w:bCs w:val="0"/>
          <w:color w:val="auto"/>
          <w:sz w:val="22"/>
        </w:rPr>
        <w:t xml:space="preserve">representing a 3.4% </w:t>
      </w:r>
      <w:r w:rsidR="00457295">
        <w:rPr>
          <w:rFonts w:ascii="Calibri" w:hAnsi="Calibri" w:cs="Lucida Sans Unicode"/>
          <w:b w:val="0"/>
          <w:bCs w:val="0"/>
          <w:color w:val="auto"/>
          <w:sz w:val="22"/>
        </w:rPr>
        <w:t>increase</w:t>
      </w:r>
      <w:r w:rsidR="005B37F4">
        <w:rPr>
          <w:rFonts w:ascii="Calibri" w:hAnsi="Calibri" w:cs="Lucida Sans Unicode"/>
          <w:b w:val="0"/>
          <w:bCs w:val="0"/>
          <w:color w:val="auto"/>
          <w:sz w:val="22"/>
        </w:rPr>
        <w:t xml:space="preserve"> in growth since 2010 compared to the 11% increase in total population.  P</w:t>
      </w:r>
      <w:r w:rsidR="00EC210B" w:rsidRPr="00AA3853">
        <w:rPr>
          <w:rFonts w:ascii="Calibri" w:hAnsi="Calibri" w:cs="Lucida Sans Unicode"/>
          <w:b w:val="0"/>
          <w:bCs w:val="0"/>
          <w:color w:val="auto"/>
          <w:sz w:val="22"/>
        </w:rPr>
        <w:t>roportionately, however, the level of children decreased</w:t>
      </w:r>
      <w:r w:rsidR="0067183A" w:rsidRPr="00AA3853">
        <w:rPr>
          <w:rFonts w:ascii="Calibri" w:hAnsi="Calibri" w:cs="Lucida Sans Unicode"/>
          <w:b w:val="0"/>
          <w:bCs w:val="0"/>
          <w:color w:val="auto"/>
          <w:sz w:val="22"/>
        </w:rPr>
        <w:t xml:space="preserve"> from </w:t>
      </w:r>
      <w:r w:rsidR="00EC210B" w:rsidRPr="00AA3853">
        <w:rPr>
          <w:rFonts w:ascii="Calibri" w:hAnsi="Calibri" w:cs="Lucida Sans Unicode"/>
          <w:b w:val="0"/>
          <w:bCs w:val="0"/>
          <w:color w:val="auto"/>
          <w:sz w:val="22"/>
        </w:rPr>
        <w:t>28.3</w:t>
      </w:r>
      <w:r w:rsidR="0067183A" w:rsidRPr="00AA3853">
        <w:rPr>
          <w:rFonts w:ascii="Calibri" w:hAnsi="Calibri" w:cs="Lucida Sans Unicode"/>
          <w:b w:val="0"/>
          <w:bCs w:val="0"/>
          <w:color w:val="auto"/>
          <w:sz w:val="22"/>
        </w:rPr>
        <w:t xml:space="preserve">% to 26.3% of all residents </w:t>
      </w:r>
      <w:r w:rsidR="00374A7A" w:rsidRPr="00AA3853">
        <w:rPr>
          <w:rFonts w:ascii="Calibri" w:hAnsi="Calibri" w:cs="Lucida Sans Unicode"/>
          <w:b w:val="0"/>
          <w:bCs w:val="0"/>
          <w:color w:val="auto"/>
          <w:sz w:val="22"/>
        </w:rPr>
        <w:t>between</w:t>
      </w:r>
      <w:r w:rsidR="0067183A" w:rsidRPr="00AA3853">
        <w:rPr>
          <w:rFonts w:ascii="Calibri" w:hAnsi="Calibri" w:cs="Lucida Sans Unicode"/>
          <w:b w:val="0"/>
          <w:bCs w:val="0"/>
          <w:color w:val="auto"/>
          <w:sz w:val="22"/>
        </w:rPr>
        <w:t xml:space="preserve"> 2010 and 2020.</w:t>
      </w:r>
      <w:r w:rsidR="005B37F4">
        <w:rPr>
          <w:rFonts w:ascii="Calibri" w:hAnsi="Calibri" w:cs="Lucida Sans Unicode"/>
          <w:b w:val="0"/>
          <w:bCs w:val="0"/>
          <w:color w:val="auto"/>
          <w:sz w:val="22"/>
        </w:rPr>
        <w:t xml:space="preserve">  There were also </w:t>
      </w:r>
      <w:r w:rsidR="001E4A65">
        <w:rPr>
          <w:rFonts w:ascii="Calibri" w:hAnsi="Calibri" w:cs="Lucida Sans Unicode"/>
          <w:b w:val="0"/>
          <w:bCs w:val="0"/>
          <w:color w:val="auto"/>
          <w:sz w:val="22"/>
        </w:rPr>
        <w:t>general losses in young and middle-aged adults during this period.</w:t>
      </w:r>
      <w:r w:rsidR="005B37F4">
        <w:rPr>
          <w:rFonts w:ascii="Calibri" w:hAnsi="Calibri" w:cs="Lucida Sans Unicode"/>
          <w:b w:val="0"/>
          <w:bCs w:val="0"/>
          <w:color w:val="auto"/>
          <w:sz w:val="22"/>
        </w:rPr>
        <w:t xml:space="preserve"> </w:t>
      </w:r>
    </w:p>
    <w:p w14:paraId="7897B2E3" w14:textId="74DFE066" w:rsidR="0067183A" w:rsidRPr="005B37F4" w:rsidRDefault="005B37F4" w:rsidP="00AA3853">
      <w:pPr>
        <w:pStyle w:val="Heading3"/>
        <w:jc w:val="both"/>
        <w:rPr>
          <w:rFonts w:ascii="Calibri" w:hAnsi="Calibri" w:cs="Lucida Sans Unicode"/>
          <w:b w:val="0"/>
          <w:bCs w:val="0"/>
          <w:color w:val="auto"/>
          <w:sz w:val="22"/>
        </w:rPr>
      </w:pPr>
      <w:r>
        <w:rPr>
          <w:rFonts w:ascii="Calibri" w:hAnsi="Calibri" w:cs="Lucida Sans Unicode"/>
          <w:b w:val="0"/>
          <w:bCs w:val="0"/>
          <w:color w:val="auto"/>
          <w:sz w:val="22"/>
        </w:rPr>
        <w:t>On the other end of the age range, those</w:t>
      </w:r>
      <w:r w:rsidR="001E4A65">
        <w:rPr>
          <w:rFonts w:ascii="Calibri" w:hAnsi="Calibri" w:cs="Lucida Sans Unicode"/>
          <w:b w:val="0"/>
          <w:bCs w:val="0"/>
          <w:color w:val="auto"/>
          <w:sz w:val="22"/>
        </w:rPr>
        <w:t xml:space="preserve"> 65 years of age or older increased from </w:t>
      </w:r>
      <w:r w:rsidR="00406C71">
        <w:rPr>
          <w:rFonts w:ascii="Calibri" w:hAnsi="Calibri" w:cs="Lucida Sans Unicode"/>
          <w:b w:val="0"/>
          <w:bCs w:val="0"/>
          <w:color w:val="auto"/>
          <w:sz w:val="22"/>
        </w:rPr>
        <w:t xml:space="preserve">4,700 </w:t>
      </w:r>
      <w:r w:rsidR="001E4A65">
        <w:rPr>
          <w:rFonts w:ascii="Calibri" w:hAnsi="Calibri" w:cs="Lucida Sans Unicode"/>
          <w:b w:val="0"/>
          <w:bCs w:val="0"/>
          <w:color w:val="auto"/>
          <w:sz w:val="22"/>
        </w:rPr>
        <w:t>residents in 2010 to</w:t>
      </w:r>
      <w:r w:rsidRPr="005B37F4">
        <w:rPr>
          <w:rFonts w:asciiTheme="minorHAnsi" w:hAnsiTheme="minorHAnsi" w:cs="Lucida Sans Unicode"/>
          <w:sz w:val="22"/>
          <w:szCs w:val="22"/>
        </w:rPr>
        <w:t xml:space="preserve"> </w:t>
      </w:r>
      <w:r w:rsidRPr="005B37F4">
        <w:rPr>
          <w:rFonts w:asciiTheme="minorHAnsi" w:hAnsiTheme="minorHAnsi" w:cs="Lucida Sans Unicode"/>
          <w:b w:val="0"/>
          <w:bCs w:val="0"/>
          <w:color w:val="auto"/>
          <w:sz w:val="22"/>
          <w:szCs w:val="22"/>
        </w:rPr>
        <w:t>6,068</w:t>
      </w:r>
      <w:r w:rsidR="001E4A65">
        <w:rPr>
          <w:rFonts w:asciiTheme="minorHAnsi" w:hAnsiTheme="minorHAnsi" w:cs="Lucida Sans Unicode"/>
          <w:b w:val="0"/>
          <w:bCs w:val="0"/>
          <w:color w:val="auto"/>
          <w:sz w:val="22"/>
          <w:szCs w:val="22"/>
        </w:rPr>
        <w:t xml:space="preserve"> in 2020</w:t>
      </w:r>
      <w:r w:rsidRPr="005B37F4">
        <w:rPr>
          <w:rFonts w:asciiTheme="minorHAnsi" w:hAnsiTheme="minorHAnsi" w:cs="Lucida Sans Unicode"/>
          <w:b w:val="0"/>
          <w:bCs w:val="0"/>
          <w:color w:val="auto"/>
          <w:sz w:val="22"/>
          <w:szCs w:val="22"/>
        </w:rPr>
        <w:t xml:space="preserve"> </w:t>
      </w:r>
      <w:r w:rsidR="00406C71">
        <w:rPr>
          <w:rFonts w:asciiTheme="minorHAnsi" w:hAnsiTheme="minorHAnsi" w:cs="Lucida Sans Unicode"/>
          <w:b w:val="0"/>
          <w:bCs w:val="0"/>
          <w:color w:val="auto"/>
          <w:sz w:val="22"/>
          <w:szCs w:val="22"/>
        </w:rPr>
        <w:t>or by 29</w:t>
      </w:r>
      <w:r w:rsidRPr="005B37F4">
        <w:rPr>
          <w:rFonts w:asciiTheme="minorHAnsi" w:hAnsiTheme="minorHAnsi" w:cs="Lucida Sans Unicode"/>
          <w:b w:val="0"/>
          <w:bCs w:val="0"/>
          <w:color w:val="auto"/>
          <w:sz w:val="22"/>
          <w:szCs w:val="22"/>
        </w:rPr>
        <w:t xml:space="preserve">% </w:t>
      </w:r>
      <w:r w:rsidR="00406C71">
        <w:rPr>
          <w:rFonts w:asciiTheme="minorHAnsi" w:hAnsiTheme="minorHAnsi" w:cs="Lucida Sans Unicode"/>
          <w:b w:val="0"/>
          <w:bCs w:val="0"/>
          <w:color w:val="auto"/>
          <w:sz w:val="22"/>
          <w:szCs w:val="22"/>
        </w:rPr>
        <w:t xml:space="preserve">and from 16.3% to 19.5% of </w:t>
      </w:r>
      <w:r w:rsidRPr="005B37F4">
        <w:rPr>
          <w:rFonts w:asciiTheme="minorHAnsi" w:hAnsiTheme="minorHAnsi" w:cs="Lucida Sans Unicode"/>
          <w:b w:val="0"/>
          <w:bCs w:val="0"/>
          <w:color w:val="auto"/>
          <w:sz w:val="22"/>
          <w:szCs w:val="22"/>
        </w:rPr>
        <w:t>the population</w:t>
      </w:r>
      <w:r w:rsidR="00406C71">
        <w:rPr>
          <w:rFonts w:asciiTheme="minorHAnsi" w:hAnsiTheme="minorHAnsi" w:cs="Lucida Sans Unicode"/>
          <w:b w:val="0"/>
          <w:bCs w:val="0"/>
          <w:color w:val="auto"/>
          <w:sz w:val="22"/>
          <w:szCs w:val="22"/>
        </w:rPr>
        <w:t>.  This increase was</w:t>
      </w:r>
      <w:r w:rsidRPr="005B37F4">
        <w:rPr>
          <w:rFonts w:asciiTheme="minorHAnsi" w:hAnsiTheme="minorHAnsi" w:cs="Lucida Sans Unicode"/>
          <w:b w:val="0"/>
          <w:bCs w:val="0"/>
          <w:color w:val="auto"/>
          <w:sz w:val="22"/>
          <w:szCs w:val="22"/>
        </w:rPr>
        <w:t xml:space="preserve"> largely driven by those age 65 to 74.  As the community’s Baby Boomers continue to enter this age range, the numbers of older adults will increase over the next</w:t>
      </w:r>
      <w:r w:rsidRPr="005B37F4">
        <w:rPr>
          <w:rFonts w:ascii="Calibri" w:hAnsi="Calibri" w:cs="Lucida Sans Unicode"/>
          <w:b w:val="0"/>
          <w:bCs w:val="0"/>
          <w:color w:val="auto"/>
          <w:sz w:val="22"/>
          <w:szCs w:val="22"/>
        </w:rPr>
        <w:t xml:space="preserve"> decade or so as forecasted in population projections.</w:t>
      </w:r>
    </w:p>
    <w:p w14:paraId="7085D162" w14:textId="3E0C6D29" w:rsidR="0067183A" w:rsidRPr="005B37F4" w:rsidRDefault="0067183A" w:rsidP="0067183A">
      <w:pPr>
        <w:jc w:val="both"/>
        <w:rPr>
          <w:rFonts w:ascii="Calibri" w:hAnsi="Calibri" w:cs="Lucida Sans Unicode"/>
          <w:sz w:val="22"/>
        </w:rPr>
      </w:pPr>
    </w:p>
    <w:p w14:paraId="2F15C66F" w14:textId="5EFBF9CF" w:rsidR="008B0E91" w:rsidRPr="00B11277" w:rsidRDefault="00C36BB1" w:rsidP="008B0E91">
      <w:pPr>
        <w:pStyle w:val="BodyText"/>
        <w:spacing w:after="0"/>
        <w:jc w:val="both"/>
        <w:rPr>
          <w:rFonts w:ascii="Calibri" w:hAnsi="Calibri"/>
          <w:sz w:val="22"/>
          <w:szCs w:val="22"/>
        </w:rPr>
      </w:pPr>
      <w:r>
        <w:rPr>
          <w:rFonts w:ascii="Calibri" w:hAnsi="Calibri" w:cs="Lucida Sans Unicode"/>
          <w:sz w:val="22"/>
          <w:szCs w:val="22"/>
        </w:rPr>
        <w:t>These p</w:t>
      </w:r>
      <w:r w:rsidR="00EC210B" w:rsidRPr="00B11277">
        <w:rPr>
          <w:rFonts w:ascii="Calibri" w:hAnsi="Calibri" w:cs="Lucida Sans Unicode"/>
          <w:sz w:val="22"/>
          <w:szCs w:val="22"/>
        </w:rPr>
        <w:t>opulation</w:t>
      </w:r>
      <w:r w:rsidR="007918C1" w:rsidRPr="00B11277">
        <w:rPr>
          <w:rFonts w:ascii="Calibri" w:hAnsi="Calibri" w:cs="Lucida Sans Unicode"/>
          <w:sz w:val="22"/>
          <w:szCs w:val="22"/>
        </w:rPr>
        <w:t xml:space="preserve"> projections</w:t>
      </w:r>
      <w:r w:rsidR="00406C71">
        <w:rPr>
          <w:rFonts w:ascii="Calibri" w:hAnsi="Calibri" w:cs="Lucida Sans Unicode"/>
          <w:sz w:val="22"/>
          <w:szCs w:val="22"/>
        </w:rPr>
        <w:t xml:space="preserve"> </w:t>
      </w:r>
      <w:r w:rsidR="007918C1" w:rsidRPr="00B11277">
        <w:rPr>
          <w:rFonts w:ascii="Calibri" w:hAnsi="Calibri" w:cs="Lucida Sans Unicode"/>
          <w:sz w:val="22"/>
          <w:szCs w:val="22"/>
        </w:rPr>
        <w:t xml:space="preserve">generally forecast </w:t>
      </w:r>
      <w:r w:rsidR="001E4A65">
        <w:rPr>
          <w:rFonts w:ascii="Calibri" w:hAnsi="Calibri" w:cs="Lucida Sans Unicode"/>
          <w:sz w:val="22"/>
          <w:szCs w:val="22"/>
        </w:rPr>
        <w:t>declines in the numbers of children</w:t>
      </w:r>
      <w:r w:rsidR="008B0E91">
        <w:rPr>
          <w:rFonts w:ascii="Calibri" w:hAnsi="Calibri" w:cs="Lucida Sans Unicode"/>
          <w:sz w:val="22"/>
          <w:szCs w:val="22"/>
        </w:rPr>
        <w:t xml:space="preserve">. </w:t>
      </w:r>
      <w:r w:rsidR="008B0E91" w:rsidRPr="00B11277">
        <w:rPr>
          <w:rFonts w:ascii="Calibri" w:hAnsi="Calibri"/>
          <w:sz w:val="22"/>
          <w:szCs w:val="22"/>
        </w:rPr>
        <w:t xml:space="preserve">The Needham Public Schools reported a student enrollment of 5,483 in the 2020-2021 school year, down from 5,645 for 2018-2019, and up considerably from 4,330 students during the 1999-2000 school year. </w:t>
      </w:r>
      <w:r w:rsidR="008B0E91">
        <w:rPr>
          <w:rFonts w:ascii="Calibri" w:hAnsi="Calibri"/>
          <w:sz w:val="22"/>
          <w:szCs w:val="22"/>
        </w:rPr>
        <w:t xml:space="preserve"> These </w:t>
      </w:r>
      <w:r w:rsidR="008B0E91" w:rsidRPr="00B11277">
        <w:rPr>
          <w:rFonts w:ascii="Calibri" w:hAnsi="Calibri"/>
          <w:sz w:val="22"/>
          <w:szCs w:val="22"/>
        </w:rPr>
        <w:t>projections predict that student enrollments will grow to a peak of 5,946 students in the 2025-26 school year and then decline to 5,777 in 2033-2034.</w:t>
      </w:r>
      <w:r w:rsidR="008B0E91" w:rsidRPr="00B11277">
        <w:rPr>
          <w:rStyle w:val="FootnoteReference"/>
          <w:rFonts w:ascii="Calibri" w:hAnsi="Calibri"/>
          <w:sz w:val="22"/>
          <w:szCs w:val="22"/>
        </w:rPr>
        <w:footnoteReference w:id="3"/>
      </w:r>
    </w:p>
    <w:p w14:paraId="716A643E" w14:textId="77777777" w:rsidR="008B0E91" w:rsidRDefault="008B0E91" w:rsidP="008B0E91">
      <w:pPr>
        <w:pStyle w:val="BodyTextIndent"/>
        <w:spacing w:after="0"/>
        <w:ind w:left="0"/>
        <w:jc w:val="both"/>
        <w:rPr>
          <w:rFonts w:asciiTheme="minorHAnsi" w:hAnsiTheme="minorHAnsi"/>
          <w:b/>
          <w:i/>
          <w:iCs/>
          <w:sz w:val="22"/>
          <w:szCs w:val="22"/>
        </w:rPr>
      </w:pPr>
    </w:p>
    <w:p w14:paraId="5CF6A0C2" w14:textId="03AB6E31" w:rsidR="001A6514" w:rsidRPr="00B11277" w:rsidRDefault="008B0E91" w:rsidP="001E4A65">
      <w:pPr>
        <w:jc w:val="both"/>
        <w:rPr>
          <w:rFonts w:ascii="Calibri" w:hAnsi="Calibri" w:cs="Lucida Sans Unicode"/>
          <w:sz w:val="22"/>
        </w:rPr>
      </w:pPr>
      <w:r>
        <w:rPr>
          <w:rFonts w:ascii="Calibri" w:hAnsi="Calibri" w:cs="Lucida Sans Unicode"/>
          <w:sz w:val="22"/>
          <w:szCs w:val="22"/>
        </w:rPr>
        <w:t>Population projections also predict continued</w:t>
      </w:r>
      <w:r w:rsidR="007918C1" w:rsidRPr="00B11277">
        <w:rPr>
          <w:rFonts w:ascii="Calibri" w:hAnsi="Calibri" w:cs="Lucida Sans Unicode"/>
          <w:sz w:val="22"/>
          <w:szCs w:val="22"/>
        </w:rPr>
        <w:t xml:space="preserve"> increases in those 65 years and older to at least </w:t>
      </w:r>
      <w:r w:rsidR="006B3182" w:rsidRPr="00B11277">
        <w:rPr>
          <w:rFonts w:ascii="Calibri" w:hAnsi="Calibri" w:cs="Lucida Sans Unicode"/>
          <w:sz w:val="22"/>
          <w:szCs w:val="22"/>
        </w:rPr>
        <w:t>2</w:t>
      </w:r>
      <w:r w:rsidR="007918C1" w:rsidRPr="00B11277">
        <w:rPr>
          <w:rFonts w:ascii="Calibri" w:hAnsi="Calibri" w:cs="Lucida Sans Unicode"/>
          <w:sz w:val="22"/>
          <w:szCs w:val="22"/>
        </w:rPr>
        <w:t xml:space="preserve">4% of all residents by 2030.  </w:t>
      </w:r>
      <w:r w:rsidR="00406C71">
        <w:rPr>
          <w:rFonts w:asciiTheme="minorHAnsi" w:hAnsiTheme="minorHAnsi"/>
          <w:sz w:val="22"/>
          <w:szCs w:val="22"/>
        </w:rPr>
        <w:t xml:space="preserve">While </w:t>
      </w:r>
      <w:r w:rsidR="001A6514" w:rsidRPr="00B11277">
        <w:rPr>
          <w:rFonts w:asciiTheme="minorHAnsi" w:hAnsiTheme="minorHAnsi"/>
          <w:sz w:val="22"/>
          <w:szCs w:val="22"/>
        </w:rPr>
        <w:t>many</w:t>
      </w:r>
      <w:r w:rsidR="00406C71">
        <w:rPr>
          <w:rFonts w:asciiTheme="minorHAnsi" w:hAnsiTheme="minorHAnsi"/>
          <w:sz w:val="22"/>
          <w:szCs w:val="22"/>
        </w:rPr>
        <w:t xml:space="preserve"> older adults</w:t>
      </w:r>
      <w:r w:rsidR="001A6514" w:rsidRPr="00B11277">
        <w:rPr>
          <w:rFonts w:asciiTheme="minorHAnsi" w:hAnsiTheme="minorHAnsi"/>
          <w:sz w:val="22"/>
          <w:szCs w:val="22"/>
        </w:rPr>
        <w:t xml:space="preserve"> would prefer to downsize in the community</w:t>
      </w:r>
      <w:r w:rsidR="00406C71">
        <w:rPr>
          <w:rFonts w:asciiTheme="minorHAnsi" w:hAnsiTheme="minorHAnsi"/>
          <w:sz w:val="22"/>
          <w:szCs w:val="22"/>
        </w:rPr>
        <w:t>, they have</w:t>
      </w:r>
      <w:r w:rsidR="001A6514" w:rsidRPr="00B11277">
        <w:rPr>
          <w:rFonts w:asciiTheme="minorHAnsi" w:hAnsiTheme="minorHAnsi"/>
          <w:sz w:val="22"/>
          <w:szCs w:val="22"/>
        </w:rPr>
        <w:t xml:space="preserve"> </w:t>
      </w:r>
      <w:r w:rsidR="001A6514" w:rsidRPr="00B11277">
        <w:rPr>
          <w:rFonts w:asciiTheme="minorHAnsi" w:hAnsiTheme="minorHAnsi"/>
          <w:sz w:val="22"/>
          <w:szCs w:val="22"/>
        </w:rPr>
        <w:lastRenderedPageBreak/>
        <w:t xml:space="preserve">tended to remain in their homes given limited </w:t>
      </w:r>
      <w:r w:rsidR="00B67C64" w:rsidRPr="00B11277">
        <w:rPr>
          <w:rFonts w:asciiTheme="minorHAnsi" w:hAnsiTheme="minorHAnsi"/>
          <w:sz w:val="22"/>
          <w:szCs w:val="22"/>
        </w:rPr>
        <w:t xml:space="preserve">affordable and accessible </w:t>
      </w:r>
      <w:r w:rsidR="001A6514" w:rsidRPr="00B11277">
        <w:rPr>
          <w:rFonts w:asciiTheme="minorHAnsi" w:hAnsiTheme="minorHAnsi"/>
          <w:sz w:val="22"/>
          <w:szCs w:val="22"/>
        </w:rPr>
        <w:t>housing alternatives</w:t>
      </w:r>
      <w:r w:rsidR="001002C7">
        <w:rPr>
          <w:rFonts w:asciiTheme="minorHAnsi" w:hAnsiTheme="minorHAnsi"/>
          <w:sz w:val="22"/>
          <w:szCs w:val="22"/>
        </w:rPr>
        <w:t xml:space="preserve"> within their price range</w:t>
      </w:r>
      <w:r w:rsidR="001A6514" w:rsidRPr="00B11277">
        <w:rPr>
          <w:rFonts w:asciiTheme="minorHAnsi" w:hAnsiTheme="minorHAnsi"/>
          <w:sz w:val="22"/>
          <w:szCs w:val="22"/>
        </w:rPr>
        <w:t xml:space="preserve">.  </w:t>
      </w:r>
    </w:p>
    <w:p w14:paraId="0B2659AD" w14:textId="77777777" w:rsidR="001A6514" w:rsidRPr="00B11277" w:rsidRDefault="001A6514" w:rsidP="001A6514">
      <w:pPr>
        <w:pStyle w:val="ListParagraph"/>
        <w:ind w:left="768"/>
        <w:jc w:val="both"/>
        <w:rPr>
          <w:rFonts w:ascii="Calibri" w:hAnsi="Calibri" w:cs="Lucida Sans Unicode"/>
          <w:sz w:val="22"/>
        </w:rPr>
      </w:pPr>
    </w:p>
    <w:p w14:paraId="4F9B1027" w14:textId="5C5CC896" w:rsidR="006B2436" w:rsidRDefault="00FA03C4" w:rsidP="00D7368F">
      <w:pPr>
        <w:jc w:val="both"/>
        <w:rPr>
          <w:rFonts w:ascii="Calibri" w:hAnsi="Calibri"/>
          <w:bCs/>
          <w:sz w:val="22"/>
          <w:szCs w:val="22"/>
        </w:rPr>
      </w:pPr>
      <w:r w:rsidRPr="00D7368F">
        <w:rPr>
          <w:rFonts w:ascii="Calibri" w:hAnsi="Calibri" w:cs="Lucida Sans Unicode"/>
          <w:i/>
          <w:iCs/>
          <w:sz w:val="22"/>
        </w:rPr>
        <w:t>While the population increased by 11%</w:t>
      </w:r>
      <w:r w:rsidR="00BF3329">
        <w:rPr>
          <w:rFonts w:ascii="Calibri" w:hAnsi="Calibri" w:cs="Lucida Sans Unicode"/>
          <w:i/>
          <w:iCs/>
          <w:sz w:val="22"/>
        </w:rPr>
        <w:t xml:space="preserve"> between 2010 and 2020</w:t>
      </w:r>
      <w:r w:rsidRPr="00D7368F">
        <w:rPr>
          <w:rFonts w:ascii="Calibri" w:hAnsi="Calibri" w:cs="Lucida Sans Unicode"/>
          <w:i/>
          <w:iCs/>
          <w:sz w:val="22"/>
        </w:rPr>
        <w:t xml:space="preserve">, the number of households increased by </w:t>
      </w:r>
      <w:r w:rsidR="00BF3329">
        <w:rPr>
          <w:rFonts w:ascii="Calibri" w:hAnsi="Calibri" w:cs="Lucida Sans Unicode"/>
          <w:i/>
          <w:iCs/>
          <w:sz w:val="22"/>
        </w:rPr>
        <w:t>4</w:t>
      </w:r>
      <w:r w:rsidRPr="00D7368F">
        <w:rPr>
          <w:rFonts w:ascii="Calibri" w:hAnsi="Calibri" w:cs="Lucida Sans Unicode"/>
          <w:i/>
          <w:iCs/>
          <w:sz w:val="22"/>
        </w:rPr>
        <w:t>%</w:t>
      </w:r>
      <w:r w:rsidR="00D7368F">
        <w:rPr>
          <w:rFonts w:ascii="Calibri" w:hAnsi="Calibri" w:cs="Lucida Sans Unicode"/>
          <w:i/>
          <w:iCs/>
          <w:sz w:val="22"/>
        </w:rPr>
        <w:t>, from 10,</w:t>
      </w:r>
      <w:r w:rsidR="00BF3329">
        <w:rPr>
          <w:rFonts w:ascii="Calibri" w:hAnsi="Calibri" w:cs="Lucida Sans Unicode"/>
          <w:i/>
          <w:iCs/>
          <w:sz w:val="22"/>
        </w:rPr>
        <w:t>341</w:t>
      </w:r>
      <w:r w:rsidR="00D7368F">
        <w:rPr>
          <w:rFonts w:ascii="Calibri" w:hAnsi="Calibri" w:cs="Lucida Sans Unicode"/>
          <w:i/>
          <w:iCs/>
          <w:sz w:val="22"/>
        </w:rPr>
        <w:t xml:space="preserve"> to 10,765 households</w:t>
      </w:r>
      <w:r w:rsidR="00C36BB1">
        <w:rPr>
          <w:rFonts w:ascii="Calibri" w:hAnsi="Calibri" w:cs="Lucida Sans Unicode"/>
          <w:i/>
          <w:iCs/>
          <w:sz w:val="22"/>
        </w:rPr>
        <w:t>.  This</w:t>
      </w:r>
      <w:r w:rsidR="00D7368F" w:rsidRPr="00D7368F">
        <w:rPr>
          <w:rFonts w:ascii="Calibri" w:hAnsi="Calibri" w:cs="Lucida Sans Unicode"/>
          <w:i/>
          <w:iCs/>
          <w:sz w:val="22"/>
        </w:rPr>
        <w:t xml:space="preserve"> suggest</w:t>
      </w:r>
      <w:r w:rsidR="00C36BB1">
        <w:rPr>
          <w:rFonts w:ascii="Calibri" w:hAnsi="Calibri" w:cs="Lucida Sans Unicode"/>
          <w:i/>
          <w:iCs/>
          <w:sz w:val="22"/>
        </w:rPr>
        <w:t>s</w:t>
      </w:r>
      <w:r w:rsidR="00D7368F" w:rsidRPr="00D7368F">
        <w:rPr>
          <w:rFonts w:ascii="Calibri" w:hAnsi="Calibri" w:cs="Lucida Sans Unicode"/>
          <w:i/>
          <w:iCs/>
          <w:sz w:val="22"/>
        </w:rPr>
        <w:t xml:space="preserve"> </w:t>
      </w:r>
      <w:r w:rsidR="006B2436" w:rsidRPr="00D7368F">
        <w:rPr>
          <w:rFonts w:ascii="Calibri" w:hAnsi="Calibri"/>
          <w:bCs/>
          <w:i/>
          <w:iCs/>
          <w:sz w:val="22"/>
          <w:szCs w:val="22"/>
        </w:rPr>
        <w:t xml:space="preserve">that households </w:t>
      </w:r>
      <w:r w:rsidR="00C36BB1">
        <w:rPr>
          <w:rFonts w:ascii="Calibri" w:hAnsi="Calibri"/>
          <w:bCs/>
          <w:i/>
          <w:iCs/>
          <w:sz w:val="22"/>
          <w:szCs w:val="22"/>
        </w:rPr>
        <w:t>are</w:t>
      </w:r>
      <w:r w:rsidR="006B2436" w:rsidRPr="00D7368F">
        <w:rPr>
          <w:rFonts w:ascii="Calibri" w:hAnsi="Calibri"/>
          <w:bCs/>
          <w:i/>
          <w:iCs/>
          <w:sz w:val="22"/>
          <w:szCs w:val="22"/>
        </w:rPr>
        <w:t xml:space="preserve"> becoming larger</w:t>
      </w:r>
      <w:r w:rsidR="00C36BB1">
        <w:rPr>
          <w:rFonts w:ascii="Calibri" w:hAnsi="Calibri"/>
          <w:bCs/>
          <w:i/>
          <w:iCs/>
          <w:sz w:val="22"/>
          <w:szCs w:val="22"/>
        </w:rPr>
        <w:t xml:space="preserve"> </w:t>
      </w:r>
      <w:r w:rsidR="00C36BB1" w:rsidRPr="00C36BB1">
        <w:rPr>
          <w:rFonts w:ascii="Calibri" w:hAnsi="Calibri"/>
          <w:bCs/>
          <w:sz w:val="22"/>
          <w:szCs w:val="22"/>
        </w:rPr>
        <w:t>which</w:t>
      </w:r>
      <w:r w:rsidR="00D7368F" w:rsidRPr="00D7368F">
        <w:rPr>
          <w:rFonts w:ascii="Calibri" w:hAnsi="Calibri"/>
          <w:bCs/>
          <w:sz w:val="22"/>
          <w:szCs w:val="22"/>
        </w:rPr>
        <w:t xml:space="preserve"> was</w:t>
      </w:r>
      <w:r w:rsidR="006B2436" w:rsidRPr="00B11277">
        <w:rPr>
          <w:rFonts w:ascii="Calibri" w:hAnsi="Calibri"/>
          <w:bCs/>
          <w:sz w:val="22"/>
          <w:szCs w:val="22"/>
        </w:rPr>
        <w:t xml:space="preserve"> further demonstrated by the increase in average household size from 2.</w:t>
      </w:r>
      <w:r w:rsidR="00BF3329">
        <w:rPr>
          <w:rFonts w:ascii="Calibri" w:hAnsi="Calibri"/>
          <w:bCs/>
          <w:sz w:val="22"/>
          <w:szCs w:val="22"/>
        </w:rPr>
        <w:t>72</w:t>
      </w:r>
      <w:r w:rsidR="006B2436" w:rsidRPr="00B11277">
        <w:rPr>
          <w:rFonts w:ascii="Calibri" w:hAnsi="Calibri"/>
          <w:bCs/>
          <w:sz w:val="22"/>
          <w:szCs w:val="22"/>
        </w:rPr>
        <w:t xml:space="preserve"> persons in </w:t>
      </w:r>
      <w:r w:rsidR="00BF3329">
        <w:rPr>
          <w:rFonts w:ascii="Calibri" w:hAnsi="Calibri"/>
          <w:bCs/>
          <w:sz w:val="22"/>
          <w:szCs w:val="22"/>
        </w:rPr>
        <w:t>2010</w:t>
      </w:r>
      <w:r w:rsidR="006B2436" w:rsidRPr="00B11277">
        <w:rPr>
          <w:rFonts w:ascii="Calibri" w:hAnsi="Calibri"/>
          <w:bCs/>
          <w:sz w:val="22"/>
          <w:szCs w:val="22"/>
        </w:rPr>
        <w:t xml:space="preserve"> to 2.</w:t>
      </w:r>
      <w:r w:rsidR="00D7368F">
        <w:rPr>
          <w:rFonts w:ascii="Calibri" w:hAnsi="Calibri"/>
          <w:bCs/>
          <w:sz w:val="22"/>
          <w:szCs w:val="22"/>
        </w:rPr>
        <w:t>82</w:t>
      </w:r>
      <w:r w:rsidR="006B2436" w:rsidRPr="00B11277">
        <w:rPr>
          <w:rFonts w:ascii="Calibri" w:hAnsi="Calibri"/>
          <w:bCs/>
          <w:sz w:val="22"/>
          <w:szCs w:val="22"/>
        </w:rPr>
        <w:t xml:space="preserve"> by 20</w:t>
      </w:r>
      <w:r w:rsidR="00D7368F">
        <w:rPr>
          <w:rFonts w:ascii="Calibri" w:hAnsi="Calibri"/>
          <w:bCs/>
          <w:sz w:val="22"/>
          <w:szCs w:val="22"/>
        </w:rPr>
        <w:t>20</w:t>
      </w:r>
      <w:r w:rsidR="006B2436" w:rsidRPr="00B11277">
        <w:rPr>
          <w:rFonts w:ascii="Calibri" w:hAnsi="Calibri"/>
          <w:bCs/>
          <w:sz w:val="22"/>
          <w:szCs w:val="22"/>
        </w:rPr>
        <w:t>.  Perhaps the teardown activity that has occurred over the past decade, with smaller more modest homes</w:t>
      </w:r>
      <w:r w:rsidR="008E604B">
        <w:rPr>
          <w:rFonts w:ascii="Calibri" w:hAnsi="Calibri"/>
          <w:bCs/>
          <w:sz w:val="22"/>
          <w:szCs w:val="22"/>
        </w:rPr>
        <w:t xml:space="preserve"> </w:t>
      </w:r>
      <w:r w:rsidR="006B2436" w:rsidRPr="00B11277">
        <w:rPr>
          <w:rFonts w:ascii="Calibri" w:hAnsi="Calibri"/>
          <w:bCs/>
          <w:sz w:val="22"/>
          <w:szCs w:val="22"/>
        </w:rPr>
        <w:t>being replaced with larger more expensive ones, is a contributing factor to</w:t>
      </w:r>
      <w:r w:rsidR="00D7368F">
        <w:rPr>
          <w:rFonts w:ascii="Calibri" w:hAnsi="Calibri"/>
          <w:bCs/>
          <w:sz w:val="22"/>
          <w:szCs w:val="22"/>
        </w:rPr>
        <w:t xml:space="preserve"> the</w:t>
      </w:r>
      <w:r w:rsidR="006B2436" w:rsidRPr="00B11277">
        <w:rPr>
          <w:rFonts w:ascii="Calibri" w:hAnsi="Calibri"/>
          <w:bCs/>
          <w:sz w:val="22"/>
          <w:szCs w:val="22"/>
        </w:rPr>
        <w:t xml:space="preserve"> increasing numbers of larger households.</w:t>
      </w:r>
    </w:p>
    <w:p w14:paraId="0068512C" w14:textId="77777777" w:rsidR="008B0E91" w:rsidRPr="00B11277" w:rsidRDefault="008B0E91" w:rsidP="00D7368F">
      <w:pPr>
        <w:jc w:val="both"/>
        <w:rPr>
          <w:rFonts w:ascii="Calibri" w:hAnsi="Calibri"/>
          <w:bCs/>
          <w:sz w:val="22"/>
          <w:szCs w:val="22"/>
        </w:rPr>
      </w:pPr>
    </w:p>
    <w:p w14:paraId="28385CD2" w14:textId="58179C20" w:rsidR="007918C1" w:rsidRPr="00B11277" w:rsidRDefault="008B2CF9" w:rsidP="0042546C">
      <w:pPr>
        <w:jc w:val="both"/>
        <w:rPr>
          <w:rFonts w:ascii="Calibri" w:hAnsi="Calibri"/>
          <w:b/>
          <w:i/>
          <w:iCs/>
          <w:sz w:val="22"/>
        </w:rPr>
      </w:pPr>
      <w:r w:rsidRPr="00B11277">
        <w:rPr>
          <w:noProof/>
        </w:rPr>
        <w:drawing>
          <wp:anchor distT="0" distB="0" distL="114300" distR="114300" simplePos="0" relativeHeight="251656704" behindDoc="1" locked="0" layoutInCell="1" allowOverlap="1" wp14:anchorId="3ADB60A7" wp14:editId="1FE4A629">
            <wp:simplePos x="0" y="0"/>
            <wp:positionH relativeFrom="margin">
              <wp:align>left</wp:align>
            </wp:positionH>
            <wp:positionV relativeFrom="paragraph">
              <wp:posOffset>8255</wp:posOffset>
            </wp:positionV>
            <wp:extent cx="3916680" cy="2438400"/>
            <wp:effectExtent l="0" t="0" r="7620" b="0"/>
            <wp:wrapTight wrapText="bothSides">
              <wp:wrapPolygon edited="0">
                <wp:start x="0" y="0"/>
                <wp:lineTo x="0" y="21431"/>
                <wp:lineTo x="21537" y="21431"/>
                <wp:lineTo x="21537" y="0"/>
                <wp:lineTo x="0" y="0"/>
              </wp:wrapPolygon>
            </wp:wrapTight>
            <wp:docPr id="23" name="Chart 2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E22B8" w:rsidRPr="00B11277">
        <w:rPr>
          <w:rFonts w:ascii="Calibri" w:hAnsi="Calibri"/>
          <w:b/>
          <w:i/>
          <w:iCs/>
          <w:sz w:val="22"/>
        </w:rPr>
        <w:t>H</w:t>
      </w:r>
      <w:r w:rsidR="007918C1" w:rsidRPr="00B11277">
        <w:rPr>
          <w:rFonts w:ascii="Calibri" w:hAnsi="Calibri"/>
          <w:b/>
          <w:i/>
          <w:iCs/>
          <w:sz w:val="22"/>
        </w:rPr>
        <w:t>igh incom</w:t>
      </w:r>
      <w:r w:rsidR="00E652E7" w:rsidRPr="00B11277">
        <w:rPr>
          <w:rFonts w:ascii="Calibri" w:hAnsi="Calibri"/>
          <w:b/>
          <w:i/>
          <w:iCs/>
          <w:sz w:val="22"/>
        </w:rPr>
        <w:t>e</w:t>
      </w:r>
      <w:r w:rsidR="007918C1" w:rsidRPr="00B11277">
        <w:rPr>
          <w:rFonts w:ascii="Calibri" w:hAnsi="Calibri"/>
          <w:b/>
          <w:i/>
          <w:iCs/>
          <w:sz w:val="22"/>
        </w:rPr>
        <w:t>s but growing income disparities</w:t>
      </w:r>
    </w:p>
    <w:p w14:paraId="74F5EA81" w14:textId="7BB2F1FE" w:rsidR="00116B6C" w:rsidRPr="00B11277" w:rsidRDefault="00FE22B8" w:rsidP="00E56C2A">
      <w:pPr>
        <w:pStyle w:val="BodyText2"/>
        <w:spacing w:after="0" w:line="240" w:lineRule="auto"/>
        <w:jc w:val="both"/>
        <w:rPr>
          <w:rFonts w:ascii="Calibri" w:hAnsi="Calibri"/>
          <w:sz w:val="22"/>
          <w:szCs w:val="22"/>
        </w:rPr>
      </w:pPr>
      <w:r w:rsidRPr="00B11277">
        <w:rPr>
          <w:rFonts w:ascii="Calibri" w:hAnsi="Calibri"/>
          <w:sz w:val="22"/>
          <w:szCs w:val="22"/>
        </w:rPr>
        <w:t>I</w:t>
      </w:r>
      <w:r w:rsidR="00116B6C" w:rsidRPr="00B11277">
        <w:rPr>
          <w:rFonts w:ascii="Calibri" w:hAnsi="Calibri"/>
          <w:sz w:val="22"/>
          <w:szCs w:val="22"/>
        </w:rPr>
        <w:t>ncomes have</w:t>
      </w:r>
      <w:r w:rsidRPr="00B11277">
        <w:rPr>
          <w:rFonts w:ascii="Calibri" w:hAnsi="Calibri"/>
          <w:sz w:val="22"/>
          <w:szCs w:val="22"/>
        </w:rPr>
        <w:t xml:space="preserve"> been steadily</w:t>
      </w:r>
      <w:r w:rsidR="00116B6C" w:rsidRPr="00B11277">
        <w:rPr>
          <w:rFonts w:ascii="Calibri" w:hAnsi="Calibri"/>
          <w:sz w:val="22"/>
          <w:szCs w:val="22"/>
        </w:rPr>
        <w:t xml:space="preserve"> increas</w:t>
      </w:r>
      <w:r w:rsidRPr="00B11277">
        <w:rPr>
          <w:rFonts w:ascii="Calibri" w:hAnsi="Calibri"/>
          <w:sz w:val="22"/>
          <w:szCs w:val="22"/>
        </w:rPr>
        <w:t>ing</w:t>
      </w:r>
      <w:r w:rsidR="00116B6C" w:rsidRPr="00B11277">
        <w:rPr>
          <w:rFonts w:ascii="Calibri" w:hAnsi="Calibri"/>
          <w:sz w:val="22"/>
          <w:szCs w:val="22"/>
        </w:rPr>
        <w:t xml:space="preserve"> with the median household</w:t>
      </w:r>
      <w:r w:rsidR="008E604B">
        <w:rPr>
          <w:rFonts w:ascii="Calibri" w:hAnsi="Calibri"/>
          <w:sz w:val="22"/>
          <w:szCs w:val="22"/>
        </w:rPr>
        <w:t xml:space="preserve"> income</w:t>
      </w:r>
      <w:r w:rsidR="00116B6C" w:rsidRPr="00B11277">
        <w:rPr>
          <w:rFonts w:ascii="Calibri" w:hAnsi="Calibri"/>
          <w:sz w:val="22"/>
          <w:szCs w:val="22"/>
        </w:rPr>
        <w:t xml:space="preserve"> growing by 30% between 1999 and 2010 to $114,365</w:t>
      </w:r>
      <w:r w:rsidR="00457295">
        <w:rPr>
          <w:rFonts w:ascii="Calibri" w:hAnsi="Calibri"/>
          <w:sz w:val="22"/>
          <w:szCs w:val="22"/>
        </w:rPr>
        <w:t xml:space="preserve"> and then by another 53% to $174,707 by 2020</w:t>
      </w:r>
      <w:r w:rsidR="008E604B">
        <w:rPr>
          <w:rFonts w:ascii="Calibri" w:hAnsi="Calibri"/>
          <w:sz w:val="22"/>
          <w:szCs w:val="22"/>
        </w:rPr>
        <w:t>.  This is</w:t>
      </w:r>
      <w:r w:rsidR="00116B6C" w:rsidRPr="00B11277">
        <w:rPr>
          <w:rFonts w:ascii="Calibri" w:hAnsi="Calibri"/>
          <w:sz w:val="22"/>
          <w:szCs w:val="22"/>
        </w:rPr>
        <w:t xml:space="preserve"> more than twice the rate of inflation</w:t>
      </w:r>
      <w:r w:rsidR="00A70E07">
        <w:rPr>
          <w:rFonts w:ascii="Calibri" w:hAnsi="Calibri"/>
          <w:sz w:val="22"/>
          <w:szCs w:val="22"/>
        </w:rPr>
        <w:t xml:space="preserve"> between 2010 and 2020</w:t>
      </w:r>
      <w:r w:rsidR="00116B6C" w:rsidRPr="00B11277">
        <w:rPr>
          <w:rFonts w:ascii="Calibri" w:hAnsi="Calibri"/>
          <w:sz w:val="22"/>
          <w:szCs w:val="22"/>
        </w:rPr>
        <w:t xml:space="preserve"> of 1</w:t>
      </w:r>
      <w:r w:rsidR="0016278A">
        <w:rPr>
          <w:rFonts w:ascii="Calibri" w:hAnsi="Calibri"/>
          <w:sz w:val="22"/>
          <w:szCs w:val="22"/>
        </w:rPr>
        <w:t>8.</w:t>
      </w:r>
      <w:r w:rsidR="00116B6C" w:rsidRPr="00B11277">
        <w:rPr>
          <w:rFonts w:ascii="Calibri" w:hAnsi="Calibri"/>
          <w:sz w:val="22"/>
          <w:szCs w:val="22"/>
        </w:rPr>
        <w:t xml:space="preserve">7%.  </w:t>
      </w:r>
      <w:r w:rsidR="008B2CF9" w:rsidRPr="00B11277">
        <w:rPr>
          <w:rFonts w:ascii="Calibri" w:hAnsi="Calibri"/>
          <w:sz w:val="22"/>
          <w:szCs w:val="22"/>
        </w:rPr>
        <w:t>As shown in Figure I-1, housing values have risen more than income, resulting in greater affordability gaps.</w:t>
      </w:r>
      <w:r w:rsidR="00E652E7" w:rsidRPr="00B11277">
        <w:rPr>
          <w:rFonts w:ascii="Calibri" w:hAnsi="Calibri"/>
          <w:sz w:val="22"/>
          <w:szCs w:val="22"/>
        </w:rPr>
        <w:t xml:space="preserve">  </w:t>
      </w:r>
    </w:p>
    <w:p w14:paraId="193246A9" w14:textId="77777777" w:rsidR="00116B6C" w:rsidRPr="00B11277" w:rsidRDefault="00116B6C" w:rsidP="00E56C2A">
      <w:pPr>
        <w:pStyle w:val="BodyTextIndent"/>
        <w:spacing w:after="0"/>
        <w:ind w:left="0"/>
        <w:jc w:val="both"/>
        <w:rPr>
          <w:rFonts w:ascii="Calibri" w:hAnsi="Calibri"/>
          <w:sz w:val="22"/>
          <w:szCs w:val="22"/>
        </w:rPr>
      </w:pPr>
    </w:p>
    <w:p w14:paraId="62E9E3B8" w14:textId="2EB5E519" w:rsidR="00F6393F" w:rsidRDefault="0016278A" w:rsidP="00E56C2A">
      <w:pPr>
        <w:pStyle w:val="BodyTextIndent"/>
        <w:spacing w:after="0"/>
        <w:ind w:left="0"/>
        <w:jc w:val="both"/>
        <w:rPr>
          <w:rFonts w:ascii="Calibri" w:hAnsi="Calibri"/>
          <w:b/>
          <w:sz w:val="22"/>
          <w:szCs w:val="22"/>
        </w:rPr>
      </w:pPr>
      <w:r w:rsidRPr="00EB5D55">
        <w:rPr>
          <w:rFonts w:ascii="Calibri" w:hAnsi="Calibri"/>
          <w:sz w:val="22"/>
          <w:szCs w:val="22"/>
        </w:rPr>
        <w:t xml:space="preserve">There were decreases in the numbers and percentages of households in all income ranges of less than $100,000 between </w:t>
      </w:r>
      <w:r w:rsidR="008E604B">
        <w:rPr>
          <w:rFonts w:ascii="Calibri" w:hAnsi="Calibri"/>
          <w:sz w:val="22"/>
          <w:szCs w:val="22"/>
        </w:rPr>
        <w:t>2000</w:t>
      </w:r>
      <w:r w:rsidRPr="00EB5D55">
        <w:rPr>
          <w:rFonts w:ascii="Calibri" w:hAnsi="Calibri"/>
          <w:sz w:val="22"/>
          <w:szCs w:val="22"/>
        </w:rPr>
        <w:t xml:space="preserve"> and 20</w:t>
      </w:r>
      <w:r>
        <w:rPr>
          <w:rFonts w:ascii="Calibri" w:hAnsi="Calibri"/>
          <w:sz w:val="22"/>
          <w:szCs w:val="22"/>
        </w:rPr>
        <w:t>20</w:t>
      </w:r>
      <w:r w:rsidRPr="00EB5D55">
        <w:rPr>
          <w:rFonts w:ascii="Calibri" w:hAnsi="Calibri"/>
          <w:sz w:val="22"/>
          <w:szCs w:val="22"/>
        </w:rPr>
        <w:t>, with</w:t>
      </w:r>
      <w:r>
        <w:rPr>
          <w:rFonts w:ascii="Calibri" w:hAnsi="Calibri"/>
          <w:sz w:val="22"/>
          <w:szCs w:val="22"/>
        </w:rPr>
        <w:t xml:space="preserve"> </w:t>
      </w:r>
      <w:r w:rsidR="00A70E07">
        <w:rPr>
          <w:rFonts w:ascii="Calibri" w:hAnsi="Calibri"/>
          <w:sz w:val="22"/>
          <w:szCs w:val="22"/>
        </w:rPr>
        <w:t>42</w:t>
      </w:r>
      <w:r w:rsidRPr="00EB5D55">
        <w:rPr>
          <w:rFonts w:ascii="Calibri" w:hAnsi="Calibri"/>
          <w:sz w:val="22"/>
          <w:szCs w:val="22"/>
        </w:rPr>
        <w:t xml:space="preserve">% of all households earning less than $100,000 in </w:t>
      </w:r>
      <w:r w:rsidR="00A70E07">
        <w:rPr>
          <w:rFonts w:ascii="Calibri" w:hAnsi="Calibri"/>
          <w:sz w:val="22"/>
          <w:szCs w:val="22"/>
        </w:rPr>
        <w:t>2010</w:t>
      </w:r>
      <w:r w:rsidRPr="00EB5D55">
        <w:rPr>
          <w:rFonts w:ascii="Calibri" w:hAnsi="Calibri"/>
          <w:sz w:val="22"/>
          <w:szCs w:val="22"/>
        </w:rPr>
        <w:t xml:space="preserve"> compared to </w:t>
      </w:r>
      <w:r>
        <w:rPr>
          <w:rFonts w:ascii="Calibri" w:hAnsi="Calibri"/>
          <w:sz w:val="22"/>
          <w:szCs w:val="22"/>
        </w:rPr>
        <w:t>30</w:t>
      </w:r>
      <w:r w:rsidRPr="00EB5D55">
        <w:rPr>
          <w:rFonts w:ascii="Calibri" w:hAnsi="Calibri"/>
          <w:sz w:val="22"/>
          <w:szCs w:val="22"/>
        </w:rPr>
        <w:t>% by 20</w:t>
      </w:r>
      <w:r>
        <w:rPr>
          <w:rFonts w:ascii="Calibri" w:hAnsi="Calibri"/>
          <w:sz w:val="22"/>
          <w:szCs w:val="22"/>
        </w:rPr>
        <w:t>20</w:t>
      </w:r>
      <w:r w:rsidRPr="00EB5D55">
        <w:rPr>
          <w:rFonts w:ascii="Calibri" w:hAnsi="Calibri"/>
          <w:sz w:val="22"/>
          <w:szCs w:val="22"/>
        </w:rPr>
        <w:t xml:space="preserve">.  </w:t>
      </w:r>
      <w:r w:rsidR="0022617F">
        <w:rPr>
          <w:rFonts w:ascii="Calibri" w:hAnsi="Calibri"/>
          <w:bCs/>
          <w:sz w:val="22"/>
          <w:szCs w:val="22"/>
        </w:rPr>
        <w:t>Correspondingly</w:t>
      </w:r>
      <w:r w:rsidRPr="00F6393F">
        <w:rPr>
          <w:rFonts w:ascii="Calibri" w:hAnsi="Calibri"/>
          <w:bCs/>
          <w:sz w:val="22"/>
          <w:szCs w:val="22"/>
        </w:rPr>
        <w:t xml:space="preserve">, </w:t>
      </w:r>
      <w:r w:rsidR="00A70E07">
        <w:rPr>
          <w:rFonts w:ascii="Calibri" w:hAnsi="Calibri"/>
          <w:bCs/>
          <w:sz w:val="22"/>
          <w:szCs w:val="22"/>
        </w:rPr>
        <w:t>58</w:t>
      </w:r>
      <w:r w:rsidRPr="00F6393F">
        <w:rPr>
          <w:rFonts w:ascii="Calibri" w:hAnsi="Calibri"/>
          <w:bCs/>
          <w:sz w:val="22"/>
          <w:szCs w:val="22"/>
        </w:rPr>
        <w:t xml:space="preserve">% of all households earned more than $100,000 in </w:t>
      </w:r>
      <w:r w:rsidR="0022617F">
        <w:rPr>
          <w:rFonts w:ascii="Calibri" w:hAnsi="Calibri"/>
          <w:bCs/>
          <w:sz w:val="22"/>
          <w:szCs w:val="22"/>
        </w:rPr>
        <w:t>2010</w:t>
      </w:r>
      <w:r w:rsidRPr="00F6393F">
        <w:rPr>
          <w:rFonts w:ascii="Calibri" w:hAnsi="Calibri"/>
          <w:bCs/>
          <w:sz w:val="22"/>
          <w:szCs w:val="22"/>
        </w:rPr>
        <w:t>, increasing to 70% by 2020.</w:t>
      </w:r>
      <w:r w:rsidR="008B0E91">
        <w:rPr>
          <w:rFonts w:ascii="Calibri" w:hAnsi="Calibri"/>
          <w:b/>
          <w:sz w:val="22"/>
          <w:szCs w:val="22"/>
        </w:rPr>
        <w:t xml:space="preserve"> </w:t>
      </w:r>
      <w:r w:rsidR="00A70E07">
        <w:rPr>
          <w:rFonts w:ascii="Calibri" w:hAnsi="Calibri"/>
          <w:b/>
          <w:sz w:val="22"/>
          <w:szCs w:val="22"/>
        </w:rPr>
        <w:t xml:space="preserve"> </w:t>
      </w:r>
      <w:r w:rsidR="00F6393F" w:rsidRPr="006F7EFC">
        <w:rPr>
          <w:rFonts w:ascii="Calibri" w:hAnsi="Calibri"/>
          <w:bCs/>
          <w:sz w:val="22"/>
          <w:szCs w:val="22"/>
        </w:rPr>
        <w:t>Moreover,</w:t>
      </w:r>
      <w:r w:rsidR="00F6393F">
        <w:rPr>
          <w:rFonts w:ascii="Calibri" w:hAnsi="Calibri"/>
          <w:b/>
          <w:sz w:val="22"/>
          <w:szCs w:val="22"/>
        </w:rPr>
        <w:t xml:space="preserve"> 44% of all households had incomes of more than $200,000</w:t>
      </w:r>
      <w:r w:rsidR="00A70E07">
        <w:rPr>
          <w:rFonts w:ascii="Calibri" w:hAnsi="Calibri"/>
          <w:b/>
          <w:sz w:val="22"/>
          <w:szCs w:val="22"/>
        </w:rPr>
        <w:t xml:space="preserve"> in 2020</w:t>
      </w:r>
      <w:r w:rsidR="00F6393F">
        <w:rPr>
          <w:rFonts w:ascii="Calibri" w:hAnsi="Calibri"/>
          <w:b/>
          <w:sz w:val="22"/>
          <w:szCs w:val="22"/>
        </w:rPr>
        <w:t>.</w:t>
      </w:r>
    </w:p>
    <w:p w14:paraId="3170C4B0" w14:textId="77777777" w:rsidR="00F6393F" w:rsidRDefault="00F6393F" w:rsidP="00E56C2A">
      <w:pPr>
        <w:pStyle w:val="BodyTextIndent"/>
        <w:spacing w:after="0"/>
        <w:ind w:left="0"/>
        <w:jc w:val="both"/>
        <w:rPr>
          <w:rFonts w:ascii="Calibri" w:hAnsi="Calibri"/>
          <w:b/>
          <w:sz w:val="22"/>
          <w:szCs w:val="22"/>
        </w:rPr>
      </w:pPr>
    </w:p>
    <w:p w14:paraId="73328A40" w14:textId="038D4731" w:rsidR="007918C1" w:rsidRDefault="00F6393F" w:rsidP="00E56C2A">
      <w:pPr>
        <w:pStyle w:val="BodyText"/>
        <w:spacing w:after="0"/>
        <w:jc w:val="both"/>
        <w:rPr>
          <w:rFonts w:ascii="Calibri" w:hAnsi="Calibri"/>
          <w:bCs/>
          <w:sz w:val="22"/>
          <w:szCs w:val="22"/>
        </w:rPr>
      </w:pPr>
      <w:r w:rsidRPr="00F6393F">
        <w:rPr>
          <w:rFonts w:ascii="Calibri" w:hAnsi="Calibri"/>
          <w:sz w:val="22"/>
          <w:szCs w:val="22"/>
        </w:rPr>
        <w:t xml:space="preserve">Despite generally growing prosperity, </w:t>
      </w:r>
      <w:r w:rsidRPr="00F6393F">
        <w:rPr>
          <w:rFonts w:ascii="Calibri" w:hAnsi="Calibri"/>
          <w:bCs/>
          <w:sz w:val="22"/>
          <w:szCs w:val="22"/>
        </w:rPr>
        <w:t xml:space="preserve">there remains a vulnerable population living in </w:t>
      </w:r>
      <w:r w:rsidRPr="00F6393F">
        <w:rPr>
          <w:rFonts w:ascii="Calibri" w:hAnsi="Calibri"/>
          <w:sz w:val="22"/>
          <w:szCs w:val="22"/>
        </w:rPr>
        <w:t>Needham with very limited financial means as 1,157 households or 10.8% of all households were estimated to have incomes of less than $35,000, including 625 or 5.8% earning less than $25,000.</w:t>
      </w:r>
      <w:r>
        <w:rPr>
          <w:rFonts w:ascii="Calibri" w:hAnsi="Calibri"/>
          <w:sz w:val="22"/>
          <w:szCs w:val="22"/>
        </w:rPr>
        <w:t xml:space="preserve">  Another sign of income disparities relates to tenure. </w:t>
      </w:r>
      <w:r w:rsidR="0022617F">
        <w:rPr>
          <w:rFonts w:ascii="Calibri" w:hAnsi="Calibri"/>
          <w:sz w:val="22"/>
          <w:szCs w:val="22"/>
        </w:rPr>
        <w:t xml:space="preserve"> </w:t>
      </w:r>
      <w:r w:rsidR="0016278A" w:rsidRPr="00F6393F">
        <w:rPr>
          <w:rFonts w:ascii="Calibri" w:hAnsi="Calibri"/>
          <w:bCs/>
          <w:sz w:val="22"/>
          <w:szCs w:val="22"/>
        </w:rPr>
        <w:t>While the median household income of homeowners almost doubled</w:t>
      </w:r>
      <w:r w:rsidR="008E604B">
        <w:rPr>
          <w:rFonts w:ascii="Calibri" w:hAnsi="Calibri"/>
          <w:bCs/>
          <w:sz w:val="22"/>
          <w:szCs w:val="22"/>
        </w:rPr>
        <w:t xml:space="preserve"> between 2000 and 2020</w:t>
      </w:r>
      <w:r w:rsidR="0016278A" w:rsidRPr="00F6393F">
        <w:rPr>
          <w:rFonts w:ascii="Calibri" w:hAnsi="Calibri"/>
          <w:bCs/>
          <w:sz w:val="22"/>
          <w:szCs w:val="22"/>
        </w:rPr>
        <w:t>, from $100,732 to $203,690, the median income of renters stayed about the same, going from $44,226 to $44,361.</w:t>
      </w:r>
      <w:r>
        <w:rPr>
          <w:rFonts w:ascii="Calibri" w:hAnsi="Calibri"/>
          <w:bCs/>
          <w:sz w:val="22"/>
          <w:szCs w:val="22"/>
        </w:rPr>
        <w:t xml:space="preserve">  </w:t>
      </w:r>
    </w:p>
    <w:p w14:paraId="16374A1B" w14:textId="77777777" w:rsidR="00E56C2A" w:rsidRPr="00B11277" w:rsidRDefault="00E56C2A" w:rsidP="00E56C2A">
      <w:pPr>
        <w:pStyle w:val="BodyText"/>
        <w:spacing w:after="0"/>
        <w:jc w:val="both"/>
        <w:rPr>
          <w:rFonts w:ascii="Calibri" w:hAnsi="Calibri"/>
          <w:sz w:val="22"/>
        </w:rPr>
      </w:pPr>
    </w:p>
    <w:p w14:paraId="022E4CD8" w14:textId="78A0764F" w:rsidR="007918C1" w:rsidRPr="00B11277" w:rsidRDefault="00F12ECD" w:rsidP="0042546C">
      <w:pPr>
        <w:pStyle w:val="BodyTextIndent"/>
        <w:spacing w:after="0"/>
        <w:ind w:left="0"/>
        <w:jc w:val="both"/>
        <w:rPr>
          <w:rFonts w:asciiTheme="minorHAnsi" w:hAnsiTheme="minorHAnsi"/>
          <w:b/>
        </w:rPr>
      </w:pPr>
      <w:r w:rsidRPr="00B11277">
        <w:rPr>
          <w:rFonts w:asciiTheme="minorHAnsi" w:hAnsiTheme="minorHAnsi"/>
          <w:b/>
        </w:rPr>
        <w:t>2</w:t>
      </w:r>
      <w:r w:rsidR="003D4A5A" w:rsidRPr="00B11277">
        <w:rPr>
          <w:rFonts w:asciiTheme="minorHAnsi" w:hAnsiTheme="minorHAnsi"/>
          <w:b/>
        </w:rPr>
        <w:t>.</w:t>
      </w:r>
      <w:r w:rsidRPr="00B11277">
        <w:rPr>
          <w:rFonts w:asciiTheme="minorHAnsi" w:hAnsiTheme="minorHAnsi"/>
          <w:b/>
        </w:rPr>
        <w:tab/>
        <w:t>Summary of Housing Characteristics and Trends</w:t>
      </w:r>
      <w:r w:rsidR="003D4A5A" w:rsidRPr="00B11277">
        <w:rPr>
          <w:rFonts w:asciiTheme="minorHAnsi" w:hAnsiTheme="minorHAnsi"/>
          <w:b/>
        </w:rPr>
        <w:tab/>
      </w:r>
    </w:p>
    <w:p w14:paraId="4546AF4B" w14:textId="09E7EE8C" w:rsidR="007918C1" w:rsidRPr="00B11277" w:rsidRDefault="007918C1" w:rsidP="0042546C">
      <w:pPr>
        <w:jc w:val="both"/>
        <w:rPr>
          <w:rFonts w:asciiTheme="minorHAnsi" w:hAnsiTheme="minorHAnsi"/>
          <w:b/>
          <w:bCs/>
          <w:i/>
          <w:iCs/>
          <w:sz w:val="22"/>
          <w:szCs w:val="22"/>
        </w:rPr>
      </w:pPr>
      <w:r w:rsidRPr="00B11277">
        <w:rPr>
          <w:rFonts w:asciiTheme="minorHAnsi" w:hAnsiTheme="minorHAnsi"/>
          <w:b/>
          <w:bCs/>
          <w:i/>
          <w:iCs/>
          <w:sz w:val="22"/>
          <w:szCs w:val="22"/>
        </w:rPr>
        <w:t>Slower housing growth</w:t>
      </w:r>
      <w:r w:rsidR="007A6CF8" w:rsidRPr="00B11277">
        <w:rPr>
          <w:rFonts w:asciiTheme="minorHAnsi" w:hAnsiTheme="minorHAnsi"/>
          <w:b/>
          <w:bCs/>
          <w:i/>
          <w:iCs/>
          <w:sz w:val="22"/>
          <w:szCs w:val="22"/>
        </w:rPr>
        <w:t xml:space="preserve"> than population growth</w:t>
      </w:r>
      <w:r w:rsidRPr="00B11277">
        <w:rPr>
          <w:rFonts w:asciiTheme="minorHAnsi" w:hAnsiTheme="minorHAnsi"/>
          <w:b/>
          <w:bCs/>
          <w:i/>
          <w:iCs/>
          <w:sz w:val="22"/>
          <w:szCs w:val="22"/>
        </w:rPr>
        <w:t xml:space="preserve"> </w:t>
      </w:r>
      <w:r w:rsidR="0022617F">
        <w:rPr>
          <w:rFonts w:asciiTheme="minorHAnsi" w:hAnsiTheme="minorHAnsi"/>
          <w:b/>
          <w:bCs/>
          <w:i/>
          <w:iCs/>
          <w:sz w:val="22"/>
          <w:szCs w:val="22"/>
        </w:rPr>
        <w:t>in tandem with substantial teardown activity</w:t>
      </w:r>
    </w:p>
    <w:p w14:paraId="6BD96399" w14:textId="3B443CCB" w:rsidR="00162544" w:rsidRPr="00B11277" w:rsidRDefault="004C20B9" w:rsidP="00FE22B8">
      <w:pPr>
        <w:jc w:val="both"/>
        <w:rPr>
          <w:rFonts w:asciiTheme="minorHAnsi" w:hAnsiTheme="minorHAnsi"/>
          <w:sz w:val="22"/>
          <w:szCs w:val="22"/>
        </w:rPr>
      </w:pPr>
      <w:r w:rsidRPr="00B11277">
        <w:rPr>
          <w:rFonts w:asciiTheme="minorHAnsi" w:hAnsiTheme="minorHAnsi"/>
          <w:sz w:val="22"/>
          <w:szCs w:val="22"/>
        </w:rPr>
        <w:t>Populat</w:t>
      </w:r>
      <w:r w:rsidR="00174CEE" w:rsidRPr="00B11277">
        <w:rPr>
          <w:rFonts w:asciiTheme="minorHAnsi" w:hAnsiTheme="minorHAnsi"/>
          <w:sz w:val="22"/>
          <w:szCs w:val="22"/>
        </w:rPr>
        <w:t>i</w:t>
      </w:r>
      <w:r w:rsidRPr="00B11277">
        <w:rPr>
          <w:rFonts w:asciiTheme="minorHAnsi" w:hAnsiTheme="minorHAnsi"/>
          <w:sz w:val="22"/>
          <w:szCs w:val="22"/>
        </w:rPr>
        <w:t>on</w:t>
      </w:r>
      <w:r w:rsidR="007918C1" w:rsidRPr="00B11277">
        <w:rPr>
          <w:rFonts w:asciiTheme="minorHAnsi" w:hAnsiTheme="minorHAnsi"/>
          <w:sz w:val="22"/>
          <w:szCs w:val="22"/>
        </w:rPr>
        <w:t xml:space="preserve"> growth increased by </w:t>
      </w:r>
      <w:r w:rsidR="00361124" w:rsidRPr="00B11277">
        <w:rPr>
          <w:rFonts w:asciiTheme="minorHAnsi" w:hAnsiTheme="minorHAnsi"/>
          <w:sz w:val="22"/>
          <w:szCs w:val="22"/>
        </w:rPr>
        <w:t>4,534</w:t>
      </w:r>
      <w:r w:rsidR="007918C1" w:rsidRPr="00B11277">
        <w:rPr>
          <w:rFonts w:asciiTheme="minorHAnsi" w:hAnsiTheme="minorHAnsi"/>
          <w:sz w:val="22"/>
          <w:szCs w:val="22"/>
        </w:rPr>
        <w:t xml:space="preserve"> </w:t>
      </w:r>
      <w:r w:rsidR="00375CA4" w:rsidRPr="00B11277">
        <w:rPr>
          <w:rFonts w:asciiTheme="minorHAnsi" w:hAnsiTheme="minorHAnsi"/>
          <w:sz w:val="22"/>
          <w:szCs w:val="22"/>
        </w:rPr>
        <w:t xml:space="preserve">residents </w:t>
      </w:r>
      <w:r w:rsidR="007918C1" w:rsidRPr="00B11277">
        <w:rPr>
          <w:rFonts w:asciiTheme="minorHAnsi" w:hAnsiTheme="minorHAnsi"/>
          <w:sz w:val="22"/>
          <w:szCs w:val="22"/>
        </w:rPr>
        <w:t xml:space="preserve">or </w:t>
      </w:r>
      <w:r w:rsidR="00361124" w:rsidRPr="00B11277">
        <w:rPr>
          <w:rFonts w:asciiTheme="minorHAnsi" w:hAnsiTheme="minorHAnsi"/>
          <w:sz w:val="22"/>
          <w:szCs w:val="22"/>
        </w:rPr>
        <w:t>16.4</w:t>
      </w:r>
      <w:r w:rsidR="007918C1" w:rsidRPr="00B11277">
        <w:rPr>
          <w:rFonts w:asciiTheme="minorHAnsi" w:hAnsiTheme="minorHAnsi"/>
          <w:sz w:val="22"/>
          <w:szCs w:val="22"/>
        </w:rPr>
        <w:t xml:space="preserve">% between </w:t>
      </w:r>
      <w:r w:rsidR="00361124" w:rsidRPr="00B11277">
        <w:rPr>
          <w:rFonts w:asciiTheme="minorHAnsi" w:hAnsiTheme="minorHAnsi"/>
          <w:sz w:val="22"/>
          <w:szCs w:val="22"/>
        </w:rPr>
        <w:t>1990</w:t>
      </w:r>
      <w:r w:rsidR="007918C1" w:rsidRPr="00B11277">
        <w:rPr>
          <w:rFonts w:asciiTheme="minorHAnsi" w:hAnsiTheme="minorHAnsi"/>
          <w:sz w:val="22"/>
          <w:szCs w:val="22"/>
        </w:rPr>
        <w:t xml:space="preserve"> and 20</w:t>
      </w:r>
      <w:r w:rsidR="00361124" w:rsidRPr="00B11277">
        <w:rPr>
          <w:rFonts w:asciiTheme="minorHAnsi" w:hAnsiTheme="minorHAnsi"/>
          <w:sz w:val="22"/>
          <w:szCs w:val="22"/>
        </w:rPr>
        <w:t>20</w:t>
      </w:r>
      <w:r w:rsidR="00162544" w:rsidRPr="00B11277">
        <w:rPr>
          <w:rFonts w:asciiTheme="minorHAnsi" w:hAnsiTheme="minorHAnsi"/>
          <w:sz w:val="22"/>
          <w:szCs w:val="22"/>
        </w:rPr>
        <w:t xml:space="preserve"> to 32,091 residents</w:t>
      </w:r>
      <w:r w:rsidR="007918C1" w:rsidRPr="00B11277">
        <w:rPr>
          <w:rFonts w:asciiTheme="minorHAnsi" w:hAnsiTheme="minorHAnsi"/>
          <w:sz w:val="22"/>
          <w:szCs w:val="22"/>
        </w:rPr>
        <w:t xml:space="preserve"> compared to </w:t>
      </w:r>
      <w:r w:rsidRPr="00B11277">
        <w:rPr>
          <w:rFonts w:asciiTheme="minorHAnsi" w:hAnsiTheme="minorHAnsi"/>
          <w:sz w:val="22"/>
          <w:szCs w:val="22"/>
        </w:rPr>
        <w:t>housing</w:t>
      </w:r>
      <w:r w:rsidR="007918C1" w:rsidRPr="00B11277">
        <w:rPr>
          <w:rFonts w:asciiTheme="minorHAnsi" w:hAnsiTheme="minorHAnsi"/>
          <w:sz w:val="22"/>
          <w:szCs w:val="22"/>
        </w:rPr>
        <w:t xml:space="preserve"> growth of </w:t>
      </w:r>
      <w:r w:rsidR="00361124" w:rsidRPr="00B11277">
        <w:rPr>
          <w:rFonts w:asciiTheme="minorHAnsi" w:hAnsiTheme="minorHAnsi"/>
          <w:sz w:val="22"/>
          <w:szCs w:val="22"/>
        </w:rPr>
        <w:t>1,486</w:t>
      </w:r>
      <w:r w:rsidR="007918C1" w:rsidRPr="00B11277">
        <w:rPr>
          <w:rFonts w:asciiTheme="minorHAnsi" w:hAnsiTheme="minorHAnsi"/>
          <w:sz w:val="22"/>
          <w:szCs w:val="22"/>
        </w:rPr>
        <w:t xml:space="preserve"> units or </w:t>
      </w:r>
      <w:r w:rsidR="00361124" w:rsidRPr="00B11277">
        <w:rPr>
          <w:rFonts w:asciiTheme="minorHAnsi" w:hAnsiTheme="minorHAnsi"/>
          <w:sz w:val="22"/>
          <w:szCs w:val="22"/>
        </w:rPr>
        <w:t>14.3</w:t>
      </w:r>
      <w:r w:rsidR="007918C1" w:rsidRPr="00B11277">
        <w:rPr>
          <w:rFonts w:asciiTheme="minorHAnsi" w:hAnsiTheme="minorHAnsi"/>
          <w:sz w:val="22"/>
          <w:szCs w:val="22"/>
        </w:rPr>
        <w:t>%</w:t>
      </w:r>
      <w:r w:rsidR="00162544" w:rsidRPr="00B11277">
        <w:rPr>
          <w:rFonts w:asciiTheme="minorHAnsi" w:hAnsiTheme="minorHAnsi"/>
          <w:sz w:val="22"/>
          <w:szCs w:val="22"/>
        </w:rPr>
        <w:t xml:space="preserve"> to 11,891 units</w:t>
      </w:r>
      <w:r w:rsidR="007918C1" w:rsidRPr="00B11277">
        <w:rPr>
          <w:rFonts w:asciiTheme="minorHAnsi" w:hAnsiTheme="minorHAnsi"/>
          <w:sz w:val="22"/>
          <w:szCs w:val="22"/>
        </w:rPr>
        <w:t xml:space="preserve"> as shown in Figure </w:t>
      </w:r>
      <w:r w:rsidR="00A92027" w:rsidRPr="00B11277">
        <w:rPr>
          <w:rFonts w:asciiTheme="minorHAnsi" w:hAnsiTheme="minorHAnsi"/>
          <w:sz w:val="22"/>
          <w:szCs w:val="22"/>
        </w:rPr>
        <w:t>I</w:t>
      </w:r>
      <w:r w:rsidR="007918C1" w:rsidRPr="00B11277">
        <w:rPr>
          <w:rFonts w:asciiTheme="minorHAnsi" w:hAnsiTheme="minorHAnsi"/>
          <w:sz w:val="22"/>
          <w:szCs w:val="22"/>
        </w:rPr>
        <w:t xml:space="preserve">-2. </w:t>
      </w:r>
      <w:r w:rsidR="0022617F">
        <w:rPr>
          <w:rFonts w:asciiTheme="minorHAnsi" w:hAnsiTheme="minorHAnsi"/>
          <w:sz w:val="22"/>
          <w:szCs w:val="22"/>
        </w:rPr>
        <w:t>This h</w:t>
      </w:r>
      <w:r w:rsidR="00361124" w:rsidRPr="00B11277">
        <w:rPr>
          <w:rFonts w:asciiTheme="minorHAnsi" w:hAnsiTheme="minorHAnsi"/>
          <w:sz w:val="22"/>
          <w:szCs w:val="22"/>
        </w:rPr>
        <w:t>igher population growth reflects higher average persons per unit which</w:t>
      </w:r>
      <w:r w:rsidR="00AD62D9" w:rsidRPr="00B11277">
        <w:rPr>
          <w:rFonts w:asciiTheme="minorHAnsi" w:hAnsiTheme="minorHAnsi"/>
          <w:sz w:val="22"/>
          <w:szCs w:val="22"/>
        </w:rPr>
        <w:t xml:space="preserve"> </w:t>
      </w:r>
      <w:r w:rsidR="00D75398" w:rsidRPr="00B11277">
        <w:rPr>
          <w:rFonts w:asciiTheme="minorHAnsi" w:hAnsiTheme="minorHAnsi"/>
          <w:sz w:val="22"/>
          <w:szCs w:val="22"/>
        </w:rPr>
        <w:t xml:space="preserve">largely </w:t>
      </w:r>
      <w:r w:rsidR="00AD62D9" w:rsidRPr="00B11277">
        <w:rPr>
          <w:rFonts w:asciiTheme="minorHAnsi" w:hAnsiTheme="minorHAnsi"/>
          <w:sz w:val="22"/>
          <w:szCs w:val="22"/>
        </w:rPr>
        <w:t>occurred in the owner-occupied housing stock between 1990 and 20</w:t>
      </w:r>
      <w:r w:rsidR="0022617F">
        <w:rPr>
          <w:rFonts w:asciiTheme="minorHAnsi" w:hAnsiTheme="minorHAnsi"/>
          <w:sz w:val="22"/>
          <w:szCs w:val="22"/>
        </w:rPr>
        <w:t>20</w:t>
      </w:r>
      <w:r w:rsidR="00AD62D9" w:rsidRPr="00B11277">
        <w:rPr>
          <w:rFonts w:asciiTheme="minorHAnsi" w:hAnsiTheme="minorHAnsi"/>
          <w:sz w:val="22"/>
          <w:szCs w:val="22"/>
        </w:rPr>
        <w:t xml:space="preserve">, from 2.83 to </w:t>
      </w:r>
      <w:r w:rsidR="0022617F">
        <w:rPr>
          <w:rFonts w:asciiTheme="minorHAnsi" w:hAnsiTheme="minorHAnsi"/>
          <w:sz w:val="22"/>
          <w:szCs w:val="22"/>
        </w:rPr>
        <w:t>3.03</w:t>
      </w:r>
      <w:r w:rsidR="00FE22B8" w:rsidRPr="00B11277">
        <w:rPr>
          <w:rFonts w:asciiTheme="minorHAnsi" w:hAnsiTheme="minorHAnsi"/>
          <w:sz w:val="22"/>
          <w:szCs w:val="22"/>
        </w:rPr>
        <w:t xml:space="preserve"> persons</w:t>
      </w:r>
      <w:r w:rsidR="00AD62D9" w:rsidRPr="00B11277">
        <w:rPr>
          <w:rFonts w:asciiTheme="minorHAnsi" w:hAnsiTheme="minorHAnsi"/>
          <w:sz w:val="22"/>
          <w:szCs w:val="22"/>
        </w:rPr>
        <w:t>.  Average household size in rentals decreased, however, from</w:t>
      </w:r>
      <w:r w:rsidR="00D75398" w:rsidRPr="00B11277">
        <w:rPr>
          <w:rFonts w:asciiTheme="minorHAnsi" w:hAnsiTheme="minorHAnsi"/>
          <w:sz w:val="22"/>
          <w:szCs w:val="22"/>
        </w:rPr>
        <w:t xml:space="preserve"> </w:t>
      </w:r>
      <w:r w:rsidR="00AD62D9" w:rsidRPr="00B11277">
        <w:rPr>
          <w:rFonts w:asciiTheme="minorHAnsi" w:hAnsiTheme="minorHAnsi"/>
          <w:sz w:val="22"/>
          <w:szCs w:val="22"/>
        </w:rPr>
        <w:t>2.01 to 1.</w:t>
      </w:r>
      <w:r w:rsidR="0022617F">
        <w:rPr>
          <w:rFonts w:asciiTheme="minorHAnsi" w:hAnsiTheme="minorHAnsi"/>
          <w:sz w:val="22"/>
          <w:szCs w:val="22"/>
        </w:rPr>
        <w:t>69</w:t>
      </w:r>
      <w:r w:rsidR="00AD62D9" w:rsidRPr="00B11277">
        <w:rPr>
          <w:rFonts w:asciiTheme="minorHAnsi" w:hAnsiTheme="minorHAnsi"/>
          <w:sz w:val="22"/>
          <w:szCs w:val="22"/>
        </w:rPr>
        <w:t xml:space="preserve"> </w:t>
      </w:r>
      <w:r w:rsidR="00E42D18" w:rsidRPr="00B11277">
        <w:rPr>
          <w:rFonts w:asciiTheme="minorHAnsi" w:hAnsiTheme="minorHAnsi"/>
          <w:sz w:val="22"/>
          <w:szCs w:val="22"/>
        </w:rPr>
        <w:t xml:space="preserve">persons </w:t>
      </w:r>
      <w:r w:rsidR="00AD62D9" w:rsidRPr="00B11277">
        <w:rPr>
          <w:rFonts w:asciiTheme="minorHAnsi" w:hAnsiTheme="minorHAnsi"/>
          <w:sz w:val="22"/>
          <w:szCs w:val="22"/>
        </w:rPr>
        <w:t>during this same period.</w:t>
      </w:r>
      <w:r w:rsidR="00361124" w:rsidRPr="00B11277">
        <w:rPr>
          <w:rFonts w:asciiTheme="minorHAnsi" w:hAnsiTheme="minorHAnsi"/>
          <w:sz w:val="22"/>
          <w:szCs w:val="22"/>
        </w:rPr>
        <w:t xml:space="preserve"> </w:t>
      </w:r>
    </w:p>
    <w:p w14:paraId="556A4AE1" w14:textId="1D3902A3" w:rsidR="00FE22B8" w:rsidRDefault="00FE22B8" w:rsidP="00FE22B8">
      <w:pPr>
        <w:jc w:val="both"/>
        <w:rPr>
          <w:rFonts w:asciiTheme="minorHAnsi" w:hAnsiTheme="minorHAnsi"/>
          <w:b/>
          <w:bCs/>
          <w:i/>
          <w:iCs/>
          <w:sz w:val="22"/>
          <w:szCs w:val="22"/>
        </w:rPr>
      </w:pPr>
    </w:p>
    <w:p w14:paraId="0B0B0FAC" w14:textId="44AD127A" w:rsidR="00EB4452" w:rsidRPr="00B11277" w:rsidRDefault="00690D5C" w:rsidP="00690D5C">
      <w:pPr>
        <w:jc w:val="both"/>
        <w:rPr>
          <w:rFonts w:asciiTheme="minorHAnsi" w:hAnsiTheme="minorHAnsi" w:cs="Lucida Sans Unicode"/>
          <w:sz w:val="22"/>
          <w:szCs w:val="22"/>
        </w:rPr>
      </w:pPr>
      <w:r w:rsidRPr="00B11277">
        <w:rPr>
          <w:rFonts w:asciiTheme="minorHAnsi" w:hAnsiTheme="minorHAnsi" w:cs="Lucida Sans Unicode"/>
          <w:sz w:val="22"/>
          <w:szCs w:val="22"/>
        </w:rPr>
        <w:lastRenderedPageBreak/>
        <w:t>Building permit data indicates that between 2010 and 2020 there was a net gain of 720 housing units with a net increase of only 1</w:t>
      </w:r>
      <w:r w:rsidR="00A07E3D">
        <w:rPr>
          <w:rFonts w:asciiTheme="minorHAnsi" w:hAnsiTheme="minorHAnsi" w:cs="Lucida Sans Unicode"/>
          <w:sz w:val="22"/>
          <w:szCs w:val="22"/>
        </w:rPr>
        <w:t>9</w:t>
      </w:r>
      <w:r w:rsidRPr="00B11277">
        <w:rPr>
          <w:rFonts w:asciiTheme="minorHAnsi" w:hAnsiTheme="minorHAnsi" w:cs="Lucida Sans Unicode"/>
          <w:sz w:val="22"/>
          <w:szCs w:val="22"/>
        </w:rPr>
        <w:t xml:space="preserve"> single-family homes. This represents a teardown level of almost 98% of all </w:t>
      </w:r>
      <w:r w:rsidR="00097682" w:rsidRPr="00B11277">
        <w:rPr>
          <w:rFonts w:asciiTheme="minorHAnsi" w:hAnsiTheme="minorHAnsi" w:cs="Lucida Sans Unicode"/>
          <w:sz w:val="22"/>
          <w:szCs w:val="22"/>
        </w:rPr>
        <w:t xml:space="preserve">building </w:t>
      </w:r>
      <w:r w:rsidRPr="00B11277">
        <w:rPr>
          <w:rFonts w:asciiTheme="minorHAnsi" w:hAnsiTheme="minorHAnsi" w:cs="Lucida Sans Unicode"/>
          <w:sz w:val="22"/>
          <w:szCs w:val="22"/>
        </w:rPr>
        <w:t>permits</w:t>
      </w:r>
      <w:r w:rsidR="00097682" w:rsidRPr="00B11277">
        <w:rPr>
          <w:rFonts w:asciiTheme="minorHAnsi" w:hAnsiTheme="minorHAnsi" w:cs="Lucida Sans Unicode"/>
          <w:sz w:val="22"/>
          <w:szCs w:val="22"/>
        </w:rPr>
        <w:t xml:space="preserve"> issued for single-family construction</w:t>
      </w:r>
      <w:r w:rsidRPr="00B11277">
        <w:rPr>
          <w:rFonts w:asciiTheme="minorHAnsi" w:hAnsiTheme="minorHAnsi" w:cs="Lucida Sans Unicode"/>
          <w:sz w:val="22"/>
          <w:szCs w:val="22"/>
        </w:rPr>
        <w:t xml:space="preserve"> during this period. </w:t>
      </w:r>
    </w:p>
    <w:p w14:paraId="43B82DAF" w14:textId="5A7AEEAF" w:rsidR="00B972D1" w:rsidRDefault="00B972D1" w:rsidP="00690D5C">
      <w:pPr>
        <w:jc w:val="both"/>
        <w:rPr>
          <w:rFonts w:asciiTheme="minorHAnsi" w:hAnsiTheme="minorHAnsi" w:cs="Lucida Sans Unicode"/>
          <w:b/>
          <w:bCs/>
          <w:i/>
          <w:iCs/>
          <w:sz w:val="22"/>
          <w:szCs w:val="22"/>
        </w:rPr>
      </w:pPr>
    </w:p>
    <w:p w14:paraId="185A1CB7" w14:textId="0D79BC93" w:rsidR="007918C1" w:rsidRPr="00B11277" w:rsidRDefault="00E56C2A" w:rsidP="008F6BC1">
      <w:pPr>
        <w:jc w:val="both"/>
        <w:rPr>
          <w:rFonts w:asciiTheme="minorHAnsi" w:hAnsiTheme="minorHAnsi"/>
          <w:sz w:val="22"/>
          <w:szCs w:val="22"/>
        </w:rPr>
      </w:pPr>
      <w:r w:rsidRPr="00B11277">
        <w:rPr>
          <w:rFonts w:ascii="Calibri" w:hAnsi="Calibri"/>
          <w:noProof/>
          <w:sz w:val="22"/>
          <w:szCs w:val="22"/>
        </w:rPr>
        <w:drawing>
          <wp:anchor distT="0" distB="0" distL="114300" distR="114300" simplePos="0" relativeHeight="251658752" behindDoc="1" locked="0" layoutInCell="1" allowOverlap="1" wp14:anchorId="410B85B2" wp14:editId="54C5F458">
            <wp:simplePos x="0" y="0"/>
            <wp:positionH relativeFrom="margin">
              <wp:posOffset>-68580</wp:posOffset>
            </wp:positionH>
            <wp:positionV relativeFrom="paragraph">
              <wp:posOffset>461645</wp:posOffset>
            </wp:positionV>
            <wp:extent cx="4127500" cy="2316480"/>
            <wp:effectExtent l="0" t="0" r="6350" b="7620"/>
            <wp:wrapTight wrapText="bothSides">
              <wp:wrapPolygon edited="0">
                <wp:start x="0" y="0"/>
                <wp:lineTo x="0" y="21493"/>
                <wp:lineTo x="21534" y="21493"/>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00" cy="2316480"/>
                    </a:xfrm>
                    <a:prstGeom prst="rect">
                      <a:avLst/>
                    </a:prstGeom>
                    <a:noFill/>
                  </pic:spPr>
                </pic:pic>
              </a:graphicData>
            </a:graphic>
            <wp14:sizeRelH relativeFrom="page">
              <wp14:pctWidth>0</wp14:pctWidth>
            </wp14:sizeRelH>
            <wp14:sizeRelV relativeFrom="page">
              <wp14:pctHeight>0</wp14:pctHeight>
            </wp14:sizeRelV>
          </wp:anchor>
        </w:drawing>
      </w:r>
      <w:r w:rsidR="00EB4452" w:rsidRPr="00B11277">
        <w:rPr>
          <w:rFonts w:asciiTheme="minorHAnsi" w:hAnsiTheme="minorHAnsi" w:cs="Lucida Sans Unicode"/>
          <w:sz w:val="22"/>
          <w:szCs w:val="22"/>
        </w:rPr>
        <w:t>Building permit data also shows that</w:t>
      </w:r>
      <w:r w:rsidR="00690D5C" w:rsidRPr="00B11277">
        <w:rPr>
          <w:rFonts w:asciiTheme="minorHAnsi" w:hAnsiTheme="minorHAnsi" w:cs="Lucida Sans Unicode"/>
          <w:sz w:val="22"/>
          <w:szCs w:val="22"/>
        </w:rPr>
        <w:t xml:space="preserve"> 666 units were built in multi-family buildings of three units or more</w:t>
      </w:r>
      <w:r w:rsidR="00EB4452" w:rsidRPr="00B11277">
        <w:rPr>
          <w:rFonts w:asciiTheme="minorHAnsi" w:hAnsiTheme="minorHAnsi" w:cs="Lucida Sans Unicode"/>
          <w:sz w:val="22"/>
          <w:szCs w:val="22"/>
        </w:rPr>
        <w:t xml:space="preserve"> between 2010 and 2020</w:t>
      </w:r>
      <w:r w:rsidR="00E42D18" w:rsidRPr="00B11277">
        <w:rPr>
          <w:rFonts w:asciiTheme="minorHAnsi" w:hAnsiTheme="minorHAnsi" w:cs="Lucida Sans Unicode"/>
          <w:sz w:val="22"/>
          <w:szCs w:val="22"/>
        </w:rPr>
        <w:t>,</w:t>
      </w:r>
      <w:r w:rsidR="00690D5C" w:rsidRPr="00B11277">
        <w:rPr>
          <w:rFonts w:asciiTheme="minorHAnsi" w:hAnsiTheme="minorHAnsi" w:cs="Lucida Sans Unicode"/>
          <w:sz w:val="22"/>
          <w:szCs w:val="22"/>
        </w:rPr>
        <w:t xml:space="preserve"> representing 92.5% of new unit production. </w:t>
      </w:r>
      <w:r w:rsidR="001002C7">
        <w:rPr>
          <w:rFonts w:asciiTheme="minorHAnsi" w:hAnsiTheme="minorHAnsi" w:cs="Lucida Sans Unicode"/>
          <w:sz w:val="22"/>
          <w:szCs w:val="22"/>
        </w:rPr>
        <w:t xml:space="preserve"> Most of these units were part of the 526 units built as part of The Kendrick and Modera Needham Chapter 40B developments.</w:t>
      </w:r>
      <w:r w:rsidR="008F6BC1">
        <w:rPr>
          <w:rFonts w:asciiTheme="minorHAnsi" w:hAnsiTheme="minorHAnsi" w:cs="Lucida Sans Unicode"/>
          <w:sz w:val="22"/>
          <w:szCs w:val="22"/>
        </w:rPr>
        <w:t xml:space="preserve"> </w:t>
      </w:r>
      <w:r w:rsidR="008F6BC1">
        <w:rPr>
          <w:rFonts w:asciiTheme="minorHAnsi" w:hAnsiTheme="minorHAnsi"/>
          <w:sz w:val="22"/>
          <w:szCs w:val="22"/>
        </w:rPr>
        <w:t xml:space="preserve">Despite this significant amount of new multi-family construction, </w:t>
      </w:r>
      <w:r w:rsidR="00AD62D9" w:rsidRPr="00B11277">
        <w:rPr>
          <w:rFonts w:asciiTheme="minorHAnsi" w:hAnsiTheme="minorHAnsi"/>
          <w:sz w:val="22"/>
          <w:szCs w:val="22"/>
        </w:rPr>
        <w:t>Needham</w:t>
      </w:r>
      <w:r w:rsidR="007918C1" w:rsidRPr="00B11277">
        <w:rPr>
          <w:rFonts w:asciiTheme="minorHAnsi" w:hAnsiTheme="minorHAnsi"/>
          <w:sz w:val="22"/>
          <w:szCs w:val="22"/>
        </w:rPr>
        <w:t xml:space="preserve">’s housing stock </w:t>
      </w:r>
      <w:r w:rsidR="00821ABE">
        <w:rPr>
          <w:rFonts w:asciiTheme="minorHAnsi" w:hAnsiTheme="minorHAnsi"/>
          <w:sz w:val="22"/>
          <w:szCs w:val="22"/>
        </w:rPr>
        <w:t>remain</w:t>
      </w:r>
      <w:r w:rsidR="007918C1" w:rsidRPr="00B11277">
        <w:rPr>
          <w:rFonts w:asciiTheme="minorHAnsi" w:hAnsiTheme="minorHAnsi"/>
          <w:sz w:val="22"/>
          <w:szCs w:val="22"/>
        </w:rPr>
        <w:t xml:space="preserve">s dominated by single-family detached residences at </w:t>
      </w:r>
      <w:r w:rsidR="00821ABE">
        <w:rPr>
          <w:rFonts w:asciiTheme="minorHAnsi" w:hAnsiTheme="minorHAnsi"/>
          <w:sz w:val="22"/>
          <w:szCs w:val="22"/>
        </w:rPr>
        <w:t>77.6</w:t>
      </w:r>
      <w:r w:rsidR="007918C1" w:rsidRPr="00B11277">
        <w:rPr>
          <w:rFonts w:asciiTheme="minorHAnsi" w:hAnsiTheme="minorHAnsi"/>
          <w:sz w:val="22"/>
          <w:szCs w:val="22"/>
        </w:rPr>
        <w:t>% of all units with an owner-occupancy level</w:t>
      </w:r>
      <w:r w:rsidR="00B972D1">
        <w:rPr>
          <w:rFonts w:asciiTheme="minorHAnsi" w:hAnsiTheme="minorHAnsi"/>
          <w:sz w:val="22"/>
          <w:szCs w:val="22"/>
        </w:rPr>
        <w:t xml:space="preserve"> (all owner-occupied units)</w:t>
      </w:r>
      <w:r w:rsidR="007918C1" w:rsidRPr="00B11277">
        <w:rPr>
          <w:rFonts w:asciiTheme="minorHAnsi" w:hAnsiTheme="minorHAnsi"/>
          <w:sz w:val="22"/>
          <w:szCs w:val="22"/>
        </w:rPr>
        <w:t xml:space="preserve"> of </w:t>
      </w:r>
      <w:r w:rsidR="00AD62D9" w:rsidRPr="00B11277">
        <w:rPr>
          <w:rFonts w:asciiTheme="minorHAnsi" w:hAnsiTheme="minorHAnsi"/>
          <w:sz w:val="22"/>
          <w:szCs w:val="22"/>
        </w:rPr>
        <w:t>84.</w:t>
      </w:r>
      <w:r w:rsidR="00821ABE">
        <w:rPr>
          <w:rFonts w:asciiTheme="minorHAnsi" w:hAnsiTheme="minorHAnsi"/>
          <w:sz w:val="22"/>
          <w:szCs w:val="22"/>
        </w:rPr>
        <w:t>5</w:t>
      </w:r>
      <w:r w:rsidR="007918C1" w:rsidRPr="00B11277">
        <w:rPr>
          <w:rFonts w:asciiTheme="minorHAnsi" w:hAnsiTheme="minorHAnsi"/>
          <w:sz w:val="22"/>
          <w:szCs w:val="22"/>
        </w:rPr>
        <w:t>% based on 20</w:t>
      </w:r>
      <w:r w:rsidR="00821ABE">
        <w:rPr>
          <w:rFonts w:asciiTheme="minorHAnsi" w:hAnsiTheme="minorHAnsi"/>
          <w:sz w:val="22"/>
          <w:szCs w:val="22"/>
        </w:rPr>
        <w:t>20</w:t>
      </w:r>
      <w:r w:rsidR="007918C1" w:rsidRPr="00B11277">
        <w:rPr>
          <w:rFonts w:asciiTheme="minorHAnsi" w:hAnsiTheme="minorHAnsi"/>
          <w:sz w:val="22"/>
          <w:szCs w:val="22"/>
        </w:rPr>
        <w:t xml:space="preserve"> census estimates.</w:t>
      </w:r>
    </w:p>
    <w:p w14:paraId="540C589E" w14:textId="7DE0360F" w:rsidR="007918C1" w:rsidRDefault="007918C1" w:rsidP="0042546C">
      <w:pPr>
        <w:pStyle w:val="BodyTextIndent"/>
        <w:spacing w:after="0"/>
        <w:ind w:left="0"/>
        <w:jc w:val="both"/>
        <w:rPr>
          <w:rFonts w:asciiTheme="minorHAnsi" w:hAnsiTheme="minorHAnsi"/>
          <w:sz w:val="22"/>
          <w:szCs w:val="22"/>
        </w:rPr>
      </w:pPr>
    </w:p>
    <w:p w14:paraId="78B091D1" w14:textId="13E39276" w:rsidR="007918C1" w:rsidRPr="00B11277" w:rsidRDefault="007918C1" w:rsidP="0042546C">
      <w:pPr>
        <w:pStyle w:val="BodyTextIndent"/>
        <w:spacing w:after="0"/>
        <w:ind w:left="0"/>
        <w:jc w:val="both"/>
        <w:rPr>
          <w:rFonts w:asciiTheme="minorHAnsi" w:hAnsiTheme="minorHAnsi"/>
          <w:b/>
          <w:i/>
          <w:iCs/>
          <w:sz w:val="22"/>
          <w:szCs w:val="22"/>
        </w:rPr>
      </w:pPr>
      <w:r w:rsidRPr="00B11277">
        <w:rPr>
          <w:rFonts w:asciiTheme="minorHAnsi" w:hAnsiTheme="minorHAnsi"/>
          <w:b/>
          <w:i/>
          <w:iCs/>
          <w:sz w:val="22"/>
          <w:szCs w:val="22"/>
        </w:rPr>
        <w:t xml:space="preserve">Housing costs </w:t>
      </w:r>
      <w:r w:rsidR="00DE2EB6" w:rsidRPr="00B11277">
        <w:rPr>
          <w:rFonts w:asciiTheme="minorHAnsi" w:hAnsiTheme="minorHAnsi"/>
          <w:b/>
          <w:i/>
          <w:iCs/>
          <w:sz w:val="22"/>
          <w:szCs w:val="22"/>
        </w:rPr>
        <w:t>at unprecedently</w:t>
      </w:r>
      <w:r w:rsidRPr="00B11277">
        <w:rPr>
          <w:rFonts w:asciiTheme="minorHAnsi" w:hAnsiTheme="minorHAnsi"/>
          <w:b/>
          <w:i/>
          <w:iCs/>
          <w:sz w:val="22"/>
          <w:szCs w:val="22"/>
        </w:rPr>
        <w:t xml:space="preserve"> high</w:t>
      </w:r>
      <w:r w:rsidR="00DE2EB6" w:rsidRPr="00B11277">
        <w:rPr>
          <w:rFonts w:asciiTheme="minorHAnsi" w:hAnsiTheme="minorHAnsi"/>
          <w:b/>
          <w:i/>
          <w:iCs/>
          <w:sz w:val="22"/>
          <w:szCs w:val="22"/>
        </w:rPr>
        <w:t xml:space="preserve"> levels</w:t>
      </w:r>
      <w:r w:rsidR="00821ABE">
        <w:rPr>
          <w:rFonts w:asciiTheme="minorHAnsi" w:hAnsiTheme="minorHAnsi"/>
          <w:b/>
          <w:i/>
          <w:iCs/>
          <w:sz w:val="22"/>
          <w:szCs w:val="22"/>
        </w:rPr>
        <w:t xml:space="preserve"> for homeownership and rentals</w:t>
      </w:r>
    </w:p>
    <w:p w14:paraId="10A03598" w14:textId="125B0F3A" w:rsidR="00DE2EB6" w:rsidRPr="00B11277" w:rsidRDefault="00DE2EB6" w:rsidP="00DE2EB6">
      <w:pPr>
        <w:pStyle w:val="BodyTextIndent"/>
        <w:ind w:left="0"/>
        <w:jc w:val="both"/>
        <w:rPr>
          <w:rFonts w:ascii="Calibri" w:hAnsi="Calibri"/>
          <w:sz w:val="22"/>
          <w:szCs w:val="22"/>
        </w:rPr>
      </w:pPr>
      <w:r w:rsidRPr="00B11277">
        <w:rPr>
          <w:rFonts w:ascii="Calibri" w:hAnsi="Calibri"/>
          <w:sz w:val="22"/>
          <w:szCs w:val="22"/>
        </w:rPr>
        <w:t xml:space="preserve">Needham joined the “million-dollar club” several years ago as the median sales price of a single-family home climbed to $1,102,000 as of January 2019 from $976,250 as of the end of 2018. It subsequently </w:t>
      </w:r>
      <w:r w:rsidR="007E7FFA" w:rsidRPr="00B11277">
        <w:rPr>
          <w:rFonts w:ascii="Calibri" w:hAnsi="Calibri"/>
          <w:sz w:val="22"/>
          <w:szCs w:val="22"/>
        </w:rPr>
        <w:t>increased</w:t>
      </w:r>
      <w:r w:rsidRPr="00B11277">
        <w:rPr>
          <w:rFonts w:ascii="Calibri" w:hAnsi="Calibri"/>
          <w:sz w:val="22"/>
          <w:szCs w:val="22"/>
        </w:rPr>
        <w:t xml:space="preserve"> to $1.</w:t>
      </w:r>
      <w:r w:rsidR="00821ABE">
        <w:rPr>
          <w:rFonts w:ascii="Calibri" w:hAnsi="Calibri"/>
          <w:sz w:val="22"/>
          <w:szCs w:val="22"/>
        </w:rPr>
        <w:t>29</w:t>
      </w:r>
      <w:r w:rsidRPr="00B11277">
        <w:rPr>
          <w:rFonts w:ascii="Calibri" w:hAnsi="Calibri"/>
          <w:sz w:val="22"/>
          <w:szCs w:val="22"/>
        </w:rPr>
        <w:t xml:space="preserve"> million </w:t>
      </w:r>
      <w:r w:rsidR="00821ABE">
        <w:rPr>
          <w:rFonts w:ascii="Calibri" w:hAnsi="Calibri"/>
          <w:sz w:val="22"/>
          <w:szCs w:val="22"/>
        </w:rPr>
        <w:t>in</w:t>
      </w:r>
      <w:r w:rsidRPr="00B11277">
        <w:rPr>
          <w:rFonts w:ascii="Calibri" w:hAnsi="Calibri"/>
          <w:sz w:val="22"/>
          <w:szCs w:val="22"/>
        </w:rPr>
        <w:t xml:space="preserve"> 2021.</w:t>
      </w:r>
      <w:r w:rsidR="00A57A03" w:rsidRPr="00B11277">
        <w:rPr>
          <w:rFonts w:ascii="Calibri" w:hAnsi="Calibri"/>
          <w:sz w:val="22"/>
          <w:szCs w:val="22"/>
        </w:rPr>
        <w:t xml:space="preserve">  The median price</w:t>
      </w:r>
      <w:r w:rsidR="00097682" w:rsidRPr="00B11277">
        <w:rPr>
          <w:rFonts w:ascii="Calibri" w:hAnsi="Calibri"/>
          <w:sz w:val="22"/>
          <w:szCs w:val="22"/>
        </w:rPr>
        <w:t xml:space="preserve"> for all types of condominium</w:t>
      </w:r>
      <w:r w:rsidR="00B972D1">
        <w:rPr>
          <w:rFonts w:ascii="Calibri" w:hAnsi="Calibri"/>
          <w:sz w:val="22"/>
          <w:szCs w:val="22"/>
        </w:rPr>
        <w:t xml:space="preserve"> unit</w:t>
      </w:r>
      <w:r w:rsidR="00097682" w:rsidRPr="00B11277">
        <w:rPr>
          <w:rFonts w:ascii="Calibri" w:hAnsi="Calibri"/>
          <w:sz w:val="22"/>
          <w:szCs w:val="22"/>
        </w:rPr>
        <w:t>s</w:t>
      </w:r>
      <w:r w:rsidR="00A57A03" w:rsidRPr="00B11277">
        <w:rPr>
          <w:rFonts w:ascii="Calibri" w:hAnsi="Calibri"/>
          <w:sz w:val="22"/>
          <w:szCs w:val="22"/>
        </w:rPr>
        <w:t xml:space="preserve"> was $</w:t>
      </w:r>
      <w:r w:rsidR="00821ABE">
        <w:rPr>
          <w:rFonts w:ascii="Calibri" w:hAnsi="Calibri"/>
          <w:sz w:val="22"/>
          <w:szCs w:val="22"/>
        </w:rPr>
        <w:t>885,000 in 2021, up from $</w:t>
      </w:r>
      <w:r w:rsidR="009C7A4B">
        <w:rPr>
          <w:rFonts w:ascii="Calibri" w:hAnsi="Calibri"/>
          <w:sz w:val="22"/>
          <w:szCs w:val="22"/>
        </w:rPr>
        <w:t>805,000 i</w:t>
      </w:r>
      <w:r w:rsidR="00821ABE">
        <w:rPr>
          <w:rFonts w:ascii="Calibri" w:hAnsi="Calibri"/>
          <w:sz w:val="22"/>
          <w:szCs w:val="22"/>
        </w:rPr>
        <w:t>n 2019</w:t>
      </w:r>
      <w:r w:rsidR="00A57A03" w:rsidRPr="00B11277">
        <w:rPr>
          <w:rFonts w:ascii="Calibri" w:hAnsi="Calibri"/>
          <w:sz w:val="22"/>
          <w:szCs w:val="22"/>
        </w:rPr>
        <w:t>.</w:t>
      </w:r>
    </w:p>
    <w:p w14:paraId="321B31CB" w14:textId="547B070B" w:rsidR="007918C1" w:rsidRPr="00B11277" w:rsidRDefault="004E2559" w:rsidP="004E2559">
      <w:pPr>
        <w:pStyle w:val="BodyTextIndent"/>
        <w:spacing w:after="0"/>
        <w:ind w:left="0"/>
        <w:jc w:val="both"/>
        <w:rPr>
          <w:rFonts w:ascii="Calibri" w:hAnsi="Calibri"/>
          <w:sz w:val="22"/>
          <w:szCs w:val="22"/>
        </w:rPr>
      </w:pPr>
      <w:r w:rsidRPr="00B11277">
        <w:rPr>
          <w:rFonts w:ascii="Calibri" w:hAnsi="Calibri"/>
          <w:sz w:val="22"/>
          <w:szCs w:val="22"/>
        </w:rPr>
        <w:t xml:space="preserve">The rental market has also changed substantially as the median rent </w:t>
      </w:r>
      <w:r w:rsidR="009C7A4B">
        <w:rPr>
          <w:rFonts w:ascii="Calibri" w:hAnsi="Calibri"/>
          <w:sz w:val="22"/>
          <w:szCs w:val="22"/>
        </w:rPr>
        <w:t>doubled</w:t>
      </w:r>
      <w:r w:rsidRPr="00B11277">
        <w:rPr>
          <w:rFonts w:ascii="Calibri" w:hAnsi="Calibri"/>
          <w:sz w:val="22"/>
          <w:szCs w:val="22"/>
        </w:rPr>
        <w:t xml:space="preserve"> between 1990 and 20</w:t>
      </w:r>
      <w:r w:rsidR="009C7A4B">
        <w:rPr>
          <w:rFonts w:ascii="Calibri" w:hAnsi="Calibri"/>
          <w:sz w:val="22"/>
          <w:szCs w:val="22"/>
        </w:rPr>
        <w:t>20</w:t>
      </w:r>
      <w:r w:rsidRPr="00B11277">
        <w:rPr>
          <w:rFonts w:ascii="Calibri" w:hAnsi="Calibri"/>
          <w:sz w:val="22"/>
          <w:szCs w:val="22"/>
        </w:rPr>
        <w:t>, from $798 per month to $1,</w:t>
      </w:r>
      <w:r w:rsidR="009C7A4B">
        <w:rPr>
          <w:rFonts w:ascii="Calibri" w:hAnsi="Calibri"/>
          <w:sz w:val="22"/>
          <w:szCs w:val="22"/>
        </w:rPr>
        <w:t>604</w:t>
      </w:r>
      <w:r w:rsidRPr="00B11277">
        <w:rPr>
          <w:rFonts w:ascii="Calibri" w:hAnsi="Calibri"/>
          <w:sz w:val="22"/>
          <w:szCs w:val="22"/>
        </w:rPr>
        <w:t xml:space="preserve">.  </w:t>
      </w:r>
      <w:r w:rsidR="00B10E28">
        <w:rPr>
          <w:rFonts w:ascii="Calibri" w:hAnsi="Calibri"/>
          <w:sz w:val="22"/>
          <w:szCs w:val="22"/>
        </w:rPr>
        <w:t>The 2020 census estimates</w:t>
      </w:r>
      <w:r w:rsidR="00646836">
        <w:rPr>
          <w:rFonts w:ascii="Calibri" w:hAnsi="Calibri"/>
          <w:sz w:val="22"/>
          <w:szCs w:val="22"/>
        </w:rPr>
        <w:t xml:space="preserve"> further</w:t>
      </w:r>
      <w:r w:rsidR="00B10E28">
        <w:rPr>
          <w:rFonts w:ascii="Calibri" w:hAnsi="Calibri"/>
          <w:sz w:val="22"/>
          <w:szCs w:val="22"/>
        </w:rPr>
        <w:t xml:space="preserve"> indicated that</w:t>
      </w:r>
      <w:r w:rsidRPr="00B11277">
        <w:rPr>
          <w:rFonts w:ascii="Calibri" w:hAnsi="Calibri"/>
          <w:sz w:val="22"/>
          <w:szCs w:val="22"/>
        </w:rPr>
        <w:t xml:space="preserve"> </w:t>
      </w:r>
      <w:r w:rsidR="00B10E28">
        <w:rPr>
          <w:rFonts w:ascii="Calibri" w:hAnsi="Calibri"/>
          <w:sz w:val="22"/>
          <w:szCs w:val="22"/>
        </w:rPr>
        <w:t>65.8%</w:t>
      </w:r>
      <w:r w:rsidR="00B10E28" w:rsidRPr="008B375C">
        <w:rPr>
          <w:rFonts w:ascii="Calibri" w:hAnsi="Calibri"/>
          <w:sz w:val="22"/>
          <w:szCs w:val="22"/>
        </w:rPr>
        <w:t xml:space="preserve"> of the town’s rental units were renting for more than $1,000, </w:t>
      </w:r>
      <w:r w:rsidR="00B10E28">
        <w:rPr>
          <w:rFonts w:ascii="Calibri" w:hAnsi="Calibri"/>
          <w:sz w:val="22"/>
          <w:szCs w:val="22"/>
        </w:rPr>
        <w:t>50.8</w:t>
      </w:r>
      <w:r w:rsidR="00B10E28" w:rsidRPr="008B375C">
        <w:rPr>
          <w:rFonts w:ascii="Calibri" w:hAnsi="Calibri"/>
          <w:sz w:val="22"/>
          <w:szCs w:val="22"/>
        </w:rPr>
        <w:t>% above $1,500</w:t>
      </w:r>
      <w:r w:rsidR="00B10E28">
        <w:rPr>
          <w:rFonts w:ascii="Calibri" w:hAnsi="Calibri"/>
          <w:sz w:val="22"/>
          <w:szCs w:val="22"/>
        </w:rPr>
        <w:t>, and 11.4% at over $3,000</w:t>
      </w:r>
      <w:r w:rsidRPr="00B11277">
        <w:rPr>
          <w:rFonts w:ascii="Calibri" w:hAnsi="Calibri"/>
          <w:i/>
          <w:sz w:val="22"/>
          <w:szCs w:val="22"/>
        </w:rPr>
        <w:t xml:space="preserve">.  It is also important to note that the census figures include subsidized units, which represents about 37% of all rental units in Needham, and thus median values make the rental market look more affordable than it actually is. </w:t>
      </w:r>
      <w:r w:rsidRPr="00B11277">
        <w:rPr>
          <w:rFonts w:ascii="Calibri" w:hAnsi="Calibri"/>
          <w:sz w:val="22"/>
          <w:szCs w:val="22"/>
        </w:rPr>
        <w:t>A more typical rent for a two-bedroom apartment is at least $1,900 in older dwellings and over $3,200 in newer multi-family developments.</w:t>
      </w:r>
    </w:p>
    <w:p w14:paraId="3A547DF2" w14:textId="77777777" w:rsidR="004E2559" w:rsidRPr="00B11277" w:rsidRDefault="004E2559" w:rsidP="0042546C">
      <w:pPr>
        <w:jc w:val="both"/>
        <w:rPr>
          <w:rFonts w:asciiTheme="minorHAnsi" w:hAnsiTheme="minorHAnsi"/>
          <w:b/>
          <w:i/>
          <w:sz w:val="22"/>
          <w:szCs w:val="22"/>
        </w:rPr>
      </w:pPr>
    </w:p>
    <w:p w14:paraId="22361D78" w14:textId="63EEBAD1" w:rsidR="004E2559" w:rsidRPr="00B11277" w:rsidRDefault="00821ABE" w:rsidP="00821ABE">
      <w:pPr>
        <w:jc w:val="both"/>
        <w:rPr>
          <w:rFonts w:ascii="Calibri" w:hAnsi="Calibri"/>
          <w:sz w:val="22"/>
          <w:szCs w:val="22"/>
        </w:rPr>
      </w:pPr>
      <w:r w:rsidRPr="00821ABE">
        <w:rPr>
          <w:rFonts w:asciiTheme="minorHAnsi" w:hAnsiTheme="minorHAnsi"/>
          <w:bCs/>
          <w:iCs/>
          <w:sz w:val="22"/>
          <w:szCs w:val="22"/>
        </w:rPr>
        <w:t>There is v</w:t>
      </w:r>
      <w:r w:rsidR="00A57A03" w:rsidRPr="00821ABE">
        <w:rPr>
          <w:rFonts w:asciiTheme="minorHAnsi" w:hAnsiTheme="minorHAnsi"/>
          <w:bCs/>
          <w:iCs/>
          <w:sz w:val="22"/>
          <w:szCs w:val="22"/>
        </w:rPr>
        <w:t xml:space="preserve">ery little affordability </w:t>
      </w:r>
      <w:r w:rsidR="009C7A4B">
        <w:rPr>
          <w:rFonts w:asciiTheme="minorHAnsi" w:hAnsiTheme="minorHAnsi"/>
          <w:bCs/>
          <w:iCs/>
          <w:sz w:val="22"/>
          <w:szCs w:val="22"/>
        </w:rPr>
        <w:t>remaining</w:t>
      </w:r>
      <w:r w:rsidR="00A57A03" w:rsidRPr="00821ABE">
        <w:rPr>
          <w:rFonts w:asciiTheme="minorHAnsi" w:hAnsiTheme="minorHAnsi"/>
          <w:bCs/>
          <w:iCs/>
          <w:sz w:val="22"/>
          <w:szCs w:val="22"/>
        </w:rPr>
        <w:t xml:space="preserve"> in Needham’s private housing stock</w:t>
      </w:r>
      <w:r>
        <w:rPr>
          <w:rFonts w:asciiTheme="minorHAnsi" w:hAnsiTheme="minorHAnsi"/>
          <w:bCs/>
          <w:iCs/>
          <w:sz w:val="22"/>
          <w:szCs w:val="22"/>
        </w:rPr>
        <w:t xml:space="preserve"> as t</w:t>
      </w:r>
      <w:r w:rsidR="00A57A03" w:rsidRPr="00B11277">
        <w:rPr>
          <w:rFonts w:ascii="Calibri" w:hAnsi="Calibri"/>
          <w:sz w:val="22"/>
          <w:szCs w:val="22"/>
        </w:rPr>
        <w:t xml:space="preserve">here was only one unit, a Habitat for Humanity house, valued below $200,000 and just </w:t>
      </w:r>
      <w:r w:rsidR="00B972D1">
        <w:rPr>
          <w:rFonts w:ascii="Calibri" w:hAnsi="Calibri"/>
          <w:sz w:val="22"/>
          <w:szCs w:val="22"/>
        </w:rPr>
        <w:t xml:space="preserve">one </w:t>
      </w:r>
      <w:r w:rsidR="00A57A03" w:rsidRPr="00B11277">
        <w:rPr>
          <w:rFonts w:ascii="Calibri" w:hAnsi="Calibri"/>
          <w:sz w:val="22"/>
          <w:szCs w:val="22"/>
        </w:rPr>
        <w:t xml:space="preserve">other </w:t>
      </w:r>
      <w:r w:rsidR="00706571">
        <w:rPr>
          <w:rFonts w:ascii="Calibri" w:hAnsi="Calibri"/>
          <w:sz w:val="22"/>
          <w:szCs w:val="22"/>
        </w:rPr>
        <w:t>s</w:t>
      </w:r>
      <w:r w:rsidR="00CC11E6">
        <w:rPr>
          <w:rFonts w:ascii="Calibri" w:hAnsi="Calibri"/>
          <w:sz w:val="22"/>
          <w:szCs w:val="22"/>
        </w:rPr>
        <w:t>ingle-family</w:t>
      </w:r>
      <w:r w:rsidR="00706571">
        <w:rPr>
          <w:rFonts w:ascii="Calibri" w:hAnsi="Calibri"/>
          <w:sz w:val="22"/>
          <w:szCs w:val="22"/>
        </w:rPr>
        <w:t xml:space="preserve"> home</w:t>
      </w:r>
      <w:r w:rsidR="00CC11E6">
        <w:rPr>
          <w:rFonts w:ascii="Calibri" w:hAnsi="Calibri"/>
          <w:sz w:val="22"/>
          <w:szCs w:val="22"/>
        </w:rPr>
        <w:t xml:space="preserve"> </w:t>
      </w:r>
      <w:r w:rsidR="00A57A03" w:rsidRPr="00B11277">
        <w:rPr>
          <w:rFonts w:ascii="Calibri" w:hAnsi="Calibri"/>
          <w:sz w:val="22"/>
          <w:szCs w:val="22"/>
        </w:rPr>
        <w:t>assessed between $200,000 and $300,000 that were still relatively affordable</w:t>
      </w:r>
      <w:r w:rsidR="00CC11E6">
        <w:rPr>
          <w:rFonts w:ascii="Calibri" w:hAnsi="Calibri"/>
          <w:sz w:val="22"/>
          <w:szCs w:val="22"/>
        </w:rPr>
        <w:t xml:space="preserve"> to those with incomes at or below the area median income (see Table </w:t>
      </w:r>
      <w:r w:rsidR="009F64D9">
        <w:rPr>
          <w:rFonts w:ascii="Calibri" w:hAnsi="Calibri"/>
          <w:sz w:val="22"/>
          <w:szCs w:val="22"/>
        </w:rPr>
        <w:t>II-1 for income levels).</w:t>
      </w:r>
      <w:r w:rsidR="00A57A03" w:rsidRPr="00B11277">
        <w:rPr>
          <w:rFonts w:ascii="Calibri" w:hAnsi="Calibri"/>
          <w:sz w:val="22"/>
          <w:szCs w:val="22"/>
        </w:rPr>
        <w:t xml:space="preserve"> While almost half of the homes were assessed between $500,000 and $700,000 in Fiscal Year 2014, homes in this range declined to 18.7%</w:t>
      </w:r>
      <w:r w:rsidR="007E7FFA" w:rsidRPr="00B11277">
        <w:rPr>
          <w:rFonts w:ascii="Calibri" w:hAnsi="Calibri"/>
          <w:sz w:val="22"/>
          <w:szCs w:val="22"/>
        </w:rPr>
        <w:t xml:space="preserve"> in FY22</w:t>
      </w:r>
      <w:r w:rsidR="00A57A03" w:rsidRPr="00B11277">
        <w:rPr>
          <w:rFonts w:ascii="Calibri" w:hAnsi="Calibri"/>
          <w:sz w:val="22"/>
          <w:szCs w:val="22"/>
        </w:rPr>
        <w:t xml:space="preserve">.  In fact, all properties assessed for less than $700,000 decreased from 4,987 homes, or 60% of all single-family units in FY14, to 1,684 units representing 20% of these units by FY22.  </w:t>
      </w:r>
    </w:p>
    <w:p w14:paraId="11154AE1" w14:textId="3F033328" w:rsidR="004E2559" w:rsidRDefault="004E2559" w:rsidP="004E2559">
      <w:pPr>
        <w:pStyle w:val="BodyTextIndent"/>
        <w:spacing w:after="0"/>
        <w:ind w:left="0"/>
        <w:jc w:val="both"/>
        <w:rPr>
          <w:rFonts w:ascii="Calibri" w:hAnsi="Calibri"/>
          <w:sz w:val="22"/>
          <w:szCs w:val="22"/>
        </w:rPr>
      </w:pPr>
    </w:p>
    <w:p w14:paraId="1CF7762C" w14:textId="4662CAAD" w:rsidR="00821ABE" w:rsidRDefault="009C7A4B" w:rsidP="00821ABE">
      <w:pPr>
        <w:pStyle w:val="BodyTextIndent"/>
        <w:spacing w:after="0"/>
        <w:ind w:left="0"/>
        <w:jc w:val="both"/>
        <w:rPr>
          <w:rFonts w:asciiTheme="minorHAnsi" w:hAnsiTheme="minorHAnsi"/>
          <w:sz w:val="22"/>
          <w:szCs w:val="22"/>
        </w:rPr>
      </w:pPr>
      <w:r>
        <w:rPr>
          <w:rFonts w:asciiTheme="minorHAnsi" w:hAnsiTheme="minorHAnsi"/>
          <w:sz w:val="22"/>
          <w:szCs w:val="22"/>
        </w:rPr>
        <w:t xml:space="preserve">A particularly important component of Needham’s housing stock </w:t>
      </w:r>
      <w:r w:rsidR="00646836">
        <w:rPr>
          <w:rFonts w:asciiTheme="minorHAnsi" w:hAnsiTheme="minorHAnsi"/>
          <w:sz w:val="22"/>
          <w:szCs w:val="22"/>
        </w:rPr>
        <w:t>includes</w:t>
      </w:r>
      <w:r>
        <w:rPr>
          <w:rFonts w:asciiTheme="minorHAnsi" w:hAnsiTheme="minorHAnsi"/>
          <w:sz w:val="22"/>
          <w:szCs w:val="22"/>
        </w:rPr>
        <w:t xml:space="preserve"> the 316 units owned and managed by th</w:t>
      </w:r>
      <w:r w:rsidR="00821ABE">
        <w:rPr>
          <w:rFonts w:asciiTheme="minorHAnsi" w:hAnsiTheme="minorHAnsi"/>
          <w:sz w:val="22"/>
          <w:szCs w:val="22"/>
        </w:rPr>
        <w:t>e Needham Housing Authority (NHA)</w:t>
      </w:r>
      <w:r w:rsidR="00646836">
        <w:rPr>
          <w:rFonts w:asciiTheme="minorHAnsi" w:hAnsiTheme="minorHAnsi"/>
          <w:sz w:val="22"/>
          <w:szCs w:val="22"/>
        </w:rPr>
        <w:t xml:space="preserve">, </w:t>
      </w:r>
      <w:r w:rsidR="00821ABE">
        <w:rPr>
          <w:rFonts w:asciiTheme="minorHAnsi" w:hAnsiTheme="minorHAnsi"/>
          <w:sz w:val="22"/>
          <w:szCs w:val="22"/>
        </w:rPr>
        <w:t>represent</w:t>
      </w:r>
      <w:r w:rsidR="00646836">
        <w:rPr>
          <w:rFonts w:asciiTheme="minorHAnsi" w:hAnsiTheme="minorHAnsi"/>
          <w:sz w:val="22"/>
          <w:szCs w:val="22"/>
        </w:rPr>
        <w:t>ing</w:t>
      </w:r>
      <w:r w:rsidR="00821ABE">
        <w:rPr>
          <w:rFonts w:asciiTheme="minorHAnsi" w:hAnsiTheme="minorHAnsi"/>
          <w:sz w:val="22"/>
          <w:szCs w:val="22"/>
        </w:rPr>
        <w:t xml:space="preserve"> 22% of all units that the state counts as part of the Subsidized Housing Inventory (SHI).  Most of these units are antiquated, without handicapped accessibility and energy efficiencies, and will require a major investment of capital to make </w:t>
      </w:r>
      <w:r w:rsidR="00821ABE">
        <w:rPr>
          <w:rFonts w:asciiTheme="minorHAnsi" w:hAnsiTheme="minorHAnsi"/>
          <w:sz w:val="22"/>
          <w:szCs w:val="22"/>
        </w:rPr>
        <w:lastRenderedPageBreak/>
        <w:t>improvements and potentially expand the number of units.</w:t>
      </w:r>
      <w:r w:rsidR="00646836">
        <w:rPr>
          <w:rFonts w:asciiTheme="minorHAnsi" w:hAnsiTheme="minorHAnsi"/>
          <w:sz w:val="22"/>
          <w:szCs w:val="22"/>
        </w:rPr>
        <w:t xml:space="preserve">  This will be a major focus on the Town’s housing agenda.</w:t>
      </w:r>
    </w:p>
    <w:p w14:paraId="78CE49F0" w14:textId="77777777" w:rsidR="00821ABE" w:rsidRPr="00B11277" w:rsidRDefault="00821ABE" w:rsidP="004E2559">
      <w:pPr>
        <w:pStyle w:val="BodyTextIndent"/>
        <w:spacing w:after="0"/>
        <w:ind w:left="0"/>
        <w:jc w:val="both"/>
        <w:rPr>
          <w:rFonts w:ascii="Calibri" w:hAnsi="Calibri"/>
          <w:sz w:val="22"/>
          <w:szCs w:val="22"/>
        </w:rPr>
      </w:pPr>
    </w:p>
    <w:p w14:paraId="500AF28F" w14:textId="4DE3663C" w:rsidR="007918C1" w:rsidRPr="00B11277" w:rsidRDefault="00821ABE" w:rsidP="0042546C">
      <w:pPr>
        <w:jc w:val="both"/>
        <w:rPr>
          <w:rFonts w:asciiTheme="minorHAnsi" w:hAnsiTheme="minorHAnsi"/>
          <w:b/>
          <w:i/>
          <w:sz w:val="22"/>
          <w:szCs w:val="22"/>
        </w:rPr>
      </w:pPr>
      <w:r>
        <w:rPr>
          <w:rFonts w:asciiTheme="minorHAnsi" w:hAnsiTheme="minorHAnsi"/>
          <w:b/>
          <w:i/>
          <w:sz w:val="22"/>
          <w:szCs w:val="22"/>
        </w:rPr>
        <w:t>Growing affordability gaps and cost burdens</w:t>
      </w:r>
    </w:p>
    <w:p w14:paraId="2CD2F5F5" w14:textId="03AD6F49" w:rsidR="00DE7559" w:rsidRPr="00B11277" w:rsidRDefault="00DE7559" w:rsidP="00DE7559">
      <w:pPr>
        <w:pStyle w:val="BodyTextIndent"/>
        <w:spacing w:after="0"/>
        <w:ind w:left="0"/>
        <w:jc w:val="both"/>
        <w:rPr>
          <w:rFonts w:ascii="Calibri" w:hAnsi="Calibri"/>
          <w:sz w:val="22"/>
          <w:szCs w:val="22"/>
        </w:rPr>
      </w:pPr>
      <w:r w:rsidRPr="00B11277">
        <w:rPr>
          <w:rFonts w:ascii="Calibri" w:hAnsi="Calibri"/>
          <w:sz w:val="22"/>
          <w:szCs w:val="22"/>
        </w:rPr>
        <w:t xml:space="preserve">The affordability gap </w:t>
      </w:r>
      <w:r w:rsidR="004436C5" w:rsidRPr="00B11277">
        <w:rPr>
          <w:rFonts w:ascii="Calibri" w:hAnsi="Calibri"/>
          <w:sz w:val="22"/>
          <w:szCs w:val="22"/>
        </w:rPr>
        <w:t xml:space="preserve">for single-family homes </w:t>
      </w:r>
      <w:r w:rsidRPr="00B11277">
        <w:rPr>
          <w:rFonts w:ascii="Calibri" w:hAnsi="Calibri"/>
          <w:sz w:val="22"/>
          <w:szCs w:val="22"/>
        </w:rPr>
        <w:t xml:space="preserve">is estimated to </w:t>
      </w:r>
      <w:r w:rsidR="00706571">
        <w:rPr>
          <w:rFonts w:ascii="Calibri" w:hAnsi="Calibri"/>
          <w:sz w:val="22"/>
          <w:szCs w:val="22"/>
        </w:rPr>
        <w:t>have been</w:t>
      </w:r>
      <w:r w:rsidRPr="00B11277">
        <w:rPr>
          <w:rFonts w:ascii="Calibri" w:hAnsi="Calibri"/>
          <w:sz w:val="22"/>
          <w:szCs w:val="22"/>
        </w:rPr>
        <w:t xml:space="preserve"> $</w:t>
      </w:r>
      <w:r w:rsidR="00706571">
        <w:rPr>
          <w:rFonts w:ascii="Calibri" w:hAnsi="Calibri"/>
          <w:sz w:val="22"/>
          <w:szCs w:val="22"/>
        </w:rPr>
        <w:t>482</w:t>
      </w:r>
      <w:r w:rsidRPr="00B11277">
        <w:rPr>
          <w:rFonts w:ascii="Calibri" w:hAnsi="Calibri"/>
          <w:sz w:val="22"/>
          <w:szCs w:val="22"/>
        </w:rPr>
        <w:t xml:space="preserve">,000 </w:t>
      </w:r>
      <w:r w:rsidR="00706571">
        <w:rPr>
          <w:rFonts w:ascii="Calibri" w:hAnsi="Calibri"/>
          <w:sz w:val="22"/>
          <w:szCs w:val="22"/>
        </w:rPr>
        <w:t>in</w:t>
      </w:r>
      <w:r w:rsidRPr="00B11277">
        <w:rPr>
          <w:rFonts w:ascii="Calibri" w:hAnsi="Calibri"/>
          <w:sz w:val="22"/>
          <w:szCs w:val="22"/>
        </w:rPr>
        <w:t xml:space="preserve"> 2021, the difference between $</w:t>
      </w:r>
      <w:r w:rsidR="00706571">
        <w:rPr>
          <w:rFonts w:ascii="Calibri" w:hAnsi="Calibri"/>
          <w:sz w:val="22"/>
          <w:szCs w:val="22"/>
        </w:rPr>
        <w:t>808,000</w:t>
      </w:r>
      <w:r w:rsidRPr="00B11277">
        <w:rPr>
          <w:rFonts w:ascii="Calibri" w:hAnsi="Calibri"/>
          <w:sz w:val="22"/>
          <w:szCs w:val="22"/>
        </w:rPr>
        <w:t xml:space="preserve">, based on what a median income </w:t>
      </w:r>
      <w:r w:rsidR="00E938AF" w:rsidRPr="00B11277">
        <w:rPr>
          <w:rFonts w:ascii="Calibri" w:hAnsi="Calibri"/>
          <w:sz w:val="22"/>
          <w:szCs w:val="22"/>
        </w:rPr>
        <w:t xml:space="preserve">Needham </w:t>
      </w:r>
      <w:r w:rsidRPr="00B11277">
        <w:rPr>
          <w:rFonts w:ascii="Calibri" w:hAnsi="Calibri"/>
          <w:sz w:val="22"/>
          <w:szCs w:val="22"/>
        </w:rPr>
        <w:t>household could afford (for an average household of three and 80% financing) and the median house price of $1.</w:t>
      </w:r>
      <w:r w:rsidR="00706571">
        <w:rPr>
          <w:rFonts w:ascii="Calibri" w:hAnsi="Calibri"/>
          <w:sz w:val="22"/>
          <w:szCs w:val="22"/>
        </w:rPr>
        <w:t>29</w:t>
      </w:r>
      <w:r w:rsidRPr="00B11277">
        <w:rPr>
          <w:rFonts w:ascii="Calibri" w:hAnsi="Calibri"/>
          <w:sz w:val="22"/>
          <w:szCs w:val="22"/>
        </w:rPr>
        <w:t xml:space="preserve"> million.</w:t>
      </w:r>
      <w:r w:rsidRPr="00B11277">
        <w:rPr>
          <w:rStyle w:val="FootnoteReference"/>
          <w:rFonts w:ascii="Calibri" w:hAnsi="Calibri"/>
          <w:sz w:val="22"/>
          <w:szCs w:val="22"/>
        </w:rPr>
        <w:footnoteReference w:id="4"/>
      </w:r>
      <w:r w:rsidRPr="00B11277">
        <w:rPr>
          <w:rFonts w:ascii="Calibri" w:hAnsi="Calibri"/>
          <w:sz w:val="22"/>
          <w:szCs w:val="22"/>
        </w:rPr>
        <w:t xml:space="preserve"> This gap is up considerably from $211,500 as of April 2014.  The upfront cash requirements for the down payment and closing costs in effect add more than another $26</w:t>
      </w:r>
      <w:r w:rsidR="00706571">
        <w:rPr>
          <w:rFonts w:ascii="Calibri" w:hAnsi="Calibri"/>
          <w:sz w:val="22"/>
          <w:szCs w:val="22"/>
        </w:rPr>
        <w:t>5</w:t>
      </w:r>
      <w:r w:rsidRPr="00B11277">
        <w:rPr>
          <w:rFonts w:ascii="Calibri" w:hAnsi="Calibri"/>
          <w:sz w:val="22"/>
          <w:szCs w:val="22"/>
        </w:rPr>
        <w:t>,000 to this affordability gap in the case of 80% financing</w:t>
      </w:r>
      <w:r w:rsidR="00E938AF" w:rsidRPr="00B11277">
        <w:rPr>
          <w:rFonts w:ascii="Calibri" w:hAnsi="Calibri"/>
          <w:sz w:val="22"/>
          <w:szCs w:val="22"/>
        </w:rPr>
        <w:t xml:space="preserve"> with a 20% down payment</w:t>
      </w:r>
      <w:r w:rsidR="00646836">
        <w:rPr>
          <w:rFonts w:ascii="Calibri" w:hAnsi="Calibri"/>
          <w:sz w:val="22"/>
          <w:szCs w:val="22"/>
        </w:rPr>
        <w:t>, an amount most first-time homebuyers lack</w:t>
      </w:r>
      <w:r w:rsidRPr="00B11277">
        <w:rPr>
          <w:rFonts w:ascii="Calibri" w:hAnsi="Calibri"/>
          <w:sz w:val="22"/>
          <w:szCs w:val="22"/>
        </w:rPr>
        <w:t xml:space="preserve">.  </w:t>
      </w:r>
    </w:p>
    <w:p w14:paraId="34327093" w14:textId="77777777" w:rsidR="00DE7559" w:rsidRPr="00B11277" w:rsidRDefault="00DE7559" w:rsidP="00DE7559">
      <w:pPr>
        <w:pStyle w:val="BodyTextIndent"/>
        <w:spacing w:after="0"/>
        <w:ind w:left="0" w:right="-720"/>
        <w:rPr>
          <w:rFonts w:ascii="Calibri" w:hAnsi="Calibri"/>
          <w:sz w:val="22"/>
          <w:szCs w:val="22"/>
        </w:rPr>
      </w:pPr>
    </w:p>
    <w:p w14:paraId="62B7C634" w14:textId="10CA7658" w:rsidR="00B3545A" w:rsidRPr="00B11277" w:rsidRDefault="00DE7559" w:rsidP="00B3545A">
      <w:pPr>
        <w:pStyle w:val="BodyTextIndent"/>
        <w:spacing w:after="0"/>
        <w:ind w:left="0"/>
        <w:jc w:val="both"/>
        <w:rPr>
          <w:rFonts w:ascii="Calibri" w:hAnsi="Calibri"/>
          <w:sz w:val="22"/>
          <w:szCs w:val="22"/>
        </w:rPr>
      </w:pPr>
      <w:r w:rsidRPr="00B11277">
        <w:rPr>
          <w:rFonts w:ascii="Calibri" w:hAnsi="Calibri"/>
          <w:sz w:val="22"/>
          <w:szCs w:val="22"/>
        </w:rPr>
        <w:t xml:space="preserve">When looking at the affordability gap for those with incomes at the 80% </w:t>
      </w:r>
      <w:r w:rsidR="00AF0081">
        <w:rPr>
          <w:rFonts w:ascii="Calibri" w:hAnsi="Calibri"/>
          <w:sz w:val="22"/>
          <w:szCs w:val="22"/>
        </w:rPr>
        <w:t>AMI</w:t>
      </w:r>
      <w:r w:rsidRPr="00B11277">
        <w:rPr>
          <w:rFonts w:ascii="Calibri" w:hAnsi="Calibri"/>
          <w:sz w:val="22"/>
          <w:szCs w:val="22"/>
        </w:rPr>
        <w:t xml:space="preserve"> limit, the gap is an estimated </w:t>
      </w:r>
      <w:r w:rsidR="00646836">
        <w:rPr>
          <w:rFonts w:ascii="Calibri" w:hAnsi="Calibri"/>
          <w:sz w:val="22"/>
          <w:szCs w:val="22"/>
        </w:rPr>
        <w:t xml:space="preserve">at </w:t>
      </w:r>
      <w:r w:rsidRPr="00B11277">
        <w:rPr>
          <w:rFonts w:ascii="Calibri" w:hAnsi="Calibri"/>
          <w:sz w:val="22"/>
          <w:szCs w:val="22"/>
        </w:rPr>
        <w:t>$9</w:t>
      </w:r>
      <w:r w:rsidR="00A0098A">
        <w:rPr>
          <w:rFonts w:ascii="Calibri" w:hAnsi="Calibri"/>
          <w:sz w:val="22"/>
          <w:szCs w:val="22"/>
        </w:rPr>
        <w:t>1</w:t>
      </w:r>
      <w:r w:rsidRPr="00B11277">
        <w:rPr>
          <w:rFonts w:ascii="Calibri" w:hAnsi="Calibri"/>
          <w:sz w:val="22"/>
          <w:szCs w:val="22"/>
        </w:rPr>
        <w:t>8,500, the difference between the median priced single-family home and what a three-person household earning at this income l</w:t>
      </w:r>
      <w:r w:rsidR="00A0098A">
        <w:rPr>
          <w:rFonts w:ascii="Calibri" w:hAnsi="Calibri"/>
          <w:sz w:val="22"/>
          <w:szCs w:val="22"/>
        </w:rPr>
        <w:t>imit</w:t>
      </w:r>
      <w:r w:rsidRPr="00B11277">
        <w:rPr>
          <w:rFonts w:ascii="Calibri" w:hAnsi="Calibri"/>
          <w:sz w:val="22"/>
          <w:szCs w:val="22"/>
        </w:rPr>
        <w:t xml:space="preserve"> can afford or $371,500 based on </w:t>
      </w:r>
      <w:r w:rsidR="00E938AF" w:rsidRPr="00B11277">
        <w:rPr>
          <w:rFonts w:ascii="Calibri" w:hAnsi="Calibri"/>
          <w:sz w:val="22"/>
          <w:szCs w:val="22"/>
        </w:rPr>
        <w:t>the ability to secure financing with no more than a 5% down payment, such as through some state subsidized mortgage programs</w:t>
      </w:r>
      <w:r w:rsidRPr="00B11277">
        <w:rPr>
          <w:rFonts w:ascii="Calibri" w:hAnsi="Calibri"/>
          <w:sz w:val="22"/>
          <w:szCs w:val="22"/>
        </w:rPr>
        <w:t xml:space="preserve">. </w:t>
      </w:r>
    </w:p>
    <w:p w14:paraId="0E159691" w14:textId="3F3B99D9" w:rsidR="00DE7559" w:rsidRPr="00B11277" w:rsidRDefault="00DE7559" w:rsidP="00DE7559">
      <w:pPr>
        <w:pStyle w:val="BodyTextIndent"/>
        <w:spacing w:after="0"/>
        <w:ind w:left="0"/>
        <w:jc w:val="both"/>
        <w:rPr>
          <w:rFonts w:ascii="Calibri" w:hAnsi="Calibri"/>
          <w:sz w:val="22"/>
          <w:szCs w:val="22"/>
        </w:rPr>
      </w:pPr>
    </w:p>
    <w:p w14:paraId="1148F368" w14:textId="3DB95092" w:rsidR="00A853C5" w:rsidRPr="00B11277" w:rsidRDefault="00A853C5" w:rsidP="00A853C5">
      <w:pPr>
        <w:pStyle w:val="BodyTextIndent"/>
        <w:spacing w:after="0"/>
        <w:ind w:left="0"/>
        <w:jc w:val="both"/>
        <w:rPr>
          <w:rFonts w:ascii="Calibri" w:hAnsi="Calibri"/>
          <w:sz w:val="22"/>
          <w:szCs w:val="22"/>
        </w:rPr>
      </w:pPr>
      <w:r w:rsidRPr="00B11277">
        <w:rPr>
          <w:rFonts w:ascii="Calibri" w:hAnsi="Calibri"/>
          <w:sz w:val="22"/>
          <w:szCs w:val="22"/>
        </w:rPr>
        <w:t xml:space="preserve">In regard to rentals, because the median household income for Needham is so high, there is no affordability gap for households earning at the median income level who could likely afford a monthly rent of almost $4,000.  However, a household with income at the 80% AMI level would encounter an affordability gap of about $650, the difference between an estimated median rent of $2,500 and what such a </w:t>
      </w:r>
      <w:r w:rsidR="00B675D8">
        <w:rPr>
          <w:rFonts w:ascii="Calibri" w:hAnsi="Calibri"/>
          <w:sz w:val="22"/>
          <w:szCs w:val="22"/>
        </w:rPr>
        <w:t xml:space="preserve">two-person </w:t>
      </w:r>
      <w:r w:rsidRPr="00B11277">
        <w:rPr>
          <w:rFonts w:ascii="Calibri" w:hAnsi="Calibri"/>
          <w:sz w:val="22"/>
          <w:szCs w:val="22"/>
        </w:rPr>
        <w:t>household could afford of about $1,846</w:t>
      </w:r>
      <w:r w:rsidR="009F64D9">
        <w:rPr>
          <w:rFonts w:ascii="Calibri" w:hAnsi="Calibri"/>
          <w:sz w:val="22"/>
          <w:szCs w:val="22"/>
        </w:rPr>
        <w:t xml:space="preserve"> based on spending no more than 30% of income on housing costs</w:t>
      </w:r>
      <w:r w:rsidR="00B675D8">
        <w:rPr>
          <w:rFonts w:ascii="Calibri" w:hAnsi="Calibri"/>
          <w:sz w:val="22"/>
          <w:szCs w:val="22"/>
        </w:rPr>
        <w:t xml:space="preserve"> and monthly average utility bills of $175</w:t>
      </w:r>
      <w:r w:rsidRPr="00B11277">
        <w:rPr>
          <w:rFonts w:ascii="Calibri" w:hAnsi="Calibri"/>
          <w:sz w:val="22"/>
          <w:szCs w:val="22"/>
        </w:rPr>
        <w:t>.</w:t>
      </w:r>
    </w:p>
    <w:p w14:paraId="0863F867" w14:textId="77777777" w:rsidR="007918C1" w:rsidRPr="00B11277" w:rsidRDefault="007918C1" w:rsidP="0042546C">
      <w:pPr>
        <w:jc w:val="both"/>
        <w:rPr>
          <w:rFonts w:asciiTheme="minorHAnsi" w:hAnsiTheme="minorHAnsi"/>
          <w:b/>
          <w:i/>
          <w:sz w:val="22"/>
          <w:szCs w:val="22"/>
        </w:rPr>
      </w:pPr>
    </w:p>
    <w:p w14:paraId="49D8577B" w14:textId="622CC471" w:rsidR="00AD4C32" w:rsidRPr="00B11277" w:rsidRDefault="00A0098A" w:rsidP="00AD4C32">
      <w:pPr>
        <w:jc w:val="both"/>
        <w:rPr>
          <w:rFonts w:ascii="Calibri" w:hAnsi="Calibri"/>
          <w:iCs/>
          <w:sz w:val="22"/>
          <w:szCs w:val="22"/>
        </w:rPr>
      </w:pPr>
      <w:r>
        <w:rPr>
          <w:rFonts w:asciiTheme="minorHAnsi" w:hAnsiTheme="minorHAnsi"/>
          <w:bCs/>
          <w:iCs/>
          <w:sz w:val="22"/>
          <w:szCs w:val="22"/>
        </w:rPr>
        <w:t xml:space="preserve">Given rising housing costs and widening affordability gaps, it is not surprising that more households are spending more than they should for housing.  </w:t>
      </w:r>
      <w:r w:rsidR="00AD4C32" w:rsidRPr="00B11277">
        <w:rPr>
          <w:rFonts w:ascii="Calibri" w:hAnsi="Calibri"/>
          <w:sz w:val="22"/>
          <w:szCs w:val="22"/>
        </w:rPr>
        <w:t xml:space="preserve">Special tabulations of census data for HUD indicated that of the total 10,765 </w:t>
      </w:r>
      <w:r w:rsidR="00B51189" w:rsidRPr="00B11277">
        <w:rPr>
          <w:rFonts w:ascii="Calibri" w:hAnsi="Calibri"/>
          <w:sz w:val="22"/>
          <w:szCs w:val="22"/>
        </w:rPr>
        <w:t xml:space="preserve">estimated </w:t>
      </w:r>
      <w:r w:rsidR="00AD4C32" w:rsidRPr="00B11277">
        <w:rPr>
          <w:rFonts w:ascii="Calibri" w:hAnsi="Calibri"/>
          <w:sz w:val="22"/>
          <w:szCs w:val="22"/>
        </w:rPr>
        <w:t xml:space="preserve">households in Needham, 1,425 or 13.2% were spending between 30% and 50% of their income on housing with another 1,163 or 10.8% spending more than </w:t>
      </w:r>
      <w:r w:rsidR="00EB2662" w:rsidRPr="00B11277">
        <w:rPr>
          <w:rFonts w:ascii="Calibri" w:hAnsi="Calibri"/>
          <w:sz w:val="22"/>
          <w:szCs w:val="22"/>
        </w:rPr>
        <w:t>half their income on housing costs</w:t>
      </w:r>
      <w:r w:rsidR="00AD4C32" w:rsidRPr="00B11277">
        <w:rPr>
          <w:rFonts w:ascii="Calibri" w:hAnsi="Calibri"/>
          <w:sz w:val="22"/>
          <w:szCs w:val="22"/>
        </w:rPr>
        <w:t xml:space="preserve">.  </w:t>
      </w:r>
      <w:r w:rsidR="00AD4C32" w:rsidRPr="00B11277">
        <w:rPr>
          <w:rFonts w:ascii="Calibri" w:hAnsi="Calibri"/>
          <w:iCs/>
          <w:sz w:val="22"/>
          <w:szCs w:val="22"/>
        </w:rPr>
        <w:t>This analysis suggests that 2,588 or 24% of all households were spending too much on their housing</w:t>
      </w:r>
      <w:r w:rsidR="00B51189" w:rsidRPr="00B11277">
        <w:rPr>
          <w:rFonts w:ascii="Calibri" w:hAnsi="Calibri"/>
          <w:iCs/>
          <w:sz w:val="22"/>
          <w:szCs w:val="22"/>
        </w:rPr>
        <w:t>, commonly defined as spending more than 30% of income on housing cost and also referred to as having cost burdens</w:t>
      </w:r>
      <w:r w:rsidR="00AD4C32" w:rsidRPr="00B11277">
        <w:rPr>
          <w:rFonts w:ascii="Calibri" w:hAnsi="Calibri"/>
          <w:iCs/>
          <w:sz w:val="22"/>
          <w:szCs w:val="22"/>
        </w:rPr>
        <w:t>.</w:t>
      </w:r>
    </w:p>
    <w:p w14:paraId="0BA0F882" w14:textId="77777777" w:rsidR="00AD4C32" w:rsidRPr="00B11277" w:rsidRDefault="00AD4C32" w:rsidP="00AD4C32">
      <w:pPr>
        <w:ind w:left="5040"/>
        <w:jc w:val="both"/>
        <w:rPr>
          <w:rFonts w:ascii="Calibri" w:hAnsi="Calibri"/>
          <w:sz w:val="22"/>
          <w:szCs w:val="22"/>
        </w:rPr>
      </w:pPr>
    </w:p>
    <w:p w14:paraId="396A3924" w14:textId="0954C902" w:rsidR="00AD4C32" w:rsidRPr="00B11277" w:rsidRDefault="00AD4C32" w:rsidP="00AD4C32">
      <w:pPr>
        <w:jc w:val="both"/>
        <w:rPr>
          <w:rFonts w:ascii="Calibri" w:hAnsi="Calibri"/>
          <w:sz w:val="22"/>
          <w:szCs w:val="22"/>
        </w:rPr>
      </w:pPr>
      <w:r w:rsidRPr="00B11277">
        <w:rPr>
          <w:rFonts w:ascii="Calibri" w:hAnsi="Calibri"/>
          <w:sz w:val="22"/>
          <w:szCs w:val="22"/>
        </w:rPr>
        <w:t>There were 1,030 renter households and 1,060 owner households with incomes at or below 80% AMI, which included 57% or of all renter households and 11.8% of owner households.</w:t>
      </w:r>
      <w:r w:rsidRPr="00B11277">
        <w:rPr>
          <w:rStyle w:val="FootnoteReference"/>
          <w:rFonts w:ascii="Calibri" w:hAnsi="Calibri"/>
          <w:sz w:val="22"/>
          <w:szCs w:val="22"/>
        </w:rPr>
        <w:footnoteReference w:id="5"/>
      </w:r>
      <w:r w:rsidRPr="00B11277">
        <w:rPr>
          <w:rFonts w:ascii="Calibri" w:hAnsi="Calibri"/>
          <w:sz w:val="22"/>
          <w:szCs w:val="22"/>
        </w:rPr>
        <w:t xml:space="preserve">  Of the 1,810 reported renter households, 620 or 34.2% were experiencing cost burdens compared to 708 or 7.9% of owners. Consequently, renters were proportionately experiencing greater cost burdens although the total number of cost-burdened owners was a bit higher. </w:t>
      </w:r>
      <w:r w:rsidR="00737F6E" w:rsidRPr="00B11277">
        <w:rPr>
          <w:rFonts w:ascii="Calibri" w:hAnsi="Calibri"/>
          <w:sz w:val="22"/>
          <w:szCs w:val="22"/>
        </w:rPr>
        <w:t xml:space="preserve"> </w:t>
      </w:r>
    </w:p>
    <w:p w14:paraId="58814D9B" w14:textId="738B195C" w:rsidR="00737F6E" w:rsidRPr="00B11277" w:rsidRDefault="00737F6E" w:rsidP="00AD4C32">
      <w:pPr>
        <w:jc w:val="both"/>
        <w:rPr>
          <w:rFonts w:ascii="Calibri" w:hAnsi="Calibri"/>
          <w:sz w:val="22"/>
          <w:szCs w:val="22"/>
        </w:rPr>
      </w:pPr>
    </w:p>
    <w:p w14:paraId="3F7DF6B2" w14:textId="6FEF787C" w:rsidR="00AD34AC" w:rsidRPr="00B11277" w:rsidRDefault="00737F6E" w:rsidP="00AD34AC">
      <w:pPr>
        <w:pStyle w:val="BodyText2"/>
        <w:spacing w:after="0" w:line="240" w:lineRule="auto"/>
        <w:jc w:val="both"/>
        <w:rPr>
          <w:rFonts w:ascii="Calibri" w:hAnsi="Calibri"/>
          <w:sz w:val="22"/>
          <w:szCs w:val="22"/>
        </w:rPr>
      </w:pPr>
      <w:r w:rsidRPr="00B11277">
        <w:rPr>
          <w:rFonts w:ascii="Calibri" w:hAnsi="Calibri"/>
          <w:sz w:val="22"/>
          <w:szCs w:val="22"/>
        </w:rPr>
        <w:lastRenderedPageBreak/>
        <w:t>Of the 1,030 renter households with incomes at or below 80% AMI, 60.2% were experiencing cost burdens including 38.4% with severe cost burdens.  In comparison, 66.8% of the 1,060 owner households were overspending including 46.0% w</w:t>
      </w:r>
      <w:r w:rsidR="00EF4EFC" w:rsidRPr="00B11277">
        <w:rPr>
          <w:rFonts w:ascii="Calibri" w:hAnsi="Calibri"/>
          <w:sz w:val="22"/>
          <w:szCs w:val="22"/>
        </w:rPr>
        <w:t>ith</w:t>
      </w:r>
      <w:r w:rsidRPr="00B11277">
        <w:rPr>
          <w:rFonts w:ascii="Calibri" w:hAnsi="Calibri"/>
          <w:sz w:val="22"/>
          <w:szCs w:val="22"/>
        </w:rPr>
        <w:t xml:space="preserve"> severe cost burdens.  </w:t>
      </w:r>
      <w:r w:rsidR="00AD34AC" w:rsidRPr="00B11277">
        <w:rPr>
          <w:rFonts w:ascii="Calibri" w:hAnsi="Calibri"/>
          <w:sz w:val="22"/>
          <w:szCs w:val="22"/>
        </w:rPr>
        <w:t xml:space="preserve">It is likely that many of these cost-burdened owner households are “cash poor but equity rich” in that their incomes might have qualified them for </w:t>
      </w:r>
      <w:r w:rsidR="00050FB6" w:rsidRPr="00B11277">
        <w:rPr>
          <w:rFonts w:ascii="Calibri" w:hAnsi="Calibri"/>
          <w:sz w:val="22"/>
          <w:szCs w:val="22"/>
        </w:rPr>
        <w:t>purchasing an affordable unit</w:t>
      </w:r>
      <w:r w:rsidR="002A16AA">
        <w:rPr>
          <w:rFonts w:ascii="Calibri" w:hAnsi="Calibri"/>
          <w:sz w:val="22"/>
          <w:szCs w:val="22"/>
        </w:rPr>
        <w:t xml:space="preserve"> (that would qualify for the SHI)</w:t>
      </w:r>
      <w:r w:rsidR="00AD34AC" w:rsidRPr="00B11277">
        <w:rPr>
          <w:rFonts w:ascii="Calibri" w:hAnsi="Calibri"/>
          <w:sz w:val="22"/>
          <w:szCs w:val="22"/>
        </w:rPr>
        <w:t xml:space="preserve"> but their financial assets, particularly the equity in their homes, would render them ineligible for such housing.</w:t>
      </w:r>
      <w:r w:rsidR="00050FB6" w:rsidRPr="00B11277">
        <w:rPr>
          <w:rStyle w:val="FootnoteReference"/>
          <w:rFonts w:ascii="Calibri" w:hAnsi="Calibri"/>
          <w:sz w:val="22"/>
          <w:szCs w:val="22"/>
        </w:rPr>
        <w:footnoteReference w:id="6"/>
      </w:r>
      <w:r w:rsidR="00AD34AC" w:rsidRPr="00B11277">
        <w:rPr>
          <w:rFonts w:ascii="Calibri" w:hAnsi="Calibri"/>
          <w:sz w:val="22"/>
          <w:szCs w:val="22"/>
        </w:rPr>
        <w:t xml:space="preserve"> </w:t>
      </w:r>
    </w:p>
    <w:p w14:paraId="049047FC" w14:textId="77777777" w:rsidR="007918C1" w:rsidRPr="00B11277" w:rsidRDefault="007918C1" w:rsidP="0042546C">
      <w:pPr>
        <w:jc w:val="both"/>
        <w:rPr>
          <w:rFonts w:asciiTheme="minorHAnsi" w:hAnsiTheme="minorHAnsi"/>
          <w:i/>
          <w:sz w:val="22"/>
          <w:szCs w:val="22"/>
        </w:rPr>
      </w:pPr>
    </w:p>
    <w:p w14:paraId="1DC576D8" w14:textId="07B97211" w:rsidR="007918C1" w:rsidRPr="00B11277" w:rsidRDefault="007918C1" w:rsidP="004617B0">
      <w:pPr>
        <w:shd w:val="clear" w:color="auto" w:fill="B6DDE8" w:themeFill="accent5" w:themeFillTint="66"/>
        <w:jc w:val="both"/>
        <w:rPr>
          <w:rFonts w:asciiTheme="minorHAnsi" w:hAnsiTheme="minorHAnsi" w:cs="Lucida Sans Unicode"/>
          <w:sz w:val="22"/>
          <w:szCs w:val="22"/>
        </w:rPr>
      </w:pPr>
      <w:r w:rsidRPr="00B11277">
        <w:rPr>
          <w:rFonts w:asciiTheme="minorHAnsi" w:hAnsiTheme="minorHAnsi" w:cs="Lucida Sans Unicode"/>
          <w:sz w:val="22"/>
          <w:szCs w:val="22"/>
        </w:rPr>
        <w:t>The convergence of these trends – an aging population</w:t>
      </w:r>
      <w:r w:rsidR="00AF0081">
        <w:rPr>
          <w:rFonts w:asciiTheme="minorHAnsi" w:hAnsiTheme="minorHAnsi" w:cs="Lucida Sans Unicode"/>
          <w:sz w:val="22"/>
          <w:szCs w:val="22"/>
        </w:rPr>
        <w:t>,</w:t>
      </w:r>
      <w:r w:rsidRPr="00B11277">
        <w:rPr>
          <w:rFonts w:asciiTheme="minorHAnsi" w:hAnsiTheme="minorHAnsi" w:cs="Lucida Sans Unicode"/>
          <w:sz w:val="22"/>
          <w:szCs w:val="22"/>
        </w:rPr>
        <w:t xml:space="preserve"> high housing prices, lower housing production, li</w:t>
      </w:r>
      <w:r w:rsidR="004617B0" w:rsidRPr="00B11277">
        <w:rPr>
          <w:rFonts w:asciiTheme="minorHAnsi" w:hAnsiTheme="minorHAnsi" w:cs="Lucida Sans Unicode"/>
          <w:sz w:val="22"/>
          <w:szCs w:val="22"/>
        </w:rPr>
        <w:t>mited</w:t>
      </w:r>
      <w:r w:rsidRPr="00B11277">
        <w:rPr>
          <w:rFonts w:asciiTheme="minorHAnsi" w:hAnsiTheme="minorHAnsi" w:cs="Lucida Sans Unicode"/>
          <w:sz w:val="22"/>
          <w:szCs w:val="22"/>
        </w:rPr>
        <w:t xml:space="preserve"> housing diversity, </w:t>
      </w:r>
      <w:r w:rsidR="004617B0" w:rsidRPr="00B11277">
        <w:rPr>
          <w:rFonts w:asciiTheme="minorHAnsi" w:hAnsiTheme="minorHAnsi" w:cs="Lucida Sans Unicode"/>
          <w:sz w:val="22"/>
          <w:szCs w:val="22"/>
        </w:rPr>
        <w:t>challenges</w:t>
      </w:r>
      <w:r w:rsidRPr="00B11277">
        <w:rPr>
          <w:rFonts w:asciiTheme="minorHAnsi" w:hAnsiTheme="minorHAnsi" w:cs="Lucida Sans Unicode"/>
          <w:sz w:val="22"/>
          <w:szCs w:val="22"/>
        </w:rPr>
        <w:t xml:space="preserve"> in obtaining </w:t>
      </w:r>
      <w:r w:rsidR="005C6482" w:rsidRPr="00B11277">
        <w:rPr>
          <w:rFonts w:asciiTheme="minorHAnsi" w:hAnsiTheme="minorHAnsi" w:cs="Lucida Sans Unicode"/>
          <w:sz w:val="22"/>
          <w:szCs w:val="22"/>
        </w:rPr>
        <w:t>subs</w:t>
      </w:r>
      <w:r w:rsidR="00050FB6" w:rsidRPr="00B11277">
        <w:rPr>
          <w:rFonts w:asciiTheme="minorHAnsi" w:hAnsiTheme="minorHAnsi" w:cs="Lucida Sans Unicode"/>
          <w:sz w:val="22"/>
          <w:szCs w:val="22"/>
        </w:rPr>
        <w:t>i</w:t>
      </w:r>
      <w:r w:rsidR="005C6482" w:rsidRPr="00B11277">
        <w:rPr>
          <w:rFonts w:asciiTheme="minorHAnsi" w:hAnsiTheme="minorHAnsi" w:cs="Lucida Sans Unicode"/>
          <w:sz w:val="22"/>
          <w:szCs w:val="22"/>
        </w:rPr>
        <w:t>dies</w:t>
      </w:r>
      <w:r w:rsidRPr="00B11277">
        <w:rPr>
          <w:rFonts w:asciiTheme="minorHAnsi" w:hAnsiTheme="minorHAnsi" w:cs="Lucida Sans Unicode"/>
          <w:sz w:val="22"/>
          <w:szCs w:val="22"/>
        </w:rPr>
        <w:t xml:space="preserve">, and large up-front cash requirements for homeownership and rentals – all point to </w:t>
      </w:r>
      <w:r w:rsidR="00FE69B3" w:rsidRPr="00B11277">
        <w:rPr>
          <w:rFonts w:asciiTheme="minorHAnsi" w:hAnsiTheme="minorHAnsi" w:cs="Lucida Sans Unicode"/>
          <w:sz w:val="22"/>
          <w:szCs w:val="22"/>
        </w:rPr>
        <w:t>widening</w:t>
      </w:r>
      <w:r w:rsidRPr="00B11277">
        <w:rPr>
          <w:rFonts w:asciiTheme="minorHAnsi" w:hAnsiTheme="minorHAnsi" w:cs="Lucida Sans Unicode"/>
          <w:sz w:val="22"/>
          <w:szCs w:val="22"/>
        </w:rPr>
        <w:t xml:space="preserve"> affordability gap</w:t>
      </w:r>
      <w:r w:rsidR="002A16AA">
        <w:rPr>
          <w:rFonts w:asciiTheme="minorHAnsi" w:hAnsiTheme="minorHAnsi" w:cs="Lucida Sans Unicode"/>
          <w:sz w:val="22"/>
          <w:szCs w:val="22"/>
        </w:rPr>
        <w:t>s</w:t>
      </w:r>
      <w:r w:rsidR="00FE69B3" w:rsidRPr="00B11277">
        <w:rPr>
          <w:rFonts w:asciiTheme="minorHAnsi" w:hAnsiTheme="minorHAnsi" w:cs="Lucida Sans Unicode"/>
          <w:sz w:val="22"/>
          <w:szCs w:val="22"/>
        </w:rPr>
        <w:t xml:space="preserve"> and increasing cost burdens</w:t>
      </w:r>
      <w:r w:rsidR="005C6482" w:rsidRPr="00B11277">
        <w:rPr>
          <w:rFonts w:asciiTheme="minorHAnsi" w:hAnsiTheme="minorHAnsi" w:cs="Lucida Sans Unicode"/>
          <w:sz w:val="22"/>
          <w:szCs w:val="22"/>
        </w:rPr>
        <w:t>.</w:t>
      </w:r>
      <w:r w:rsidRPr="00B11277">
        <w:rPr>
          <w:rFonts w:asciiTheme="minorHAnsi" w:hAnsiTheme="minorHAnsi" w:cs="Lucida Sans Unicode"/>
          <w:sz w:val="22"/>
          <w:szCs w:val="22"/>
        </w:rPr>
        <w:t xml:space="preserve">  </w:t>
      </w:r>
      <w:r w:rsidR="00FE69B3" w:rsidRPr="00B11277">
        <w:rPr>
          <w:rFonts w:asciiTheme="minorHAnsi" w:hAnsiTheme="minorHAnsi" w:cs="Lucida Sans Unicode"/>
          <w:sz w:val="22"/>
          <w:szCs w:val="22"/>
        </w:rPr>
        <w:t>Consequently,</w:t>
      </w:r>
      <w:r w:rsidR="002A16AA">
        <w:rPr>
          <w:rFonts w:asciiTheme="minorHAnsi" w:hAnsiTheme="minorHAnsi" w:cs="Lucida Sans Unicode"/>
          <w:sz w:val="22"/>
          <w:szCs w:val="22"/>
        </w:rPr>
        <w:t xml:space="preserve"> without major interventions at all levels of government,</w:t>
      </w:r>
      <w:r w:rsidR="00FE69B3" w:rsidRPr="00B11277">
        <w:rPr>
          <w:rFonts w:asciiTheme="minorHAnsi" w:hAnsiTheme="minorHAnsi" w:cs="Lucida Sans Unicode"/>
          <w:sz w:val="22"/>
          <w:szCs w:val="22"/>
        </w:rPr>
        <w:t xml:space="preserve"> Needham and many other communities in the Greater Boston area </w:t>
      </w:r>
      <w:r w:rsidRPr="00B11277">
        <w:rPr>
          <w:rFonts w:asciiTheme="minorHAnsi" w:hAnsiTheme="minorHAnsi" w:cs="Lucida Sans Unicode"/>
          <w:sz w:val="22"/>
          <w:szCs w:val="22"/>
        </w:rPr>
        <w:t xml:space="preserve">will </w:t>
      </w:r>
      <w:r w:rsidR="004617B0" w:rsidRPr="00B11277">
        <w:rPr>
          <w:rFonts w:asciiTheme="minorHAnsi" w:hAnsiTheme="minorHAnsi" w:cs="Lucida Sans Unicode"/>
          <w:sz w:val="22"/>
          <w:szCs w:val="22"/>
        </w:rPr>
        <w:t xml:space="preserve">continue to </w:t>
      </w:r>
      <w:r w:rsidRPr="00B11277">
        <w:rPr>
          <w:rFonts w:asciiTheme="minorHAnsi" w:hAnsiTheme="minorHAnsi" w:cs="Lucida Sans Unicode"/>
          <w:sz w:val="22"/>
          <w:szCs w:val="22"/>
        </w:rPr>
        <w:t xml:space="preserve">lose ground on </w:t>
      </w:r>
      <w:r w:rsidR="00FE69B3" w:rsidRPr="00B11277">
        <w:rPr>
          <w:rFonts w:asciiTheme="minorHAnsi" w:hAnsiTheme="minorHAnsi" w:cs="Lucida Sans Unicode"/>
          <w:sz w:val="22"/>
          <w:szCs w:val="22"/>
        </w:rPr>
        <w:t>the</w:t>
      </w:r>
      <w:r w:rsidR="00361124" w:rsidRPr="00B11277">
        <w:rPr>
          <w:rFonts w:asciiTheme="minorHAnsi" w:hAnsiTheme="minorHAnsi" w:cs="Lucida Sans Unicode"/>
          <w:sz w:val="22"/>
          <w:szCs w:val="22"/>
        </w:rPr>
        <w:t>i</w:t>
      </w:r>
      <w:r w:rsidR="00FE69B3" w:rsidRPr="00B11277">
        <w:rPr>
          <w:rFonts w:asciiTheme="minorHAnsi" w:hAnsiTheme="minorHAnsi" w:cs="Lucida Sans Unicode"/>
          <w:sz w:val="22"/>
          <w:szCs w:val="22"/>
        </w:rPr>
        <w:t>r</w:t>
      </w:r>
      <w:r w:rsidRPr="00B11277">
        <w:rPr>
          <w:rFonts w:asciiTheme="minorHAnsi" w:hAnsiTheme="minorHAnsi" w:cs="Lucida Sans Unicode"/>
          <w:sz w:val="22"/>
          <w:szCs w:val="22"/>
        </w:rPr>
        <w:t xml:space="preserve"> ability to be a place where individuals and families across a range of economic and social strata can call home.  </w:t>
      </w:r>
    </w:p>
    <w:p w14:paraId="4C90BA99" w14:textId="77777777" w:rsidR="001002C7" w:rsidRDefault="001002C7" w:rsidP="0042546C">
      <w:pPr>
        <w:pStyle w:val="CommentText"/>
        <w:spacing w:line="240" w:lineRule="auto"/>
        <w:jc w:val="both"/>
        <w:rPr>
          <w:rFonts w:asciiTheme="minorHAnsi" w:hAnsiTheme="minorHAnsi"/>
          <w:b/>
          <w:bCs/>
          <w:sz w:val="24"/>
        </w:rPr>
      </w:pPr>
    </w:p>
    <w:p w14:paraId="5CA86F4F" w14:textId="7B92DF62" w:rsidR="007918C1" w:rsidRPr="00B11277" w:rsidRDefault="009874C9" w:rsidP="0042546C">
      <w:pPr>
        <w:pStyle w:val="CommentText"/>
        <w:spacing w:line="240" w:lineRule="auto"/>
        <w:jc w:val="both"/>
        <w:rPr>
          <w:rFonts w:asciiTheme="minorHAnsi" w:hAnsiTheme="minorHAnsi"/>
          <w:b/>
          <w:bCs/>
          <w:sz w:val="24"/>
        </w:rPr>
      </w:pPr>
      <w:r w:rsidRPr="00B11277">
        <w:rPr>
          <w:rFonts w:asciiTheme="minorHAnsi" w:hAnsiTheme="minorHAnsi"/>
          <w:b/>
          <w:bCs/>
          <w:sz w:val="24"/>
        </w:rPr>
        <w:t>3.</w:t>
      </w:r>
      <w:r w:rsidR="007918C1" w:rsidRPr="00B11277">
        <w:rPr>
          <w:rFonts w:asciiTheme="minorHAnsi" w:hAnsiTheme="minorHAnsi"/>
          <w:b/>
          <w:bCs/>
          <w:sz w:val="24"/>
        </w:rPr>
        <w:tab/>
        <w:t>Summary of Priority Housing Needs</w:t>
      </w:r>
    </w:p>
    <w:p w14:paraId="45546C84" w14:textId="36158098" w:rsidR="00EE1AD5" w:rsidRPr="00B11277" w:rsidRDefault="00EE1AD5" w:rsidP="00EE1AD5">
      <w:pPr>
        <w:autoSpaceDE w:val="0"/>
        <w:autoSpaceDN w:val="0"/>
        <w:adjustRightInd w:val="0"/>
        <w:jc w:val="both"/>
        <w:rPr>
          <w:rFonts w:ascii="Calibri" w:hAnsi="Calibri"/>
          <w:sz w:val="22"/>
          <w:szCs w:val="22"/>
        </w:rPr>
      </w:pPr>
      <w:r w:rsidRPr="00B11277">
        <w:rPr>
          <w:rFonts w:ascii="Calibri" w:hAnsi="Calibri"/>
          <w:sz w:val="22"/>
          <w:szCs w:val="22"/>
        </w:rPr>
        <w:t xml:space="preserve">Given the numbers of residents who are paying too much for their housing and growing affordability gaps, there is a pressing need to produce more housing that is affordable in Needham, not only </w:t>
      </w:r>
      <w:r w:rsidR="00B13BDD" w:rsidRPr="00B11277">
        <w:rPr>
          <w:rFonts w:ascii="Calibri" w:hAnsi="Calibri"/>
          <w:sz w:val="22"/>
          <w:szCs w:val="22"/>
        </w:rPr>
        <w:t xml:space="preserve">for </w:t>
      </w:r>
      <w:r w:rsidRPr="00B11277">
        <w:rPr>
          <w:rFonts w:ascii="Calibri" w:hAnsi="Calibri"/>
          <w:sz w:val="22"/>
          <w:szCs w:val="22"/>
        </w:rPr>
        <w:t xml:space="preserve">the most financially-vulnerable residents, but also for those who </w:t>
      </w:r>
      <w:r w:rsidR="00281EDB">
        <w:rPr>
          <w:rFonts w:ascii="Calibri" w:hAnsi="Calibri"/>
          <w:sz w:val="22"/>
          <w:szCs w:val="22"/>
        </w:rPr>
        <w:t>have moderate incomes and assets</w:t>
      </w:r>
      <w:r w:rsidRPr="00B11277">
        <w:rPr>
          <w:rFonts w:ascii="Calibri" w:hAnsi="Calibri"/>
          <w:sz w:val="22"/>
          <w:szCs w:val="22"/>
        </w:rPr>
        <w:t xml:space="preserve"> but are still struggling to remain in the community.  The major obstacle to meeting underserved needs is the gap between the level of need and the resources available, including </w:t>
      </w:r>
      <w:r w:rsidR="00AF0733">
        <w:rPr>
          <w:rFonts w:ascii="Calibri" w:hAnsi="Calibri"/>
          <w:sz w:val="22"/>
          <w:szCs w:val="22"/>
        </w:rPr>
        <w:t xml:space="preserve">real </w:t>
      </w:r>
      <w:r w:rsidRPr="00B11277">
        <w:rPr>
          <w:rFonts w:ascii="Calibri" w:hAnsi="Calibri"/>
          <w:sz w:val="22"/>
          <w:szCs w:val="22"/>
        </w:rPr>
        <w:t>property, which has been exacerbated by unprecedently high and rising housing prices.</w:t>
      </w:r>
      <w:r w:rsidR="00D2754D">
        <w:rPr>
          <w:rFonts w:ascii="Calibri" w:hAnsi="Calibri"/>
          <w:sz w:val="22"/>
          <w:szCs w:val="22"/>
        </w:rPr>
        <w:t xml:space="preserve"> These prices have been buoyed by</w:t>
      </w:r>
      <w:r w:rsidRPr="00B11277">
        <w:rPr>
          <w:rFonts w:ascii="Calibri" w:hAnsi="Calibri"/>
          <w:sz w:val="22"/>
          <w:szCs w:val="22"/>
        </w:rPr>
        <w:t xml:space="preserve">  </w:t>
      </w:r>
      <w:r w:rsidR="00D2754D">
        <w:rPr>
          <w:rFonts w:ascii="Calibri" w:hAnsi="Calibri"/>
          <w:sz w:val="22"/>
          <w:szCs w:val="22"/>
        </w:rPr>
        <w:t>c</w:t>
      </w:r>
      <w:r w:rsidRPr="00B11277">
        <w:rPr>
          <w:rFonts w:ascii="Calibri" w:hAnsi="Calibri"/>
          <w:sz w:val="22"/>
          <w:szCs w:val="22"/>
        </w:rPr>
        <w:t>onstraining regulations, low interest rates, and</w:t>
      </w:r>
      <w:r w:rsidR="00AF0733">
        <w:rPr>
          <w:rFonts w:ascii="Calibri" w:hAnsi="Calibri"/>
          <w:sz w:val="22"/>
          <w:szCs w:val="22"/>
        </w:rPr>
        <w:t xml:space="preserve"> increas</w:t>
      </w:r>
      <w:r w:rsidR="00D2754D">
        <w:rPr>
          <w:rFonts w:ascii="Calibri" w:hAnsi="Calibri"/>
          <w:sz w:val="22"/>
          <w:szCs w:val="22"/>
        </w:rPr>
        <w:t>ing</w:t>
      </w:r>
      <w:r w:rsidR="00AF0733">
        <w:rPr>
          <w:rFonts w:ascii="Calibri" w:hAnsi="Calibri"/>
          <w:sz w:val="22"/>
          <w:szCs w:val="22"/>
        </w:rPr>
        <w:t xml:space="preserve"> demand for single-family homes as well as</w:t>
      </w:r>
      <w:r w:rsidRPr="00B11277">
        <w:rPr>
          <w:rFonts w:ascii="Calibri" w:hAnsi="Calibri"/>
          <w:sz w:val="22"/>
          <w:szCs w:val="22"/>
        </w:rPr>
        <w:t xml:space="preserve"> the pandemic.  </w:t>
      </w:r>
    </w:p>
    <w:p w14:paraId="52D3CF41" w14:textId="77777777" w:rsidR="00EE1AD5" w:rsidRPr="00B11277" w:rsidRDefault="00EE1AD5" w:rsidP="00EE1AD5">
      <w:pPr>
        <w:pStyle w:val="CommentText"/>
        <w:tabs>
          <w:tab w:val="left" w:pos="0"/>
        </w:tabs>
        <w:spacing w:line="240" w:lineRule="auto"/>
        <w:jc w:val="both"/>
        <w:rPr>
          <w:rFonts w:ascii="Calibri" w:hAnsi="Calibri"/>
          <w:szCs w:val="22"/>
        </w:rPr>
      </w:pPr>
    </w:p>
    <w:p w14:paraId="22C2DF82" w14:textId="29957997" w:rsidR="00EE1AD5" w:rsidRPr="00B11277" w:rsidRDefault="00EE1AD5" w:rsidP="00EE1AD5">
      <w:pPr>
        <w:pStyle w:val="CommentText"/>
        <w:tabs>
          <w:tab w:val="left" w:pos="0"/>
        </w:tabs>
        <w:spacing w:line="240" w:lineRule="auto"/>
        <w:jc w:val="both"/>
        <w:rPr>
          <w:rFonts w:ascii="Calibri" w:hAnsi="Calibri"/>
          <w:szCs w:val="22"/>
        </w:rPr>
      </w:pPr>
      <w:r w:rsidRPr="00B11277">
        <w:rPr>
          <w:rFonts w:ascii="Calibri" w:hAnsi="Calibri"/>
          <w:szCs w:val="22"/>
        </w:rPr>
        <w:t xml:space="preserve">Fundamental to the rise in housing prices is the imbalance between housing supply and demand.  This is not just a local problem but one that is occurring throughout much of the Commonwealth, the Greater Boston area in particular. Regional solutions to boosting housing production are needed, albeit challenging given </w:t>
      </w:r>
      <w:r w:rsidR="00AF0733">
        <w:rPr>
          <w:rFonts w:ascii="Calibri" w:hAnsi="Calibri"/>
          <w:szCs w:val="22"/>
        </w:rPr>
        <w:t xml:space="preserve">the discretion provided to municipalities to adopt their own zoning by-laws and ordinances under the </w:t>
      </w:r>
      <w:r w:rsidR="00AF0733" w:rsidRPr="00EE1AD5">
        <w:rPr>
          <w:rFonts w:ascii="Calibri" w:hAnsi="Calibri"/>
          <w:szCs w:val="22"/>
        </w:rPr>
        <w:t xml:space="preserve">home rule </w:t>
      </w:r>
      <w:r w:rsidR="00AF0733">
        <w:rPr>
          <w:rFonts w:ascii="Calibri" w:hAnsi="Calibri"/>
          <w:szCs w:val="22"/>
        </w:rPr>
        <w:t>amendment to the Massachusetts Constitution</w:t>
      </w:r>
      <w:r w:rsidR="00AF0733" w:rsidRPr="00B11277">
        <w:rPr>
          <w:rFonts w:ascii="Calibri" w:hAnsi="Calibri"/>
          <w:szCs w:val="22"/>
        </w:rPr>
        <w:t xml:space="preserve"> </w:t>
      </w:r>
      <w:r w:rsidRPr="00B11277">
        <w:rPr>
          <w:rFonts w:ascii="Calibri" w:hAnsi="Calibri"/>
          <w:szCs w:val="22"/>
        </w:rPr>
        <w:t xml:space="preserve">which </w:t>
      </w:r>
      <w:r w:rsidR="007A6CF8" w:rsidRPr="00B11277">
        <w:rPr>
          <w:rFonts w:ascii="Calibri" w:hAnsi="Calibri"/>
          <w:szCs w:val="22"/>
        </w:rPr>
        <w:t>authorizes local bylaw enactment</w:t>
      </w:r>
      <w:r w:rsidRPr="00B11277">
        <w:rPr>
          <w:rFonts w:ascii="Calibri" w:hAnsi="Calibri"/>
          <w:szCs w:val="22"/>
        </w:rPr>
        <w:t>.</w:t>
      </w:r>
    </w:p>
    <w:p w14:paraId="29055179" w14:textId="77777777" w:rsidR="00EE1AD5" w:rsidRPr="00B11277" w:rsidRDefault="00EE1AD5" w:rsidP="00EE1AD5">
      <w:pPr>
        <w:pStyle w:val="CommentText"/>
        <w:tabs>
          <w:tab w:val="left" w:pos="0"/>
        </w:tabs>
        <w:spacing w:line="240" w:lineRule="auto"/>
        <w:jc w:val="both"/>
        <w:rPr>
          <w:rFonts w:ascii="Calibri" w:hAnsi="Calibri"/>
        </w:rPr>
      </w:pPr>
    </w:p>
    <w:p w14:paraId="3135F786" w14:textId="6DA6E2FA" w:rsidR="00AA41EC" w:rsidRPr="00B11277" w:rsidRDefault="00EE1AD5" w:rsidP="00AA41EC">
      <w:pPr>
        <w:jc w:val="both"/>
        <w:rPr>
          <w:rFonts w:asciiTheme="minorHAnsi" w:hAnsiTheme="minorHAnsi" w:cs="Lucida Sans Unicode"/>
          <w:sz w:val="22"/>
          <w:szCs w:val="22"/>
        </w:rPr>
      </w:pPr>
      <w:r w:rsidRPr="00B11277">
        <w:rPr>
          <w:rStyle w:val="Emphasis"/>
          <w:rFonts w:ascii="Calibri" w:hAnsi="Calibri"/>
          <w:sz w:val="22"/>
          <w:szCs w:val="22"/>
        </w:rPr>
        <w:t xml:space="preserve">Based on input from a wide variety of sources including updated census data, market information, input from local stakeholders, and community meetings; the following priority housing needs have been identified.  It should be noted that this information will be augmented with input from the Community Housing Survey which will be issued </w:t>
      </w:r>
      <w:r w:rsidR="008C4494">
        <w:rPr>
          <w:rStyle w:val="Emphasis"/>
          <w:rFonts w:ascii="Calibri" w:hAnsi="Calibri"/>
          <w:sz w:val="22"/>
          <w:szCs w:val="22"/>
        </w:rPr>
        <w:t>in late April</w:t>
      </w:r>
      <w:r w:rsidR="00D2754D">
        <w:rPr>
          <w:rStyle w:val="Emphasis"/>
          <w:rFonts w:ascii="Calibri" w:hAnsi="Calibri"/>
          <w:sz w:val="22"/>
          <w:szCs w:val="22"/>
        </w:rPr>
        <w:t xml:space="preserve"> 2022</w:t>
      </w:r>
      <w:r w:rsidRPr="00B11277">
        <w:rPr>
          <w:rStyle w:val="Emphasis"/>
          <w:rFonts w:ascii="Calibri" w:hAnsi="Calibri"/>
          <w:sz w:val="22"/>
          <w:szCs w:val="22"/>
        </w:rPr>
        <w:t xml:space="preserve">. </w:t>
      </w:r>
      <w:r w:rsidR="00AA41EC" w:rsidRPr="00AA41EC">
        <w:rPr>
          <w:rStyle w:val="Emphasis"/>
          <w:rFonts w:ascii="Calibri" w:hAnsi="Calibri"/>
          <w:i w:val="0"/>
          <w:iCs w:val="0"/>
          <w:sz w:val="22"/>
          <w:szCs w:val="22"/>
        </w:rPr>
        <w:t xml:space="preserve">It </w:t>
      </w:r>
      <w:r w:rsidR="00AA41EC">
        <w:rPr>
          <w:rStyle w:val="Emphasis"/>
          <w:rFonts w:ascii="Calibri" w:hAnsi="Calibri"/>
          <w:i w:val="0"/>
          <w:iCs w:val="0"/>
          <w:sz w:val="22"/>
          <w:szCs w:val="22"/>
        </w:rPr>
        <w:t>s</w:t>
      </w:r>
      <w:r w:rsidR="00AA41EC" w:rsidRPr="00AA41EC">
        <w:rPr>
          <w:rStyle w:val="Emphasis"/>
          <w:rFonts w:ascii="Calibri" w:hAnsi="Calibri"/>
          <w:i w:val="0"/>
          <w:iCs w:val="0"/>
          <w:sz w:val="22"/>
          <w:szCs w:val="22"/>
        </w:rPr>
        <w:t>houl</w:t>
      </w:r>
      <w:r w:rsidR="00AA41EC">
        <w:rPr>
          <w:rStyle w:val="Emphasis"/>
          <w:rFonts w:ascii="Calibri" w:hAnsi="Calibri"/>
          <w:i w:val="0"/>
          <w:iCs w:val="0"/>
          <w:sz w:val="22"/>
          <w:szCs w:val="22"/>
        </w:rPr>
        <w:t>d</w:t>
      </w:r>
      <w:r w:rsidR="00AA41EC" w:rsidRPr="00AA41EC">
        <w:rPr>
          <w:rStyle w:val="Emphasis"/>
          <w:rFonts w:ascii="Calibri" w:hAnsi="Calibri"/>
          <w:i w:val="0"/>
          <w:iCs w:val="0"/>
          <w:sz w:val="22"/>
          <w:szCs w:val="22"/>
        </w:rPr>
        <w:t xml:space="preserve"> be noted that</w:t>
      </w:r>
      <w:r w:rsidR="00AA41EC">
        <w:rPr>
          <w:rStyle w:val="Emphasis"/>
          <w:rFonts w:ascii="Calibri" w:hAnsi="Calibri"/>
          <w:sz w:val="22"/>
          <w:szCs w:val="22"/>
        </w:rPr>
        <w:t xml:space="preserve"> g</w:t>
      </w:r>
      <w:r w:rsidR="00AA41EC" w:rsidRPr="00B11277">
        <w:rPr>
          <w:rFonts w:asciiTheme="minorHAnsi" w:hAnsiTheme="minorHAnsi" w:cs="Lucida Sans Unicode"/>
          <w:sz w:val="22"/>
          <w:szCs w:val="22"/>
        </w:rPr>
        <w:t>iven the indicators of need that are included in the Housing Needs Assessment, even if the Town were to reach the 10% level of affordability without the inclusion of market rate units in the Chapter 40B rental developments, now at 6.7%, it will likely still have unmet housing needs in the community.</w:t>
      </w:r>
      <w:r w:rsidR="00AA41EC">
        <w:rPr>
          <w:rFonts w:asciiTheme="minorHAnsi" w:hAnsiTheme="minorHAnsi" w:cs="Lucida Sans Unicode"/>
          <w:sz w:val="22"/>
          <w:szCs w:val="22"/>
        </w:rPr>
        <w:t xml:space="preserve">  Nevertheless, </w:t>
      </w:r>
      <w:r w:rsidR="00D2754D">
        <w:rPr>
          <w:rFonts w:asciiTheme="minorHAnsi" w:hAnsiTheme="minorHAnsi" w:cs="Lucida Sans Unicode"/>
          <w:sz w:val="22"/>
          <w:szCs w:val="22"/>
        </w:rPr>
        <w:t>reaching this goal</w:t>
      </w:r>
      <w:r w:rsidR="00425A7C">
        <w:rPr>
          <w:rFonts w:asciiTheme="minorHAnsi" w:hAnsiTheme="minorHAnsi" w:cs="Lucida Sans Unicode"/>
          <w:sz w:val="22"/>
          <w:szCs w:val="22"/>
        </w:rPr>
        <w:t xml:space="preserve"> would represent authentic progress.</w:t>
      </w:r>
    </w:p>
    <w:p w14:paraId="1F76031B" w14:textId="77777777" w:rsidR="00EE1AD5" w:rsidRPr="00B11277" w:rsidRDefault="00EE1AD5" w:rsidP="00EE1AD5">
      <w:pPr>
        <w:pStyle w:val="BodyText2"/>
        <w:tabs>
          <w:tab w:val="left" w:pos="0"/>
        </w:tabs>
        <w:spacing w:after="0" w:line="240" w:lineRule="auto"/>
        <w:jc w:val="both"/>
        <w:rPr>
          <w:rStyle w:val="Emphasis"/>
          <w:rFonts w:ascii="Calibri" w:hAnsi="Calibri"/>
          <w:b/>
          <w:i w:val="0"/>
          <w:sz w:val="22"/>
          <w:szCs w:val="22"/>
        </w:rPr>
      </w:pPr>
    </w:p>
    <w:p w14:paraId="4762D215" w14:textId="25FAEDB8" w:rsidR="007918C1" w:rsidRPr="00B11277" w:rsidRDefault="007918C1" w:rsidP="0042546C">
      <w:pPr>
        <w:pStyle w:val="Footer"/>
        <w:jc w:val="both"/>
        <w:rPr>
          <w:rFonts w:asciiTheme="minorHAnsi" w:hAnsiTheme="minorHAnsi" w:cs="Lucida Sans Unicode"/>
          <w:b/>
          <w:sz w:val="22"/>
          <w:szCs w:val="22"/>
          <w:u w:val="single"/>
        </w:rPr>
      </w:pPr>
      <w:r w:rsidRPr="00B11277">
        <w:rPr>
          <w:rFonts w:asciiTheme="minorHAnsi" w:hAnsiTheme="minorHAnsi" w:cs="Lucida Sans Unicode"/>
          <w:b/>
          <w:i/>
          <w:iCs/>
          <w:sz w:val="22"/>
          <w:szCs w:val="22"/>
        </w:rPr>
        <w:t xml:space="preserve">Households with Limited Incomes – Need affordable rental housing </w:t>
      </w:r>
    </w:p>
    <w:p w14:paraId="352238E9" w14:textId="5F411B47" w:rsidR="007918C1" w:rsidRPr="00B11277" w:rsidRDefault="007918C1" w:rsidP="0042546C">
      <w:pPr>
        <w:pStyle w:val="BodyTextIndent"/>
        <w:spacing w:after="0"/>
        <w:ind w:left="0"/>
        <w:jc w:val="both"/>
        <w:rPr>
          <w:rFonts w:asciiTheme="minorHAnsi" w:hAnsiTheme="minorHAnsi"/>
          <w:sz w:val="22"/>
          <w:szCs w:val="22"/>
        </w:rPr>
      </w:pPr>
      <w:r w:rsidRPr="00B11277">
        <w:rPr>
          <w:rFonts w:asciiTheme="minorHAnsi" w:hAnsiTheme="minorHAnsi"/>
          <w:sz w:val="22"/>
          <w:szCs w:val="22"/>
        </w:rPr>
        <w:t xml:space="preserve">There still remains a population living in </w:t>
      </w:r>
      <w:r w:rsidR="00EE1AD5" w:rsidRPr="00B11277">
        <w:rPr>
          <w:rFonts w:asciiTheme="minorHAnsi" w:hAnsiTheme="minorHAnsi"/>
          <w:sz w:val="22"/>
          <w:szCs w:val="22"/>
        </w:rPr>
        <w:t>Needham</w:t>
      </w:r>
      <w:r w:rsidRPr="00B11277">
        <w:rPr>
          <w:rFonts w:asciiTheme="minorHAnsi" w:hAnsiTheme="minorHAnsi"/>
          <w:sz w:val="22"/>
          <w:szCs w:val="22"/>
        </w:rPr>
        <w:t xml:space="preserve"> with very limited financial means.  Given the high costs of rental housing, including sizable up-front costs (first and last months</w:t>
      </w:r>
      <w:r w:rsidR="00AF0733">
        <w:rPr>
          <w:rFonts w:asciiTheme="minorHAnsi" w:hAnsiTheme="minorHAnsi"/>
          <w:sz w:val="22"/>
          <w:szCs w:val="22"/>
        </w:rPr>
        <w:t>’</w:t>
      </w:r>
      <w:r w:rsidRPr="00B11277">
        <w:rPr>
          <w:rFonts w:asciiTheme="minorHAnsi" w:hAnsiTheme="minorHAnsi"/>
          <w:sz w:val="22"/>
          <w:szCs w:val="22"/>
        </w:rPr>
        <w:t xml:space="preserve"> rent, a security deposit, and moving expenses), more subsidized rental housing is necessary to offer more diverse and affordable housing options, particularly for the community’s most vulnerable residents and its workforce.  </w:t>
      </w:r>
      <w:r w:rsidRPr="00B11277">
        <w:rPr>
          <w:rFonts w:asciiTheme="minorHAnsi" w:hAnsiTheme="minorHAnsi"/>
          <w:sz w:val="22"/>
          <w:szCs w:val="22"/>
        </w:rPr>
        <w:lastRenderedPageBreak/>
        <w:t>Additionally, almost all state subsidies are targeted to rental development</w:t>
      </w:r>
      <w:r w:rsidR="00EE1AD5" w:rsidRPr="00B11277">
        <w:rPr>
          <w:rFonts w:asciiTheme="minorHAnsi" w:hAnsiTheme="minorHAnsi"/>
          <w:sz w:val="22"/>
          <w:szCs w:val="22"/>
        </w:rPr>
        <w:t xml:space="preserve"> which enables the Town to leverage </w:t>
      </w:r>
      <w:r w:rsidR="00921765" w:rsidRPr="00B11277">
        <w:rPr>
          <w:rFonts w:asciiTheme="minorHAnsi" w:hAnsiTheme="minorHAnsi"/>
          <w:sz w:val="22"/>
          <w:szCs w:val="22"/>
        </w:rPr>
        <w:t>any</w:t>
      </w:r>
      <w:r w:rsidR="00EE1AD5" w:rsidRPr="00B11277">
        <w:rPr>
          <w:rFonts w:asciiTheme="minorHAnsi" w:hAnsiTheme="minorHAnsi"/>
          <w:sz w:val="22"/>
          <w:szCs w:val="22"/>
        </w:rPr>
        <w:t xml:space="preserve"> local investment</w:t>
      </w:r>
      <w:r w:rsidR="008C4494">
        <w:rPr>
          <w:rFonts w:asciiTheme="minorHAnsi" w:hAnsiTheme="minorHAnsi"/>
          <w:sz w:val="22"/>
          <w:szCs w:val="22"/>
        </w:rPr>
        <w:t xml:space="preserve"> and build at some </w:t>
      </w:r>
      <w:r w:rsidR="00D2754D">
        <w:rPr>
          <w:rFonts w:asciiTheme="minorHAnsi" w:hAnsiTheme="minorHAnsi"/>
          <w:sz w:val="22"/>
          <w:szCs w:val="22"/>
        </w:rPr>
        <w:t xml:space="preserve">higher </w:t>
      </w:r>
      <w:r w:rsidR="008C4494">
        <w:rPr>
          <w:rFonts w:asciiTheme="minorHAnsi" w:hAnsiTheme="minorHAnsi"/>
          <w:sz w:val="22"/>
          <w:szCs w:val="22"/>
        </w:rPr>
        <w:t>scale</w:t>
      </w:r>
      <w:r w:rsidRPr="00B11277">
        <w:rPr>
          <w:rFonts w:asciiTheme="minorHAnsi" w:hAnsiTheme="minorHAnsi"/>
          <w:sz w:val="22"/>
          <w:szCs w:val="22"/>
        </w:rPr>
        <w:t xml:space="preserve">. </w:t>
      </w:r>
    </w:p>
    <w:p w14:paraId="7CEE0ED8" w14:textId="1E19030F" w:rsidR="007918C1" w:rsidRDefault="007918C1" w:rsidP="0042546C">
      <w:pPr>
        <w:pStyle w:val="BodyTextIndent"/>
        <w:spacing w:after="0"/>
        <w:ind w:left="0"/>
        <w:jc w:val="both"/>
        <w:rPr>
          <w:rFonts w:asciiTheme="minorHAnsi" w:hAnsiTheme="minorHAnsi"/>
          <w:sz w:val="22"/>
          <w:szCs w:val="22"/>
        </w:rPr>
      </w:pPr>
    </w:p>
    <w:p w14:paraId="40971683" w14:textId="77777777" w:rsidR="00757B6A" w:rsidRPr="00B11277" w:rsidRDefault="00757B6A" w:rsidP="0042546C">
      <w:pPr>
        <w:pStyle w:val="BodyTextIndent"/>
        <w:spacing w:after="0"/>
        <w:ind w:left="0"/>
        <w:jc w:val="both"/>
        <w:rPr>
          <w:rFonts w:asciiTheme="minorHAnsi" w:hAnsiTheme="minorHAnsi"/>
          <w:sz w:val="22"/>
          <w:szCs w:val="22"/>
        </w:rPr>
      </w:pPr>
    </w:p>
    <w:p w14:paraId="53BC6A41" w14:textId="77777777" w:rsidR="007918C1" w:rsidRPr="00B11277" w:rsidRDefault="007918C1" w:rsidP="0042546C">
      <w:pPr>
        <w:pStyle w:val="Footer"/>
        <w:jc w:val="both"/>
        <w:rPr>
          <w:rFonts w:asciiTheme="minorHAnsi" w:hAnsiTheme="minorHAnsi" w:cs="Lucida Sans Unicode"/>
          <w:b/>
          <w:i/>
          <w:iCs/>
          <w:sz w:val="22"/>
          <w:szCs w:val="22"/>
        </w:rPr>
      </w:pPr>
      <w:r w:rsidRPr="00B11277">
        <w:rPr>
          <w:rFonts w:asciiTheme="minorHAnsi" w:hAnsiTheme="minorHAnsi" w:cs="Lucida Sans Unicode"/>
          <w:b/>
          <w:i/>
          <w:iCs/>
          <w:sz w:val="22"/>
          <w:szCs w:val="22"/>
        </w:rPr>
        <w:t>Gaps in Affordability and Access to Affordable Housing – Need affordable homeownership opportunities</w:t>
      </w:r>
    </w:p>
    <w:p w14:paraId="220AFDDF" w14:textId="670B5E28" w:rsidR="006F38A9" w:rsidRPr="002B029B" w:rsidRDefault="007918C1" w:rsidP="006F38A9">
      <w:pPr>
        <w:pStyle w:val="Footer"/>
        <w:tabs>
          <w:tab w:val="left" w:pos="720"/>
        </w:tabs>
        <w:jc w:val="both"/>
        <w:rPr>
          <w:rFonts w:asciiTheme="minorHAnsi" w:hAnsiTheme="minorHAnsi" w:cs="Lucida Sans Unicode"/>
          <w:sz w:val="22"/>
          <w:szCs w:val="22"/>
        </w:rPr>
      </w:pPr>
      <w:r w:rsidRPr="00B11277">
        <w:rPr>
          <w:rFonts w:asciiTheme="minorHAnsi" w:hAnsiTheme="minorHAnsi" w:cs="Lucida Sans Unicode"/>
          <w:sz w:val="22"/>
          <w:szCs w:val="22"/>
        </w:rPr>
        <w:t xml:space="preserve">Housing in </w:t>
      </w:r>
      <w:r w:rsidR="00EE1AD5" w:rsidRPr="00B11277">
        <w:rPr>
          <w:rFonts w:asciiTheme="minorHAnsi" w:hAnsiTheme="minorHAnsi" w:cs="Lucida Sans Unicode"/>
          <w:sz w:val="22"/>
          <w:szCs w:val="22"/>
        </w:rPr>
        <w:t>Needham</w:t>
      </w:r>
      <w:r w:rsidRPr="00B11277">
        <w:rPr>
          <w:rFonts w:asciiTheme="minorHAnsi" w:hAnsiTheme="minorHAnsi" w:cs="Lucida Sans Unicode"/>
          <w:sz w:val="22"/>
          <w:szCs w:val="22"/>
        </w:rPr>
        <w:t xml:space="preserve"> is expensive with large gaps </w:t>
      </w:r>
      <w:r w:rsidR="00EE1AD5" w:rsidRPr="00B11277">
        <w:rPr>
          <w:rFonts w:asciiTheme="minorHAnsi" w:hAnsiTheme="minorHAnsi" w:cs="Lucida Sans Unicode"/>
          <w:sz w:val="22"/>
          <w:szCs w:val="22"/>
        </w:rPr>
        <w:t>betwee</w:t>
      </w:r>
      <w:r w:rsidRPr="00B11277">
        <w:rPr>
          <w:rFonts w:asciiTheme="minorHAnsi" w:hAnsiTheme="minorHAnsi" w:cs="Lucida Sans Unicode"/>
          <w:sz w:val="22"/>
          <w:szCs w:val="22"/>
        </w:rPr>
        <w:t>n what housing costs and what many residents can afford.</w:t>
      </w:r>
      <w:r w:rsidR="005E4465" w:rsidRPr="00B11277">
        <w:rPr>
          <w:rFonts w:asciiTheme="minorHAnsi" w:hAnsiTheme="minorHAnsi" w:cs="Lucida Sans Unicode"/>
          <w:sz w:val="22"/>
          <w:szCs w:val="22"/>
        </w:rPr>
        <w:t xml:space="preserve"> There are also substantial cost burdens for owners with incomes at or below 100% AMI. </w:t>
      </w:r>
      <w:r w:rsidRPr="00B11277">
        <w:rPr>
          <w:rFonts w:asciiTheme="minorHAnsi" w:hAnsiTheme="minorHAnsi" w:cs="Lucida Sans Unicode"/>
          <w:sz w:val="22"/>
          <w:szCs w:val="22"/>
        </w:rPr>
        <w:t xml:space="preserve"> Even though </w:t>
      </w:r>
      <w:r w:rsidR="00EE1AD5" w:rsidRPr="00B11277">
        <w:rPr>
          <w:rFonts w:asciiTheme="minorHAnsi" w:hAnsiTheme="minorHAnsi" w:cs="Lucida Sans Unicode"/>
          <w:sz w:val="22"/>
          <w:szCs w:val="22"/>
        </w:rPr>
        <w:t>Needham</w:t>
      </w:r>
      <w:r w:rsidRPr="00B11277">
        <w:rPr>
          <w:rFonts w:asciiTheme="minorHAnsi" w:hAnsiTheme="minorHAnsi" w:cs="Lucida Sans Unicode"/>
          <w:sz w:val="22"/>
          <w:szCs w:val="22"/>
        </w:rPr>
        <w:t xml:space="preserve"> has a very high level of homeownership, at </w:t>
      </w:r>
      <w:r w:rsidR="00EE1AD5" w:rsidRPr="00B11277">
        <w:rPr>
          <w:rFonts w:asciiTheme="minorHAnsi" w:hAnsiTheme="minorHAnsi" w:cs="Lucida Sans Unicode"/>
          <w:sz w:val="22"/>
          <w:szCs w:val="22"/>
        </w:rPr>
        <w:t>84%</w:t>
      </w:r>
      <w:r w:rsidRPr="00B11277">
        <w:rPr>
          <w:rFonts w:asciiTheme="minorHAnsi" w:hAnsiTheme="minorHAnsi" w:cs="Lucida Sans Unicode"/>
          <w:sz w:val="22"/>
          <w:szCs w:val="22"/>
        </w:rPr>
        <w:t xml:space="preserve">, there would be a public benefit for the Town to promote opportunities for younger households to purchase a </w:t>
      </w:r>
      <w:r w:rsidR="00EE1AD5" w:rsidRPr="00B11277">
        <w:rPr>
          <w:rFonts w:asciiTheme="minorHAnsi" w:hAnsiTheme="minorHAnsi" w:cs="Lucida Sans Unicode"/>
          <w:sz w:val="22"/>
          <w:szCs w:val="22"/>
        </w:rPr>
        <w:t>starter ho</w:t>
      </w:r>
      <w:r w:rsidR="005E4465" w:rsidRPr="00B11277">
        <w:rPr>
          <w:rFonts w:asciiTheme="minorHAnsi" w:hAnsiTheme="minorHAnsi" w:cs="Lucida Sans Unicode"/>
          <w:sz w:val="22"/>
          <w:szCs w:val="22"/>
        </w:rPr>
        <w:t>me</w:t>
      </w:r>
      <w:r w:rsidRPr="00B11277">
        <w:rPr>
          <w:rFonts w:asciiTheme="minorHAnsi" w:hAnsiTheme="minorHAnsi" w:cs="Lucida Sans Unicode"/>
          <w:sz w:val="22"/>
          <w:szCs w:val="22"/>
        </w:rPr>
        <w:t xml:space="preserve"> and establish roots in the community. </w:t>
      </w:r>
      <w:r w:rsidR="005E4465" w:rsidRPr="00B11277">
        <w:rPr>
          <w:rFonts w:asciiTheme="minorHAnsi" w:hAnsiTheme="minorHAnsi" w:cs="Lucida Sans Unicode"/>
          <w:sz w:val="22"/>
          <w:szCs w:val="22"/>
        </w:rPr>
        <w:t>A</w:t>
      </w:r>
      <w:r w:rsidRPr="00B11277">
        <w:rPr>
          <w:rFonts w:asciiTheme="minorHAnsi" w:hAnsiTheme="minorHAnsi" w:cs="Lucida Sans Unicode"/>
          <w:sz w:val="22"/>
          <w:szCs w:val="22"/>
        </w:rPr>
        <w:t xml:space="preserve"> wider range of affordable ho</w:t>
      </w:r>
      <w:r w:rsidR="006F38A9">
        <w:rPr>
          <w:rFonts w:asciiTheme="minorHAnsi" w:hAnsiTheme="minorHAnsi" w:cs="Lucida Sans Unicode"/>
          <w:sz w:val="22"/>
          <w:szCs w:val="22"/>
        </w:rPr>
        <w:t>meownership</w:t>
      </w:r>
      <w:r w:rsidRPr="00B11277">
        <w:rPr>
          <w:rFonts w:asciiTheme="minorHAnsi" w:hAnsiTheme="minorHAnsi" w:cs="Lucida Sans Unicode"/>
          <w:sz w:val="22"/>
          <w:szCs w:val="22"/>
        </w:rPr>
        <w:t xml:space="preserve"> options is </w:t>
      </w:r>
      <w:r w:rsidR="005E4465" w:rsidRPr="00B11277">
        <w:rPr>
          <w:rFonts w:asciiTheme="minorHAnsi" w:hAnsiTheme="minorHAnsi" w:cs="Lucida Sans Unicode"/>
          <w:sz w:val="22"/>
          <w:szCs w:val="22"/>
        </w:rPr>
        <w:t xml:space="preserve">also </w:t>
      </w:r>
      <w:r w:rsidRPr="00B11277">
        <w:rPr>
          <w:rFonts w:asciiTheme="minorHAnsi" w:hAnsiTheme="minorHAnsi" w:cs="Lucida Sans Unicode"/>
          <w:sz w:val="22"/>
          <w:szCs w:val="22"/>
        </w:rPr>
        <w:t xml:space="preserve">needed for municipal employees, other </w:t>
      </w:r>
      <w:r w:rsidR="008C4494">
        <w:rPr>
          <w:rFonts w:asciiTheme="minorHAnsi" w:hAnsiTheme="minorHAnsi" w:cs="Lucida Sans Unicode"/>
          <w:sz w:val="22"/>
          <w:szCs w:val="22"/>
        </w:rPr>
        <w:t>local</w:t>
      </w:r>
      <w:r w:rsidRPr="00B11277">
        <w:rPr>
          <w:rFonts w:asciiTheme="minorHAnsi" w:hAnsiTheme="minorHAnsi" w:cs="Lucida Sans Unicode"/>
          <w:sz w:val="22"/>
          <w:szCs w:val="22"/>
        </w:rPr>
        <w:t xml:space="preserve"> employees, and seniors looking to downsize.  </w:t>
      </w:r>
      <w:r w:rsidR="005E4465" w:rsidRPr="00B11277">
        <w:rPr>
          <w:rFonts w:asciiTheme="minorHAnsi" w:hAnsiTheme="minorHAnsi" w:cs="Lucida Sans Unicode"/>
          <w:sz w:val="22"/>
          <w:szCs w:val="22"/>
        </w:rPr>
        <w:t xml:space="preserve">Many </w:t>
      </w:r>
      <w:r w:rsidR="00867B6D">
        <w:rPr>
          <w:rFonts w:asciiTheme="minorHAnsi" w:hAnsiTheme="minorHAnsi" w:cs="Lucida Sans Unicode"/>
          <w:sz w:val="22"/>
          <w:szCs w:val="22"/>
        </w:rPr>
        <w:t>older adults</w:t>
      </w:r>
      <w:r w:rsidR="005E4465" w:rsidRPr="00B11277">
        <w:rPr>
          <w:rFonts w:asciiTheme="minorHAnsi" w:hAnsiTheme="minorHAnsi" w:cs="Lucida Sans Unicode"/>
          <w:sz w:val="22"/>
          <w:szCs w:val="22"/>
        </w:rPr>
        <w:t xml:space="preserve"> are living in homes that are larger than they need, costly to maintain, and potentially isolating</w:t>
      </w:r>
      <w:r w:rsidR="00921765" w:rsidRPr="00B11277">
        <w:rPr>
          <w:rFonts w:asciiTheme="minorHAnsi" w:hAnsiTheme="minorHAnsi" w:cs="Lucida Sans Unicode"/>
          <w:sz w:val="22"/>
          <w:szCs w:val="22"/>
        </w:rPr>
        <w:t>;</w:t>
      </w:r>
      <w:r w:rsidR="005E4465" w:rsidRPr="00B11277">
        <w:rPr>
          <w:rFonts w:asciiTheme="minorHAnsi" w:hAnsiTheme="minorHAnsi" w:cs="Lucida Sans Unicode"/>
          <w:sz w:val="22"/>
          <w:szCs w:val="22"/>
        </w:rPr>
        <w:t xml:space="preserve"> but there are limited alternatives that better address their current lifestyles, resources, and potential special needs</w:t>
      </w:r>
      <w:r w:rsidR="006F38A9">
        <w:rPr>
          <w:rFonts w:asciiTheme="minorHAnsi" w:hAnsiTheme="minorHAnsi" w:cs="Lucida Sans Unicode"/>
          <w:sz w:val="22"/>
          <w:szCs w:val="22"/>
        </w:rPr>
        <w:t xml:space="preserve">, such as condominiums with elevator access. </w:t>
      </w:r>
    </w:p>
    <w:p w14:paraId="3F07A51E" w14:textId="77777777" w:rsidR="007918C1" w:rsidRPr="00B11277" w:rsidRDefault="007918C1" w:rsidP="0042546C">
      <w:pPr>
        <w:pStyle w:val="BodyTextIndent"/>
        <w:spacing w:after="0"/>
        <w:ind w:left="0"/>
        <w:jc w:val="both"/>
        <w:rPr>
          <w:rFonts w:asciiTheme="minorHAnsi" w:hAnsiTheme="minorHAnsi"/>
          <w:sz w:val="22"/>
          <w:szCs w:val="22"/>
        </w:rPr>
      </w:pPr>
    </w:p>
    <w:p w14:paraId="235656ED" w14:textId="77777777" w:rsidR="007918C1" w:rsidRPr="00B11277" w:rsidRDefault="007918C1" w:rsidP="0042546C">
      <w:pPr>
        <w:pStyle w:val="Footer"/>
        <w:jc w:val="both"/>
        <w:rPr>
          <w:rFonts w:asciiTheme="minorHAnsi" w:hAnsiTheme="minorHAnsi" w:cs="Lucida Sans Unicode"/>
          <w:b/>
          <w:bCs/>
          <w:i/>
          <w:iCs/>
          <w:sz w:val="22"/>
          <w:szCs w:val="22"/>
        </w:rPr>
      </w:pPr>
      <w:r w:rsidRPr="00B11277">
        <w:rPr>
          <w:rFonts w:asciiTheme="minorHAnsi" w:hAnsiTheme="minorHAnsi" w:cs="Lucida Sans Unicode"/>
          <w:b/>
          <w:bCs/>
          <w:i/>
          <w:iCs/>
          <w:sz w:val="22"/>
          <w:szCs w:val="22"/>
        </w:rPr>
        <w:t>Special Needs Housing – Need barrier-free units and supportive services</w:t>
      </w:r>
    </w:p>
    <w:p w14:paraId="42519292" w14:textId="419BF893" w:rsidR="007918C1" w:rsidRPr="00B11277" w:rsidRDefault="00AA41EC" w:rsidP="00326A00">
      <w:pPr>
        <w:ind w:right="90"/>
        <w:jc w:val="both"/>
        <w:rPr>
          <w:rFonts w:asciiTheme="minorHAnsi" w:hAnsiTheme="minorHAnsi" w:cs="Lucida Sans Unicode"/>
          <w:sz w:val="22"/>
          <w:szCs w:val="22"/>
        </w:rPr>
      </w:pPr>
      <w:r>
        <w:rPr>
          <w:rFonts w:ascii="Calibri" w:hAnsi="Calibri"/>
          <w:sz w:val="22"/>
          <w:szCs w:val="22"/>
        </w:rPr>
        <w:t>An estimated 2,262</w:t>
      </w:r>
      <w:r w:rsidRPr="004E50E7">
        <w:rPr>
          <w:rFonts w:ascii="Calibri" w:hAnsi="Calibri"/>
          <w:sz w:val="22"/>
          <w:szCs w:val="22"/>
        </w:rPr>
        <w:t xml:space="preserve"> residents, or </w:t>
      </w:r>
      <w:r>
        <w:rPr>
          <w:rFonts w:ascii="Calibri" w:hAnsi="Calibri"/>
          <w:sz w:val="22"/>
          <w:szCs w:val="22"/>
        </w:rPr>
        <w:t>7.4</w:t>
      </w:r>
      <w:r w:rsidRPr="004E50E7">
        <w:rPr>
          <w:rFonts w:ascii="Calibri" w:hAnsi="Calibri"/>
          <w:sz w:val="22"/>
          <w:szCs w:val="22"/>
        </w:rPr>
        <w:t xml:space="preserve">% of all </w:t>
      </w:r>
      <w:r>
        <w:rPr>
          <w:rFonts w:ascii="Calibri" w:hAnsi="Calibri"/>
          <w:sz w:val="22"/>
          <w:szCs w:val="22"/>
        </w:rPr>
        <w:t xml:space="preserve">civilian, noninstitutionalized </w:t>
      </w:r>
      <w:r w:rsidRPr="004E50E7">
        <w:rPr>
          <w:rFonts w:ascii="Calibri" w:hAnsi="Calibri"/>
          <w:sz w:val="22"/>
          <w:szCs w:val="22"/>
        </w:rPr>
        <w:t xml:space="preserve">residents, </w:t>
      </w:r>
      <w:r>
        <w:rPr>
          <w:rFonts w:ascii="Calibri" w:hAnsi="Calibri"/>
          <w:sz w:val="22"/>
          <w:szCs w:val="22"/>
        </w:rPr>
        <w:t xml:space="preserve">identified themselves as having </w:t>
      </w:r>
      <w:r w:rsidRPr="004E50E7">
        <w:rPr>
          <w:rFonts w:ascii="Calibri" w:hAnsi="Calibri"/>
          <w:sz w:val="22"/>
          <w:szCs w:val="22"/>
        </w:rPr>
        <w:t>a disability.</w:t>
      </w:r>
      <w:r w:rsidRPr="004E50E7">
        <w:rPr>
          <w:rStyle w:val="FootnoteReference"/>
          <w:sz w:val="22"/>
          <w:szCs w:val="22"/>
        </w:rPr>
        <w:footnoteReference w:id="7"/>
      </w:r>
      <w:r w:rsidRPr="004E50E7">
        <w:rPr>
          <w:rFonts w:ascii="Calibri" w:hAnsi="Calibri"/>
          <w:sz w:val="22"/>
          <w:szCs w:val="22"/>
        </w:rPr>
        <w:t xml:space="preserve">  </w:t>
      </w:r>
      <w:r w:rsidR="007918C1" w:rsidRPr="00B11277">
        <w:rPr>
          <w:rFonts w:asciiTheme="minorHAnsi" w:hAnsiTheme="minorHAnsi" w:cs="Lucida Sans Unicode"/>
          <w:sz w:val="22"/>
          <w:szCs w:val="22"/>
        </w:rPr>
        <w:t xml:space="preserve">Given this level as well as the aging of the population, greater emphasis should be placed on housing that </w:t>
      </w:r>
      <w:r w:rsidR="00867B6D">
        <w:rPr>
          <w:rFonts w:asciiTheme="minorHAnsi" w:hAnsiTheme="minorHAnsi" w:cs="Lucida Sans Unicode"/>
          <w:sz w:val="22"/>
          <w:szCs w:val="22"/>
        </w:rPr>
        <w:t>is linked to</w:t>
      </w:r>
      <w:r w:rsidR="007918C1" w:rsidRPr="00B11277">
        <w:rPr>
          <w:rFonts w:asciiTheme="minorHAnsi" w:hAnsiTheme="minorHAnsi" w:cs="Lucida Sans Unicode"/>
          <w:sz w:val="22"/>
          <w:szCs w:val="22"/>
        </w:rPr>
        <w:t xml:space="preserve"> </w:t>
      </w:r>
      <w:r w:rsidR="00867B6D">
        <w:rPr>
          <w:rFonts w:asciiTheme="minorHAnsi" w:hAnsiTheme="minorHAnsi" w:cs="Lucida Sans Unicode"/>
          <w:sz w:val="22"/>
          <w:szCs w:val="22"/>
        </w:rPr>
        <w:t xml:space="preserve">appropriate </w:t>
      </w:r>
      <w:r w:rsidR="007918C1" w:rsidRPr="00B11277">
        <w:rPr>
          <w:rFonts w:asciiTheme="minorHAnsi" w:hAnsiTheme="minorHAnsi" w:cs="Lucida Sans Unicode"/>
          <w:sz w:val="22"/>
          <w:szCs w:val="22"/>
        </w:rPr>
        <w:t xml:space="preserve">supportive services and </w:t>
      </w:r>
      <w:r w:rsidR="00921765" w:rsidRPr="00B11277">
        <w:rPr>
          <w:rFonts w:asciiTheme="minorHAnsi" w:hAnsiTheme="minorHAnsi" w:cs="Lucida Sans Unicode"/>
          <w:sz w:val="22"/>
          <w:szCs w:val="22"/>
        </w:rPr>
        <w:t xml:space="preserve">promotes </w:t>
      </w:r>
      <w:r w:rsidR="007918C1" w:rsidRPr="00B11277">
        <w:rPr>
          <w:rFonts w:asciiTheme="minorHAnsi" w:hAnsiTheme="minorHAnsi" w:cs="Lucida Sans Unicode"/>
          <w:sz w:val="22"/>
          <w:szCs w:val="22"/>
        </w:rPr>
        <w:t xml:space="preserve">increased conformance with universal design guidelines for handicapped accessibility, adaptability and </w:t>
      </w:r>
      <w:r w:rsidR="00DE7559" w:rsidRPr="00B11277">
        <w:rPr>
          <w:rFonts w:asciiTheme="minorHAnsi" w:hAnsiTheme="minorHAnsi" w:cs="Lucida Sans Unicode"/>
          <w:sz w:val="22"/>
          <w:szCs w:val="22"/>
        </w:rPr>
        <w:t>“</w:t>
      </w:r>
      <w:r w:rsidR="007918C1" w:rsidRPr="00B11277">
        <w:rPr>
          <w:rFonts w:asciiTheme="minorHAnsi" w:hAnsiTheme="minorHAnsi" w:cs="Lucida Sans Unicode"/>
          <w:sz w:val="22"/>
          <w:szCs w:val="22"/>
        </w:rPr>
        <w:t>visitability</w:t>
      </w:r>
      <w:r w:rsidR="00DE7559" w:rsidRPr="00B11277">
        <w:rPr>
          <w:rFonts w:asciiTheme="minorHAnsi" w:hAnsiTheme="minorHAnsi" w:cs="Lucida Sans Unicode"/>
          <w:sz w:val="22"/>
          <w:szCs w:val="22"/>
        </w:rPr>
        <w:t>”</w:t>
      </w:r>
      <w:r w:rsidR="007918C1" w:rsidRPr="00B11277">
        <w:rPr>
          <w:rFonts w:asciiTheme="minorHAnsi" w:hAnsiTheme="minorHAnsi" w:cs="Lucida Sans Unicode"/>
          <w:sz w:val="22"/>
          <w:szCs w:val="22"/>
        </w:rPr>
        <w:t>.</w:t>
      </w:r>
      <w:r>
        <w:rPr>
          <w:rFonts w:asciiTheme="minorHAnsi" w:hAnsiTheme="minorHAnsi" w:cs="Lucida Sans Unicode"/>
          <w:sz w:val="22"/>
          <w:szCs w:val="22"/>
        </w:rPr>
        <w:t xml:space="preserve">  </w:t>
      </w:r>
      <w:r w:rsidR="00086140">
        <w:rPr>
          <w:rFonts w:asciiTheme="minorHAnsi" w:hAnsiTheme="minorHAnsi" w:cs="Lucida Sans Unicode"/>
          <w:sz w:val="22"/>
          <w:szCs w:val="22"/>
        </w:rPr>
        <w:t>Beyond the increasing needs of older adults, t</w:t>
      </w:r>
      <w:r w:rsidR="00425A7C">
        <w:rPr>
          <w:rFonts w:asciiTheme="minorHAnsi" w:hAnsiTheme="minorHAnsi" w:cs="Lucida Sans Unicode"/>
          <w:sz w:val="22"/>
          <w:szCs w:val="22"/>
        </w:rPr>
        <w:t xml:space="preserve">his planning process </w:t>
      </w:r>
      <w:r w:rsidR="00086140">
        <w:rPr>
          <w:rFonts w:asciiTheme="minorHAnsi" w:hAnsiTheme="minorHAnsi" w:cs="Lucida Sans Unicode"/>
          <w:sz w:val="22"/>
          <w:szCs w:val="22"/>
        </w:rPr>
        <w:t xml:space="preserve">attracted </w:t>
      </w:r>
      <w:r w:rsidR="003A39AA">
        <w:rPr>
          <w:rFonts w:asciiTheme="minorHAnsi" w:hAnsiTheme="minorHAnsi" w:cs="Lucida Sans Unicode"/>
          <w:sz w:val="22"/>
          <w:szCs w:val="22"/>
        </w:rPr>
        <w:t>input from parents who find it difficult to secure suitable housing for their children with disabilities when they turn 22.</w:t>
      </w:r>
    </w:p>
    <w:p w14:paraId="46117936" w14:textId="77777777" w:rsidR="00FF1DA6" w:rsidRDefault="00FF1DA6" w:rsidP="00FF1DA6">
      <w:pPr>
        <w:jc w:val="both"/>
        <w:rPr>
          <w:rFonts w:asciiTheme="minorHAnsi" w:hAnsiTheme="minorHAnsi" w:cs="Lucida Sans Unicode"/>
          <w:sz w:val="22"/>
          <w:szCs w:val="22"/>
        </w:rPr>
      </w:pPr>
    </w:p>
    <w:p w14:paraId="27467827" w14:textId="4EC4E83F" w:rsidR="004E03CE" w:rsidRDefault="004E03CE" w:rsidP="004E03CE">
      <w:pPr>
        <w:tabs>
          <w:tab w:val="num" w:pos="720"/>
        </w:tabs>
        <w:ind w:left="720" w:right="-720" w:hanging="720"/>
        <w:jc w:val="both"/>
        <w:rPr>
          <w:rFonts w:ascii="Calibri" w:hAnsi="Calibri" w:cs="Lucida Sans Unicode"/>
          <w:b/>
          <w:color w:val="002060"/>
        </w:rPr>
      </w:pPr>
      <w:r>
        <w:rPr>
          <w:rFonts w:ascii="Calibri" w:hAnsi="Calibri" w:cs="Lucida Sans Unicode"/>
          <w:b/>
          <w:color w:val="002060"/>
        </w:rPr>
        <w:t>B</w:t>
      </w:r>
      <w:r w:rsidRPr="003D4A5A">
        <w:rPr>
          <w:rFonts w:ascii="Calibri" w:hAnsi="Calibri" w:cs="Lucida Sans Unicode"/>
          <w:b/>
          <w:color w:val="002060"/>
        </w:rPr>
        <w:t>.</w:t>
      </w:r>
      <w:r w:rsidRPr="003D4A5A">
        <w:rPr>
          <w:rFonts w:ascii="Calibri" w:hAnsi="Calibri" w:cs="Lucida Sans Unicode"/>
          <w:b/>
          <w:color w:val="002060"/>
        </w:rPr>
        <w:tab/>
      </w:r>
      <w:r>
        <w:rPr>
          <w:rFonts w:ascii="Calibri" w:hAnsi="Calibri" w:cs="Lucida Sans Unicode"/>
          <w:b/>
          <w:color w:val="002060"/>
        </w:rPr>
        <w:t>SUMMARY OF HOUSING STRATEGIES</w:t>
      </w:r>
    </w:p>
    <w:p w14:paraId="730E93FF" w14:textId="7380AA80" w:rsidR="004E03CE" w:rsidRPr="004E03CE" w:rsidRDefault="004E03CE" w:rsidP="004E03CE">
      <w:pPr>
        <w:tabs>
          <w:tab w:val="num" w:pos="720"/>
        </w:tabs>
        <w:ind w:left="720" w:right="-720" w:hanging="720"/>
        <w:jc w:val="both"/>
        <w:rPr>
          <w:rFonts w:ascii="Calibri" w:hAnsi="Calibri" w:cs="Lucida Sans Unicode"/>
          <w:b/>
          <w:color w:val="FF0000"/>
        </w:rPr>
      </w:pPr>
      <w:r>
        <w:rPr>
          <w:rFonts w:ascii="Calibri" w:hAnsi="Calibri" w:cs="Lucida Sans Unicode"/>
          <w:b/>
          <w:color w:val="FF0000"/>
        </w:rPr>
        <w:t>TBD</w:t>
      </w:r>
    </w:p>
    <w:p w14:paraId="52AF39BA" w14:textId="77777777" w:rsidR="004E03CE" w:rsidRPr="002B029B" w:rsidRDefault="004E03CE" w:rsidP="007918C1">
      <w:pPr>
        <w:ind w:left="360" w:right="-720"/>
        <w:jc w:val="both"/>
        <w:rPr>
          <w:rFonts w:asciiTheme="minorHAnsi" w:hAnsiTheme="minorHAnsi" w:cs="Lucida Sans Unicode"/>
          <w:sz w:val="22"/>
          <w:szCs w:val="22"/>
        </w:rPr>
      </w:pPr>
    </w:p>
    <w:p w14:paraId="53BA6CA0" w14:textId="77777777" w:rsidR="00D6148B" w:rsidRDefault="00D6148B" w:rsidP="00D6148B">
      <w:pPr>
        <w:pStyle w:val="Header"/>
        <w:tabs>
          <w:tab w:val="clear" w:pos="4680"/>
          <w:tab w:val="center" w:pos="720"/>
        </w:tabs>
        <w:ind w:left="1080"/>
        <w:jc w:val="both"/>
        <w:rPr>
          <w:rFonts w:ascii="Calibri" w:hAnsi="Calibri"/>
          <w:b/>
          <w:color w:val="002060"/>
          <w:sz w:val="22"/>
          <w:szCs w:val="22"/>
        </w:rPr>
        <w:sectPr w:rsidR="00D6148B" w:rsidSect="003533DF">
          <w:headerReference w:type="default" r:id="rId14"/>
          <w:footerReference w:type="default" r:id="rId15"/>
          <w:pgSz w:w="12240" w:h="15840"/>
          <w:pgMar w:top="1440" w:right="1440" w:bottom="1440" w:left="1440" w:header="720" w:footer="720" w:gutter="0"/>
          <w:pgNumType w:start="1"/>
          <w:cols w:space="720"/>
          <w:docGrid w:linePitch="360"/>
        </w:sectPr>
      </w:pPr>
    </w:p>
    <w:p w14:paraId="77745059" w14:textId="32B306B5" w:rsidR="00CE0594" w:rsidRDefault="00CE0594" w:rsidP="005D3FC9">
      <w:pPr>
        <w:pStyle w:val="Header"/>
        <w:numPr>
          <w:ilvl w:val="0"/>
          <w:numId w:val="16"/>
        </w:numPr>
        <w:tabs>
          <w:tab w:val="clear" w:pos="4680"/>
          <w:tab w:val="center" w:pos="720"/>
        </w:tabs>
        <w:ind w:hanging="1080"/>
        <w:jc w:val="both"/>
        <w:rPr>
          <w:rFonts w:ascii="Calibri" w:hAnsi="Calibri"/>
          <w:b/>
          <w:color w:val="002060"/>
          <w:sz w:val="28"/>
          <w:szCs w:val="28"/>
        </w:rPr>
      </w:pPr>
      <w:r w:rsidRPr="00CE0594">
        <w:rPr>
          <w:rFonts w:ascii="Calibri" w:hAnsi="Calibri"/>
          <w:b/>
          <w:color w:val="002060"/>
          <w:sz w:val="28"/>
          <w:szCs w:val="28"/>
        </w:rPr>
        <w:lastRenderedPageBreak/>
        <w:t>INTRODUCTION</w:t>
      </w:r>
    </w:p>
    <w:p w14:paraId="7A6AA62A" w14:textId="77777777" w:rsidR="00245260" w:rsidRDefault="00245260" w:rsidP="00224778">
      <w:pPr>
        <w:rPr>
          <w:rFonts w:ascii="Calibri" w:hAnsi="Calibri"/>
          <w:b/>
          <w:bCs/>
          <w:color w:val="002060"/>
        </w:rPr>
      </w:pPr>
    </w:p>
    <w:p w14:paraId="1F930342" w14:textId="6CD31F74" w:rsidR="00224778" w:rsidRPr="00224778" w:rsidRDefault="00224778" w:rsidP="00224778">
      <w:pPr>
        <w:rPr>
          <w:rFonts w:ascii="Calibri" w:hAnsi="Calibri"/>
          <w:b/>
          <w:bCs/>
          <w:color w:val="002060"/>
        </w:rPr>
      </w:pPr>
      <w:r w:rsidRPr="00224778">
        <w:rPr>
          <w:rFonts w:ascii="Calibri" w:hAnsi="Calibri"/>
          <w:b/>
          <w:bCs/>
          <w:color w:val="002060"/>
        </w:rPr>
        <w:t>A.</w:t>
      </w:r>
      <w:r w:rsidRPr="00224778">
        <w:rPr>
          <w:rFonts w:ascii="Calibri" w:hAnsi="Calibri"/>
          <w:b/>
          <w:bCs/>
          <w:color w:val="002060"/>
        </w:rPr>
        <w:tab/>
        <w:t>Purpose of the Project</w:t>
      </w:r>
    </w:p>
    <w:p w14:paraId="6246B16D" w14:textId="7CD59599" w:rsidR="00224778" w:rsidRPr="00224778" w:rsidRDefault="00224778" w:rsidP="00224778">
      <w:pPr>
        <w:jc w:val="both"/>
        <w:rPr>
          <w:rFonts w:asciiTheme="minorHAnsi" w:hAnsiTheme="minorHAnsi" w:cstheme="minorHAnsi"/>
          <w:sz w:val="22"/>
          <w:szCs w:val="22"/>
        </w:rPr>
      </w:pPr>
      <w:r w:rsidRPr="00224778">
        <w:rPr>
          <w:rFonts w:asciiTheme="minorHAnsi" w:hAnsiTheme="minorHAnsi" w:cstheme="minorHAnsi"/>
          <w:sz w:val="22"/>
          <w:szCs w:val="22"/>
        </w:rPr>
        <w:t xml:space="preserve">This Housing </w:t>
      </w:r>
      <w:r>
        <w:rPr>
          <w:rFonts w:asciiTheme="minorHAnsi" w:hAnsiTheme="minorHAnsi" w:cstheme="minorHAnsi"/>
          <w:sz w:val="22"/>
          <w:szCs w:val="22"/>
        </w:rPr>
        <w:t>Plan represents</w:t>
      </w:r>
      <w:r w:rsidRPr="00224778">
        <w:rPr>
          <w:rFonts w:asciiTheme="minorHAnsi" w:hAnsiTheme="minorHAnsi" w:cstheme="minorHAnsi"/>
          <w:sz w:val="22"/>
          <w:szCs w:val="22"/>
        </w:rPr>
        <w:t xml:space="preserve"> an effort to update and augment information that was included in an Affordable Housing Plan, completed in 200</w:t>
      </w:r>
      <w:r w:rsidR="00487742">
        <w:rPr>
          <w:rFonts w:asciiTheme="minorHAnsi" w:hAnsiTheme="minorHAnsi" w:cstheme="minorHAnsi"/>
          <w:sz w:val="22"/>
          <w:szCs w:val="22"/>
        </w:rPr>
        <w:t>7</w:t>
      </w:r>
      <w:r w:rsidRPr="00224778">
        <w:rPr>
          <w:rFonts w:asciiTheme="minorHAnsi" w:hAnsiTheme="minorHAnsi" w:cstheme="minorHAnsi"/>
          <w:sz w:val="22"/>
          <w:szCs w:val="22"/>
        </w:rPr>
        <w:t xml:space="preserve">, that was the culmination of a lengthy process on the part of the Town of Needham to better understand and address unmet community housing needs.  </w:t>
      </w:r>
      <w:r w:rsidRPr="00224778">
        <w:rPr>
          <w:rFonts w:asciiTheme="minorHAnsi" w:hAnsiTheme="minorHAnsi" w:cstheme="minorHAnsi"/>
          <w:bCs/>
          <w:sz w:val="22"/>
          <w:szCs w:val="22"/>
        </w:rPr>
        <w:t>In the fall of 2002, the Needham Select</w:t>
      </w:r>
      <w:r w:rsidR="009B35AA">
        <w:rPr>
          <w:rFonts w:asciiTheme="minorHAnsi" w:hAnsiTheme="minorHAnsi" w:cstheme="minorHAnsi"/>
          <w:bCs/>
          <w:sz w:val="22"/>
          <w:szCs w:val="22"/>
        </w:rPr>
        <w:t xml:space="preserve"> Board</w:t>
      </w:r>
      <w:r w:rsidRPr="00224778">
        <w:rPr>
          <w:rFonts w:asciiTheme="minorHAnsi" w:hAnsiTheme="minorHAnsi" w:cstheme="minorHAnsi"/>
          <w:bCs/>
          <w:sz w:val="22"/>
          <w:szCs w:val="22"/>
        </w:rPr>
        <w:t xml:space="preserve"> created the Comprehensive Community Housing Study Committee, made up of both Town officials and local residents, to </w:t>
      </w:r>
      <w:r w:rsidRPr="00224778">
        <w:rPr>
          <w:rFonts w:asciiTheme="minorHAnsi" w:hAnsiTheme="minorHAnsi" w:cstheme="minorHAnsi"/>
          <w:sz w:val="22"/>
          <w:szCs w:val="22"/>
        </w:rPr>
        <w:t>coordinate, research and make recommendations to the Town about ways to maintain and increase housing options for individuals and families with low- and moderate-incomes.</w:t>
      </w:r>
      <w:r w:rsidRPr="00224778">
        <w:rPr>
          <w:rFonts w:asciiTheme="minorHAnsi" w:hAnsiTheme="minorHAnsi" w:cstheme="minorHAnsi"/>
          <w:bCs/>
          <w:sz w:val="22"/>
          <w:szCs w:val="22"/>
        </w:rPr>
        <w:t xml:space="preserve"> </w:t>
      </w:r>
      <w:r w:rsidRPr="00224778">
        <w:rPr>
          <w:rFonts w:asciiTheme="minorHAnsi" w:hAnsiTheme="minorHAnsi" w:cstheme="minorHAnsi"/>
          <w:sz w:val="22"/>
          <w:szCs w:val="22"/>
        </w:rPr>
        <w:t>With assistance from Needham’s Planning Department, consultants and state funding under Executive Order 418, the Committee undertook a vigorous program of research and public workshops for more than a year that culminated in a</w:t>
      </w:r>
      <w:r w:rsidR="006F38A9">
        <w:rPr>
          <w:rFonts w:asciiTheme="minorHAnsi" w:hAnsiTheme="minorHAnsi" w:cstheme="minorHAnsi"/>
          <w:sz w:val="22"/>
          <w:szCs w:val="22"/>
        </w:rPr>
        <w:t xml:space="preserve"> completed</w:t>
      </w:r>
      <w:r w:rsidRPr="00224778">
        <w:rPr>
          <w:rFonts w:asciiTheme="minorHAnsi" w:hAnsiTheme="minorHAnsi" w:cstheme="minorHAnsi"/>
          <w:sz w:val="22"/>
          <w:szCs w:val="22"/>
        </w:rPr>
        <w:t xml:space="preserve"> Community Housing Plan.  </w:t>
      </w:r>
    </w:p>
    <w:p w14:paraId="4D118248" w14:textId="77777777" w:rsidR="00224778" w:rsidRPr="00224778" w:rsidRDefault="00224778" w:rsidP="00224778">
      <w:pPr>
        <w:pStyle w:val="Title"/>
        <w:jc w:val="both"/>
        <w:rPr>
          <w:rFonts w:asciiTheme="minorHAnsi" w:hAnsiTheme="minorHAnsi" w:cstheme="minorHAnsi"/>
          <w:b w:val="0"/>
          <w:bCs w:val="0"/>
          <w:sz w:val="22"/>
          <w:szCs w:val="22"/>
        </w:rPr>
      </w:pPr>
    </w:p>
    <w:p w14:paraId="33BFDC46" w14:textId="43FBB1F9"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In June of 2006, the</w:t>
      </w:r>
      <w:r w:rsidR="009B35AA">
        <w:rPr>
          <w:rFonts w:asciiTheme="minorHAnsi" w:hAnsiTheme="minorHAnsi" w:cstheme="minorHAnsi"/>
          <w:b w:val="0"/>
          <w:bCs w:val="0"/>
          <w:sz w:val="22"/>
          <w:szCs w:val="22"/>
        </w:rPr>
        <w:t xml:space="preserve"> Select</w:t>
      </w:r>
      <w:r w:rsidRPr="00224778">
        <w:rPr>
          <w:rFonts w:asciiTheme="minorHAnsi" w:hAnsiTheme="minorHAnsi" w:cstheme="minorHAnsi"/>
          <w:b w:val="0"/>
          <w:bCs w:val="0"/>
          <w:sz w:val="22"/>
          <w:szCs w:val="22"/>
        </w:rPr>
        <w:t xml:space="preserve"> Board appointed a special Affordable Housing Plan Task Force to work with the Town Planner and selected consultants on updating the </w:t>
      </w:r>
      <w:r w:rsidR="006F38A9">
        <w:rPr>
          <w:rFonts w:asciiTheme="minorHAnsi" w:hAnsiTheme="minorHAnsi" w:cstheme="minorHAnsi"/>
          <w:b w:val="0"/>
          <w:bCs w:val="0"/>
          <w:sz w:val="22"/>
          <w:szCs w:val="22"/>
        </w:rPr>
        <w:t xml:space="preserve">above-mentioned </w:t>
      </w:r>
      <w:r w:rsidRPr="00224778">
        <w:rPr>
          <w:rFonts w:asciiTheme="minorHAnsi" w:hAnsiTheme="minorHAnsi" w:cstheme="minorHAnsi"/>
          <w:b w:val="0"/>
          <w:bCs w:val="0"/>
          <w:sz w:val="22"/>
          <w:szCs w:val="22"/>
        </w:rPr>
        <w:t>Executive Order 418 Community Housing Plan to make sure it reflected current market conditions, the status of housing initiatives, and the updated HUD Consolidated Plan,</w:t>
      </w:r>
      <w:r w:rsidR="006F38A9">
        <w:rPr>
          <w:rStyle w:val="FootnoteReference"/>
          <w:rFonts w:asciiTheme="minorHAnsi" w:hAnsiTheme="minorHAnsi" w:cstheme="minorHAnsi"/>
          <w:b w:val="0"/>
          <w:bCs w:val="0"/>
          <w:sz w:val="22"/>
          <w:szCs w:val="22"/>
        </w:rPr>
        <w:footnoteReference w:id="8"/>
      </w:r>
      <w:r w:rsidRPr="00224778">
        <w:rPr>
          <w:rFonts w:asciiTheme="minorHAnsi" w:hAnsiTheme="minorHAnsi" w:cstheme="minorHAnsi"/>
          <w:b w:val="0"/>
          <w:bCs w:val="0"/>
          <w:sz w:val="22"/>
          <w:szCs w:val="22"/>
        </w:rPr>
        <w:t xml:space="preserve"> setting production goals over the next decade to get to the </w:t>
      </w:r>
      <w:r w:rsidR="006F38A9">
        <w:rPr>
          <w:rFonts w:asciiTheme="minorHAnsi" w:hAnsiTheme="minorHAnsi" w:cstheme="minorHAnsi"/>
          <w:b w:val="0"/>
          <w:bCs w:val="0"/>
          <w:sz w:val="22"/>
          <w:szCs w:val="22"/>
        </w:rPr>
        <w:t>Chapter 40B</w:t>
      </w:r>
      <w:r w:rsidR="00D924E3">
        <w:rPr>
          <w:rFonts w:asciiTheme="minorHAnsi" w:hAnsiTheme="minorHAnsi" w:cstheme="minorHAnsi"/>
          <w:b w:val="0"/>
          <w:bCs w:val="0"/>
          <w:sz w:val="22"/>
          <w:szCs w:val="22"/>
        </w:rPr>
        <w:t xml:space="preserve"> </w:t>
      </w:r>
      <w:r w:rsidRPr="00224778">
        <w:rPr>
          <w:rFonts w:asciiTheme="minorHAnsi" w:hAnsiTheme="minorHAnsi" w:cstheme="minorHAnsi"/>
          <w:b w:val="0"/>
          <w:bCs w:val="0"/>
          <w:sz w:val="22"/>
          <w:szCs w:val="22"/>
        </w:rPr>
        <w:t xml:space="preserve">10% state affordable housing goal.  </w:t>
      </w:r>
    </w:p>
    <w:p w14:paraId="62723448" w14:textId="77777777" w:rsidR="00224778" w:rsidRPr="00224778" w:rsidRDefault="00224778" w:rsidP="00224778">
      <w:pPr>
        <w:pStyle w:val="Title"/>
        <w:jc w:val="both"/>
        <w:rPr>
          <w:rFonts w:asciiTheme="minorHAnsi" w:hAnsiTheme="minorHAnsi" w:cstheme="minorHAnsi"/>
          <w:b w:val="0"/>
          <w:bCs w:val="0"/>
          <w:sz w:val="22"/>
          <w:szCs w:val="22"/>
        </w:rPr>
      </w:pPr>
    </w:p>
    <w:p w14:paraId="524C999A" w14:textId="30D8FBBE" w:rsidR="00224778" w:rsidRPr="00224778" w:rsidRDefault="00224778" w:rsidP="00224778">
      <w:pPr>
        <w:pStyle w:val="BodyTextIndent"/>
        <w:spacing w:after="0"/>
        <w:ind w:left="0"/>
        <w:jc w:val="both"/>
        <w:rPr>
          <w:rFonts w:asciiTheme="minorHAnsi" w:hAnsiTheme="minorHAnsi" w:cstheme="minorHAnsi"/>
          <w:sz w:val="22"/>
          <w:szCs w:val="22"/>
        </w:rPr>
      </w:pPr>
      <w:r w:rsidRPr="00224778">
        <w:rPr>
          <w:rFonts w:asciiTheme="minorHAnsi" w:hAnsiTheme="minorHAnsi" w:cstheme="minorHAnsi"/>
          <w:sz w:val="22"/>
          <w:szCs w:val="22"/>
        </w:rPr>
        <w:t xml:space="preserve">More than </w:t>
      </w:r>
      <w:r w:rsidR="00BC4528">
        <w:rPr>
          <w:rFonts w:asciiTheme="minorHAnsi" w:hAnsiTheme="minorHAnsi" w:cstheme="minorHAnsi"/>
          <w:sz w:val="22"/>
          <w:szCs w:val="22"/>
        </w:rPr>
        <w:t>15</w:t>
      </w:r>
      <w:r w:rsidRPr="00224778">
        <w:rPr>
          <w:rFonts w:asciiTheme="minorHAnsi" w:hAnsiTheme="minorHAnsi" w:cstheme="minorHAnsi"/>
          <w:sz w:val="22"/>
          <w:szCs w:val="22"/>
        </w:rPr>
        <w:t xml:space="preserve"> years have passed since then and significant progress has been made with respect to boosting housing production and building local capacity for promoting additional housing opportunities including the following important accomplishments:</w:t>
      </w:r>
      <w:r w:rsidR="00BC4528">
        <w:rPr>
          <w:rStyle w:val="FootnoteReference"/>
          <w:rFonts w:asciiTheme="minorHAnsi" w:hAnsiTheme="minorHAnsi" w:cstheme="minorHAnsi"/>
          <w:sz w:val="22"/>
          <w:szCs w:val="22"/>
        </w:rPr>
        <w:footnoteReference w:id="9"/>
      </w:r>
    </w:p>
    <w:p w14:paraId="5FAD94EA" w14:textId="77777777" w:rsidR="00224778" w:rsidRPr="00224778" w:rsidRDefault="00224778" w:rsidP="00224778">
      <w:pPr>
        <w:pStyle w:val="BodyTextIndent"/>
        <w:spacing w:after="0"/>
        <w:ind w:left="0"/>
        <w:jc w:val="both"/>
        <w:rPr>
          <w:rFonts w:asciiTheme="minorHAnsi" w:hAnsiTheme="minorHAnsi" w:cstheme="minorHAnsi"/>
          <w:sz w:val="22"/>
          <w:szCs w:val="22"/>
        </w:rPr>
      </w:pPr>
    </w:p>
    <w:p w14:paraId="2136CB66" w14:textId="77ED6C5B" w:rsidR="00224778" w:rsidRPr="002C42B8" w:rsidRDefault="00224778" w:rsidP="00487742">
      <w:pPr>
        <w:pStyle w:val="BodyTextIndent"/>
        <w:numPr>
          <w:ilvl w:val="0"/>
          <w:numId w:val="17"/>
        </w:numPr>
        <w:spacing w:after="0"/>
        <w:ind w:left="720" w:hanging="360"/>
        <w:jc w:val="both"/>
        <w:rPr>
          <w:rFonts w:asciiTheme="minorHAnsi" w:hAnsiTheme="minorHAnsi" w:cstheme="minorHAnsi"/>
          <w:sz w:val="22"/>
          <w:szCs w:val="22"/>
        </w:rPr>
      </w:pPr>
      <w:r w:rsidRPr="00224778">
        <w:rPr>
          <w:rFonts w:asciiTheme="minorHAnsi" w:hAnsiTheme="minorHAnsi" w:cstheme="minorHAnsi"/>
          <w:sz w:val="22"/>
          <w:szCs w:val="22"/>
        </w:rPr>
        <w:t>Since 2006, the Town’s</w:t>
      </w:r>
      <w:r w:rsidR="00D924E3">
        <w:rPr>
          <w:rFonts w:asciiTheme="minorHAnsi" w:hAnsiTheme="minorHAnsi" w:cstheme="minorHAnsi"/>
          <w:sz w:val="22"/>
          <w:szCs w:val="22"/>
        </w:rPr>
        <w:t xml:space="preserve"> Chapter 40B</w:t>
      </w:r>
      <w:r w:rsidRPr="00224778">
        <w:rPr>
          <w:rFonts w:asciiTheme="minorHAnsi" w:hAnsiTheme="minorHAnsi" w:cstheme="minorHAnsi"/>
          <w:sz w:val="22"/>
          <w:szCs w:val="22"/>
        </w:rPr>
        <w:t xml:space="preserve"> Subsidized Housing Inventory increased from 498 to </w:t>
      </w:r>
      <w:r w:rsidR="00BC4528">
        <w:rPr>
          <w:rFonts w:asciiTheme="minorHAnsi" w:hAnsiTheme="minorHAnsi" w:cstheme="minorHAnsi"/>
          <w:sz w:val="22"/>
          <w:szCs w:val="22"/>
        </w:rPr>
        <w:t>1,410</w:t>
      </w:r>
      <w:r w:rsidRPr="00224778">
        <w:rPr>
          <w:rFonts w:asciiTheme="minorHAnsi" w:hAnsiTheme="minorHAnsi" w:cstheme="minorHAnsi"/>
          <w:sz w:val="22"/>
          <w:szCs w:val="22"/>
        </w:rPr>
        <w:t xml:space="preserve"> units or from </w:t>
      </w:r>
      <w:r w:rsidRPr="002C42B8">
        <w:rPr>
          <w:rFonts w:asciiTheme="minorHAnsi" w:hAnsiTheme="minorHAnsi" w:cstheme="minorHAnsi"/>
          <w:sz w:val="22"/>
          <w:szCs w:val="22"/>
        </w:rPr>
        <w:t xml:space="preserve">4.61% to </w:t>
      </w:r>
      <w:r w:rsidR="00BC4528" w:rsidRPr="002C42B8">
        <w:rPr>
          <w:rFonts w:asciiTheme="minorHAnsi" w:hAnsiTheme="minorHAnsi" w:cstheme="minorHAnsi"/>
          <w:sz w:val="22"/>
          <w:szCs w:val="22"/>
        </w:rPr>
        <w:t>1</w:t>
      </w:r>
      <w:r w:rsidR="00974839">
        <w:rPr>
          <w:rFonts w:asciiTheme="minorHAnsi" w:hAnsiTheme="minorHAnsi" w:cstheme="minorHAnsi"/>
          <w:sz w:val="22"/>
          <w:szCs w:val="22"/>
        </w:rPr>
        <w:t>1</w:t>
      </w:r>
      <w:r w:rsidR="00BC4528" w:rsidRPr="002C42B8">
        <w:rPr>
          <w:rFonts w:asciiTheme="minorHAnsi" w:hAnsiTheme="minorHAnsi" w:cstheme="minorHAnsi"/>
          <w:sz w:val="22"/>
          <w:szCs w:val="22"/>
        </w:rPr>
        <w:t>.</w:t>
      </w:r>
      <w:r w:rsidR="00974839">
        <w:rPr>
          <w:rFonts w:asciiTheme="minorHAnsi" w:hAnsiTheme="minorHAnsi" w:cstheme="minorHAnsi"/>
          <w:sz w:val="22"/>
          <w:szCs w:val="22"/>
        </w:rPr>
        <w:t>8</w:t>
      </w:r>
      <w:r w:rsidR="00487742" w:rsidRPr="002C42B8">
        <w:rPr>
          <w:rFonts w:asciiTheme="minorHAnsi" w:hAnsiTheme="minorHAnsi" w:cstheme="minorHAnsi"/>
          <w:sz w:val="22"/>
          <w:szCs w:val="22"/>
        </w:rPr>
        <w:t>6</w:t>
      </w:r>
      <w:r w:rsidRPr="002C42B8">
        <w:rPr>
          <w:rFonts w:asciiTheme="minorHAnsi" w:hAnsiTheme="minorHAnsi" w:cstheme="minorHAnsi"/>
          <w:sz w:val="22"/>
          <w:szCs w:val="22"/>
        </w:rPr>
        <w:t xml:space="preserve">% of its year-round housing stock for a net increase of </w:t>
      </w:r>
      <w:r w:rsidR="00BC4528" w:rsidRPr="002C42B8">
        <w:rPr>
          <w:rFonts w:asciiTheme="minorHAnsi" w:hAnsiTheme="minorHAnsi" w:cstheme="minorHAnsi"/>
          <w:sz w:val="22"/>
          <w:szCs w:val="22"/>
        </w:rPr>
        <w:t>912 state-approved</w:t>
      </w:r>
      <w:r w:rsidRPr="002C42B8">
        <w:rPr>
          <w:rFonts w:asciiTheme="minorHAnsi" w:hAnsiTheme="minorHAnsi" w:cstheme="minorHAnsi"/>
          <w:sz w:val="22"/>
          <w:szCs w:val="22"/>
        </w:rPr>
        <w:t xml:space="preserve"> units.</w:t>
      </w:r>
    </w:p>
    <w:p w14:paraId="2CE03643" w14:textId="6A62DF7C" w:rsidR="00BC4528" w:rsidRPr="002C42B8" w:rsidRDefault="00224778" w:rsidP="000A6E84">
      <w:pPr>
        <w:pStyle w:val="Title"/>
        <w:numPr>
          <w:ilvl w:val="0"/>
          <w:numId w:val="17"/>
        </w:numPr>
        <w:ind w:left="720" w:hanging="360"/>
        <w:jc w:val="both"/>
        <w:rPr>
          <w:rFonts w:asciiTheme="minorHAnsi" w:hAnsiTheme="minorHAnsi" w:cstheme="minorHAnsi"/>
          <w:b w:val="0"/>
          <w:bCs w:val="0"/>
          <w:sz w:val="22"/>
          <w:szCs w:val="22"/>
        </w:rPr>
      </w:pPr>
      <w:r w:rsidRPr="002C42B8">
        <w:rPr>
          <w:rFonts w:asciiTheme="minorHAnsi" w:hAnsiTheme="minorHAnsi" w:cstheme="minorHAnsi"/>
          <w:b w:val="0"/>
          <w:bCs w:val="0"/>
          <w:sz w:val="22"/>
          <w:szCs w:val="22"/>
        </w:rPr>
        <w:t>The Needham Housing Authority</w:t>
      </w:r>
      <w:r w:rsidR="00BC4528" w:rsidRPr="002C42B8">
        <w:rPr>
          <w:rFonts w:asciiTheme="minorHAnsi" w:hAnsiTheme="minorHAnsi" w:cstheme="minorHAnsi"/>
          <w:b w:val="0"/>
          <w:bCs w:val="0"/>
          <w:sz w:val="22"/>
          <w:szCs w:val="22"/>
        </w:rPr>
        <w:t xml:space="preserve"> (NHA)</w:t>
      </w:r>
      <w:r w:rsidRPr="002C42B8">
        <w:rPr>
          <w:rFonts w:asciiTheme="minorHAnsi" w:hAnsiTheme="minorHAnsi" w:cstheme="minorHAnsi"/>
          <w:b w:val="0"/>
          <w:bCs w:val="0"/>
          <w:sz w:val="22"/>
          <w:szCs w:val="22"/>
        </w:rPr>
        <w:t xml:space="preserve"> coordinated a $2 million modernization project that expanded the living areas and renovated the kitchens of units in </w:t>
      </w:r>
      <w:r w:rsidR="00D924E3">
        <w:rPr>
          <w:rFonts w:asciiTheme="minorHAnsi" w:hAnsiTheme="minorHAnsi" w:cstheme="minorHAnsi"/>
          <w:b w:val="0"/>
          <w:bCs w:val="0"/>
          <w:sz w:val="22"/>
          <w:szCs w:val="22"/>
        </w:rPr>
        <w:t xml:space="preserve">its </w:t>
      </w:r>
      <w:r w:rsidRPr="002C42B8">
        <w:rPr>
          <w:rFonts w:asciiTheme="minorHAnsi" w:hAnsiTheme="minorHAnsi" w:cstheme="minorHAnsi"/>
          <w:b w:val="0"/>
          <w:bCs w:val="0"/>
          <w:sz w:val="22"/>
          <w:szCs w:val="22"/>
        </w:rPr>
        <w:t>High Rock Estates project.  Additionally, they redeveloped 20 single-family houses into 20 duplexes</w:t>
      </w:r>
      <w:r w:rsidR="00487742" w:rsidRPr="002C42B8">
        <w:rPr>
          <w:rFonts w:asciiTheme="minorHAnsi" w:hAnsiTheme="minorHAnsi"/>
          <w:b w:val="0"/>
          <w:bCs w:val="0"/>
          <w:sz w:val="22"/>
          <w:szCs w:val="22"/>
        </w:rPr>
        <w:t xml:space="preserve"> with a net gain of 20 units.  Ten of these </w:t>
      </w:r>
      <w:r w:rsidR="00D924E3">
        <w:rPr>
          <w:rFonts w:asciiTheme="minorHAnsi" w:hAnsiTheme="minorHAnsi"/>
          <w:b w:val="0"/>
          <w:bCs w:val="0"/>
          <w:sz w:val="22"/>
          <w:szCs w:val="22"/>
        </w:rPr>
        <w:t xml:space="preserve">duplexes </w:t>
      </w:r>
      <w:r w:rsidR="00487742" w:rsidRPr="002C42B8">
        <w:rPr>
          <w:rFonts w:asciiTheme="minorHAnsi" w:hAnsiTheme="minorHAnsi"/>
          <w:b w:val="0"/>
          <w:bCs w:val="0"/>
          <w:sz w:val="22"/>
          <w:szCs w:val="22"/>
        </w:rPr>
        <w:t>were redeveloped into 20 condominium</w:t>
      </w:r>
      <w:r w:rsidR="00D924E3">
        <w:rPr>
          <w:rFonts w:asciiTheme="minorHAnsi" w:hAnsiTheme="minorHAnsi"/>
          <w:b w:val="0"/>
          <w:bCs w:val="0"/>
          <w:sz w:val="22"/>
          <w:szCs w:val="22"/>
        </w:rPr>
        <w:t xml:space="preserve"> unit</w:t>
      </w:r>
      <w:r w:rsidR="00487742" w:rsidRPr="002C42B8">
        <w:rPr>
          <w:rFonts w:asciiTheme="minorHAnsi" w:hAnsiTheme="minorHAnsi"/>
          <w:b w:val="0"/>
          <w:bCs w:val="0"/>
          <w:sz w:val="22"/>
          <w:szCs w:val="22"/>
        </w:rPr>
        <w:t xml:space="preserve">s with a separate Homeowners Association but also receiving NHA support in maintaining and managing the units.  The remaining </w:t>
      </w:r>
      <w:r w:rsidR="002C42B8" w:rsidRPr="002C42B8">
        <w:rPr>
          <w:rFonts w:asciiTheme="minorHAnsi" w:hAnsiTheme="minorHAnsi"/>
          <w:b w:val="0"/>
          <w:bCs w:val="0"/>
          <w:sz w:val="22"/>
          <w:szCs w:val="22"/>
        </w:rPr>
        <w:t>units</w:t>
      </w:r>
      <w:r w:rsidR="00487742" w:rsidRPr="002C42B8">
        <w:rPr>
          <w:rFonts w:asciiTheme="minorHAnsi" w:hAnsiTheme="minorHAnsi"/>
          <w:b w:val="0"/>
          <w:bCs w:val="0"/>
          <w:sz w:val="22"/>
          <w:szCs w:val="22"/>
        </w:rPr>
        <w:t xml:space="preserve"> are rentals </w:t>
      </w:r>
      <w:r w:rsidR="00D924E3">
        <w:rPr>
          <w:rFonts w:asciiTheme="minorHAnsi" w:hAnsiTheme="minorHAnsi"/>
          <w:b w:val="0"/>
          <w:bCs w:val="0"/>
          <w:sz w:val="22"/>
          <w:szCs w:val="22"/>
        </w:rPr>
        <w:t xml:space="preserve">owned and </w:t>
      </w:r>
      <w:r w:rsidR="00487742" w:rsidRPr="002C42B8">
        <w:rPr>
          <w:rFonts w:asciiTheme="minorHAnsi" w:hAnsiTheme="minorHAnsi"/>
          <w:b w:val="0"/>
          <w:bCs w:val="0"/>
          <w:sz w:val="22"/>
          <w:szCs w:val="22"/>
        </w:rPr>
        <w:t>managed by NHA.</w:t>
      </w:r>
      <w:r w:rsidR="002C42B8" w:rsidRPr="002C42B8">
        <w:rPr>
          <w:rFonts w:asciiTheme="minorHAnsi" w:hAnsiTheme="minorHAnsi"/>
          <w:b w:val="0"/>
          <w:bCs w:val="0"/>
          <w:sz w:val="22"/>
          <w:szCs w:val="22"/>
        </w:rPr>
        <w:t xml:space="preserve"> </w:t>
      </w:r>
      <w:r w:rsidR="00BC4528" w:rsidRPr="002C42B8">
        <w:rPr>
          <w:rFonts w:asciiTheme="minorHAnsi" w:hAnsiTheme="minorHAnsi" w:cstheme="minorHAnsi"/>
          <w:b w:val="0"/>
          <w:bCs w:val="0"/>
          <w:sz w:val="22"/>
          <w:szCs w:val="22"/>
        </w:rPr>
        <w:t>Since then, NHA prepared a Facilities Master Plan and has brought on consultants to guide it in the next phases of modernization and redevelopment work.</w:t>
      </w:r>
    </w:p>
    <w:p w14:paraId="66468B17" w14:textId="12EA956D" w:rsidR="00224778" w:rsidRPr="00224778" w:rsidRDefault="00224778" w:rsidP="00487742">
      <w:pPr>
        <w:pStyle w:val="BodyTextIndent"/>
        <w:numPr>
          <w:ilvl w:val="0"/>
          <w:numId w:val="17"/>
        </w:numPr>
        <w:spacing w:after="0"/>
        <w:ind w:left="720" w:hanging="360"/>
        <w:jc w:val="both"/>
        <w:rPr>
          <w:rFonts w:asciiTheme="minorHAnsi" w:hAnsiTheme="minorHAnsi" w:cstheme="minorHAnsi"/>
          <w:sz w:val="22"/>
          <w:szCs w:val="22"/>
        </w:rPr>
      </w:pPr>
      <w:r w:rsidRPr="00224778">
        <w:rPr>
          <w:rFonts w:asciiTheme="minorHAnsi" w:hAnsiTheme="minorHAnsi" w:cstheme="minorHAnsi"/>
          <w:sz w:val="22"/>
          <w:szCs w:val="22"/>
        </w:rPr>
        <w:t>The Town approved new zoning that created special districts to promote housing</w:t>
      </w:r>
      <w:r w:rsidR="00867B6D">
        <w:rPr>
          <w:rFonts w:asciiTheme="minorHAnsi" w:hAnsiTheme="minorHAnsi" w:cstheme="minorHAnsi"/>
          <w:sz w:val="22"/>
          <w:szCs w:val="22"/>
        </w:rPr>
        <w:t xml:space="preserve"> for older adults</w:t>
      </w:r>
      <w:r w:rsidRPr="00224778">
        <w:rPr>
          <w:rFonts w:asciiTheme="minorHAnsi" w:hAnsiTheme="minorHAnsi" w:cstheme="minorHAnsi"/>
          <w:sz w:val="22"/>
          <w:szCs w:val="22"/>
        </w:rPr>
        <w:t xml:space="preserve"> and mixed-use development with mandates for the inclusion of affordable units.</w:t>
      </w:r>
      <w:r w:rsidR="00BC4528">
        <w:rPr>
          <w:rFonts w:asciiTheme="minorHAnsi" w:hAnsiTheme="minorHAnsi" w:cstheme="minorHAnsi"/>
          <w:sz w:val="22"/>
          <w:szCs w:val="22"/>
        </w:rPr>
        <w:t xml:space="preserve">  It also approved a bylaw to allow the creation of Accessory Dwelling Units (ADUs)</w:t>
      </w:r>
      <w:r w:rsidR="002C42B8">
        <w:rPr>
          <w:rFonts w:asciiTheme="minorHAnsi" w:hAnsiTheme="minorHAnsi" w:cstheme="minorHAnsi"/>
          <w:sz w:val="22"/>
          <w:szCs w:val="22"/>
        </w:rPr>
        <w:t xml:space="preserve"> for family members or caregivers</w:t>
      </w:r>
      <w:r w:rsidR="00BC4528">
        <w:rPr>
          <w:rFonts w:asciiTheme="minorHAnsi" w:hAnsiTheme="minorHAnsi" w:cstheme="minorHAnsi"/>
          <w:sz w:val="22"/>
          <w:szCs w:val="22"/>
        </w:rPr>
        <w:t>.</w:t>
      </w:r>
    </w:p>
    <w:p w14:paraId="3B52E472" w14:textId="03E49370" w:rsidR="00224778" w:rsidRPr="00224778" w:rsidRDefault="00224778" w:rsidP="00487742">
      <w:pPr>
        <w:pStyle w:val="BodyTextIndent"/>
        <w:numPr>
          <w:ilvl w:val="0"/>
          <w:numId w:val="17"/>
        </w:numPr>
        <w:spacing w:after="0"/>
        <w:ind w:left="720" w:hanging="360"/>
        <w:jc w:val="both"/>
        <w:rPr>
          <w:rFonts w:asciiTheme="minorHAnsi" w:hAnsiTheme="minorHAnsi" w:cstheme="minorHAnsi"/>
          <w:sz w:val="22"/>
          <w:szCs w:val="22"/>
        </w:rPr>
      </w:pPr>
      <w:r w:rsidRPr="00224778">
        <w:rPr>
          <w:rFonts w:asciiTheme="minorHAnsi" w:hAnsiTheme="minorHAnsi" w:cstheme="minorHAnsi"/>
          <w:sz w:val="22"/>
          <w:szCs w:val="22"/>
        </w:rPr>
        <w:t>Significant funding has been committed in support of affordable housing including</w:t>
      </w:r>
      <w:r w:rsidR="00BC4528">
        <w:rPr>
          <w:rFonts w:asciiTheme="minorHAnsi" w:hAnsiTheme="minorHAnsi" w:cstheme="minorHAnsi"/>
          <w:sz w:val="22"/>
          <w:szCs w:val="22"/>
        </w:rPr>
        <w:t xml:space="preserve"> almost</w:t>
      </w:r>
      <w:r w:rsidRPr="00224778">
        <w:rPr>
          <w:rFonts w:asciiTheme="minorHAnsi" w:hAnsiTheme="minorHAnsi" w:cstheme="minorHAnsi"/>
          <w:sz w:val="22"/>
          <w:szCs w:val="22"/>
        </w:rPr>
        <w:t xml:space="preserve"> $1.</w:t>
      </w:r>
      <w:r w:rsidR="00BC4528">
        <w:rPr>
          <w:rFonts w:asciiTheme="minorHAnsi" w:hAnsiTheme="minorHAnsi" w:cstheme="minorHAnsi"/>
          <w:sz w:val="22"/>
          <w:szCs w:val="22"/>
        </w:rPr>
        <w:t>5</w:t>
      </w:r>
      <w:r w:rsidRPr="00224778">
        <w:rPr>
          <w:rFonts w:asciiTheme="minorHAnsi" w:hAnsiTheme="minorHAnsi" w:cstheme="minorHAnsi"/>
          <w:sz w:val="22"/>
          <w:szCs w:val="22"/>
        </w:rPr>
        <w:t xml:space="preserve"> million in Community Preservation </w:t>
      </w:r>
      <w:r w:rsidR="00D924E3">
        <w:rPr>
          <w:rFonts w:asciiTheme="minorHAnsi" w:hAnsiTheme="minorHAnsi" w:cstheme="minorHAnsi"/>
          <w:sz w:val="22"/>
          <w:szCs w:val="22"/>
        </w:rPr>
        <w:t xml:space="preserve">Act (CPA) </w:t>
      </w:r>
      <w:r w:rsidRPr="00224778">
        <w:rPr>
          <w:rFonts w:asciiTheme="minorHAnsi" w:hAnsiTheme="minorHAnsi" w:cstheme="minorHAnsi"/>
          <w:sz w:val="22"/>
          <w:szCs w:val="22"/>
        </w:rPr>
        <w:t xml:space="preserve">funding and $280,000 in </w:t>
      </w:r>
      <w:r w:rsidR="00D924E3">
        <w:rPr>
          <w:rFonts w:asciiTheme="minorHAnsi" w:hAnsiTheme="minorHAnsi" w:cstheme="minorHAnsi"/>
          <w:sz w:val="22"/>
          <w:szCs w:val="22"/>
        </w:rPr>
        <w:t xml:space="preserve">federal </w:t>
      </w:r>
      <w:r w:rsidRPr="00224778">
        <w:rPr>
          <w:rFonts w:asciiTheme="minorHAnsi" w:hAnsiTheme="minorHAnsi" w:cstheme="minorHAnsi"/>
          <w:sz w:val="22"/>
          <w:szCs w:val="22"/>
        </w:rPr>
        <w:t>HOME Program funds.</w:t>
      </w:r>
    </w:p>
    <w:p w14:paraId="7612C340" w14:textId="2EE73066" w:rsidR="00224778" w:rsidRDefault="00224778" w:rsidP="00487742">
      <w:pPr>
        <w:pStyle w:val="BodyTextIndent"/>
        <w:numPr>
          <w:ilvl w:val="0"/>
          <w:numId w:val="17"/>
        </w:numPr>
        <w:spacing w:after="0"/>
        <w:ind w:left="720" w:hanging="360"/>
        <w:jc w:val="both"/>
        <w:rPr>
          <w:rFonts w:asciiTheme="minorHAnsi" w:hAnsiTheme="minorHAnsi" w:cstheme="minorHAnsi"/>
          <w:sz w:val="22"/>
          <w:szCs w:val="22"/>
        </w:rPr>
      </w:pPr>
      <w:r w:rsidRPr="00224778">
        <w:rPr>
          <w:rFonts w:asciiTheme="minorHAnsi" w:hAnsiTheme="minorHAnsi" w:cstheme="minorHAnsi"/>
          <w:sz w:val="22"/>
          <w:szCs w:val="22"/>
        </w:rPr>
        <w:t xml:space="preserve">The Town prepared a permitting guide that clarifies what qualities Needham seeks in housing development, </w:t>
      </w:r>
      <w:r w:rsidR="00D924E3">
        <w:rPr>
          <w:rFonts w:asciiTheme="minorHAnsi" w:hAnsiTheme="minorHAnsi" w:cstheme="minorHAnsi"/>
          <w:sz w:val="22"/>
          <w:szCs w:val="22"/>
        </w:rPr>
        <w:t xml:space="preserve">focused primarily on </w:t>
      </w:r>
      <w:r w:rsidRPr="00224778">
        <w:rPr>
          <w:rFonts w:asciiTheme="minorHAnsi" w:hAnsiTheme="minorHAnsi" w:cstheme="minorHAnsi"/>
          <w:sz w:val="22"/>
          <w:szCs w:val="22"/>
        </w:rPr>
        <w:t>Chapter 40B comprehensive permit projects.</w:t>
      </w:r>
    </w:p>
    <w:p w14:paraId="1487386E" w14:textId="185DE908" w:rsidR="00E81639" w:rsidRPr="00224778" w:rsidRDefault="00E81639" w:rsidP="00487742">
      <w:pPr>
        <w:pStyle w:val="BodyTextIndent"/>
        <w:numPr>
          <w:ilvl w:val="0"/>
          <w:numId w:val="17"/>
        </w:numPr>
        <w:spacing w:after="0"/>
        <w:ind w:left="720" w:hanging="360"/>
        <w:jc w:val="both"/>
        <w:rPr>
          <w:rFonts w:asciiTheme="minorHAnsi" w:hAnsiTheme="minorHAnsi" w:cstheme="minorHAnsi"/>
          <w:sz w:val="22"/>
          <w:szCs w:val="22"/>
        </w:rPr>
      </w:pPr>
      <w:r>
        <w:rPr>
          <w:rFonts w:asciiTheme="minorHAnsi" w:hAnsiTheme="minorHAnsi" w:cstheme="minorHAnsi"/>
          <w:sz w:val="22"/>
          <w:szCs w:val="22"/>
        </w:rPr>
        <w:lastRenderedPageBreak/>
        <w:t>The Town launched new programs</w:t>
      </w:r>
      <w:r w:rsidR="00D924E3">
        <w:rPr>
          <w:rFonts w:asciiTheme="minorHAnsi" w:hAnsiTheme="minorHAnsi" w:cstheme="minorHAnsi"/>
          <w:sz w:val="22"/>
          <w:szCs w:val="22"/>
        </w:rPr>
        <w:t>, one</w:t>
      </w:r>
      <w:r>
        <w:rPr>
          <w:rFonts w:asciiTheme="minorHAnsi" w:hAnsiTheme="minorHAnsi" w:cstheme="minorHAnsi"/>
          <w:sz w:val="22"/>
          <w:szCs w:val="22"/>
        </w:rPr>
        <w:t xml:space="preserve"> to support qualifying tenants in paying their rent during the pandemic and another to help eligible homeowners undertake important health and safety improvements to their homes.</w:t>
      </w:r>
    </w:p>
    <w:p w14:paraId="48D96649" w14:textId="77777777" w:rsidR="00224778" w:rsidRPr="00224778" w:rsidRDefault="00224778" w:rsidP="00224778">
      <w:pPr>
        <w:pStyle w:val="Title"/>
        <w:jc w:val="both"/>
        <w:rPr>
          <w:rFonts w:asciiTheme="minorHAnsi" w:hAnsiTheme="minorHAnsi" w:cstheme="minorHAnsi"/>
          <w:b w:val="0"/>
          <w:bCs w:val="0"/>
          <w:sz w:val="22"/>
          <w:szCs w:val="22"/>
        </w:rPr>
      </w:pPr>
    </w:p>
    <w:p w14:paraId="21148F81" w14:textId="0D0A911E" w:rsidR="00302F7C" w:rsidRPr="00224778" w:rsidRDefault="00224778" w:rsidP="00302F7C">
      <w:pPr>
        <w:pStyle w:val="BodyTextIndent"/>
        <w:spacing w:after="0"/>
        <w:ind w:left="0"/>
        <w:jc w:val="both"/>
        <w:rPr>
          <w:rFonts w:asciiTheme="minorHAnsi" w:hAnsiTheme="minorHAnsi" w:cstheme="minorHAnsi"/>
          <w:sz w:val="22"/>
          <w:szCs w:val="22"/>
        </w:rPr>
      </w:pPr>
      <w:r w:rsidRPr="00302F7C">
        <w:rPr>
          <w:rFonts w:asciiTheme="minorHAnsi" w:hAnsiTheme="minorHAnsi" w:cstheme="minorHAnsi"/>
          <w:sz w:val="22"/>
          <w:szCs w:val="22"/>
        </w:rPr>
        <w:t xml:space="preserve">This Housing </w:t>
      </w:r>
      <w:r w:rsidR="00E81639" w:rsidRPr="00302F7C">
        <w:rPr>
          <w:rFonts w:asciiTheme="minorHAnsi" w:hAnsiTheme="minorHAnsi" w:cstheme="minorHAnsi"/>
          <w:sz w:val="22"/>
          <w:szCs w:val="22"/>
        </w:rPr>
        <w:t>Plan provides a</w:t>
      </w:r>
      <w:r w:rsidRPr="00302F7C">
        <w:rPr>
          <w:rFonts w:asciiTheme="minorHAnsi" w:hAnsiTheme="minorHAnsi" w:cstheme="minorHAnsi"/>
          <w:sz w:val="22"/>
          <w:szCs w:val="22"/>
        </w:rPr>
        <w:t>n opportunity to obtain updated information on local demographic and housing changes and reflect on the ramifications of these changes on current housing needs.  In order to move forward on a proactive housing agenda,</w:t>
      </w:r>
      <w:r w:rsidR="00E81639" w:rsidRPr="00302F7C">
        <w:rPr>
          <w:rFonts w:asciiTheme="minorHAnsi" w:hAnsiTheme="minorHAnsi" w:cstheme="minorHAnsi"/>
          <w:sz w:val="22"/>
          <w:szCs w:val="22"/>
        </w:rPr>
        <w:t xml:space="preserve"> the Town recognizes that it needs</w:t>
      </w:r>
      <w:r w:rsidRPr="00302F7C">
        <w:rPr>
          <w:rFonts w:asciiTheme="minorHAnsi" w:hAnsiTheme="minorHAnsi" w:cstheme="minorHAnsi"/>
          <w:sz w:val="22"/>
          <w:szCs w:val="22"/>
        </w:rPr>
        <w:t xml:space="preserve"> a more current understanding of the local housing dynamic </w:t>
      </w:r>
      <w:r w:rsidR="00E81639" w:rsidRPr="00302F7C">
        <w:rPr>
          <w:rFonts w:asciiTheme="minorHAnsi" w:hAnsiTheme="minorHAnsi" w:cstheme="minorHAnsi"/>
          <w:sz w:val="22"/>
          <w:szCs w:val="22"/>
        </w:rPr>
        <w:t>to</w:t>
      </w:r>
      <w:r w:rsidRPr="00302F7C">
        <w:rPr>
          <w:rFonts w:asciiTheme="minorHAnsi" w:hAnsiTheme="minorHAnsi" w:cstheme="minorHAnsi"/>
          <w:sz w:val="22"/>
          <w:szCs w:val="22"/>
        </w:rPr>
        <w:t xml:space="preserve"> identify and prioritize unmet housing needs in the community</w:t>
      </w:r>
      <w:r w:rsidR="00E81639" w:rsidRPr="00302F7C">
        <w:rPr>
          <w:rFonts w:asciiTheme="minorHAnsi" w:hAnsiTheme="minorHAnsi" w:cstheme="minorHAnsi"/>
          <w:sz w:val="22"/>
          <w:szCs w:val="22"/>
        </w:rPr>
        <w:t xml:space="preserve"> and prepare a plan of action to address them</w:t>
      </w:r>
      <w:r w:rsidRPr="00B870F1">
        <w:rPr>
          <w:rFonts w:asciiTheme="minorHAnsi" w:hAnsiTheme="minorHAnsi" w:cstheme="minorHAnsi"/>
          <w:sz w:val="22"/>
          <w:szCs w:val="22"/>
        </w:rPr>
        <w:t>.</w:t>
      </w:r>
      <w:r w:rsidR="00E81639" w:rsidRPr="00B870F1">
        <w:rPr>
          <w:rFonts w:asciiTheme="minorHAnsi" w:hAnsiTheme="minorHAnsi" w:cstheme="minorHAnsi"/>
          <w:sz w:val="22"/>
          <w:szCs w:val="22"/>
        </w:rPr>
        <w:t xml:space="preserve">  </w:t>
      </w:r>
      <w:r w:rsidR="00B870F1" w:rsidRPr="00B870F1">
        <w:rPr>
          <w:rFonts w:asciiTheme="minorHAnsi" w:hAnsiTheme="minorHAnsi" w:cstheme="minorHAnsi"/>
          <w:sz w:val="22"/>
          <w:szCs w:val="22"/>
        </w:rPr>
        <w:t>This planning effort will</w:t>
      </w:r>
      <w:r w:rsidR="00B870F1">
        <w:rPr>
          <w:rFonts w:asciiTheme="minorHAnsi" w:hAnsiTheme="minorHAnsi" w:cstheme="minorHAnsi"/>
          <w:b/>
          <w:bCs/>
          <w:sz w:val="22"/>
          <w:szCs w:val="22"/>
        </w:rPr>
        <w:t xml:space="preserve"> </w:t>
      </w:r>
      <w:r w:rsidR="00B870F1">
        <w:rPr>
          <w:rFonts w:asciiTheme="minorHAnsi" w:hAnsiTheme="minorHAnsi" w:cstheme="minorHAnsi"/>
          <w:sz w:val="22"/>
          <w:szCs w:val="22"/>
        </w:rPr>
        <w:t xml:space="preserve">enable the Town </w:t>
      </w:r>
      <w:r w:rsidR="00302F7C" w:rsidRPr="00224778">
        <w:rPr>
          <w:rFonts w:asciiTheme="minorHAnsi" w:hAnsiTheme="minorHAnsi" w:cstheme="minorHAnsi"/>
          <w:sz w:val="22"/>
          <w:szCs w:val="22"/>
        </w:rPr>
        <w:t>to document the extent of local need in terms of affordability, accessibility</w:t>
      </w:r>
      <w:r w:rsidR="00974839">
        <w:rPr>
          <w:rFonts w:asciiTheme="minorHAnsi" w:hAnsiTheme="minorHAnsi" w:cstheme="minorHAnsi"/>
          <w:sz w:val="22"/>
          <w:szCs w:val="22"/>
        </w:rPr>
        <w:t>, sustainability,</w:t>
      </w:r>
      <w:r w:rsidR="00302F7C" w:rsidRPr="00224778">
        <w:rPr>
          <w:rFonts w:asciiTheme="minorHAnsi" w:hAnsiTheme="minorHAnsi" w:cstheme="minorHAnsi"/>
          <w:sz w:val="22"/>
          <w:szCs w:val="22"/>
        </w:rPr>
        <w:t xml:space="preserve"> and suitability that will provide input into decision-making on future </w:t>
      </w:r>
      <w:r w:rsidR="00B870F1">
        <w:rPr>
          <w:rFonts w:asciiTheme="minorHAnsi" w:hAnsiTheme="minorHAnsi" w:cstheme="minorHAnsi"/>
          <w:sz w:val="22"/>
          <w:szCs w:val="22"/>
        </w:rPr>
        <w:t xml:space="preserve">regulatory and </w:t>
      </w:r>
      <w:r w:rsidR="00302F7C" w:rsidRPr="00224778">
        <w:rPr>
          <w:rFonts w:asciiTheme="minorHAnsi" w:hAnsiTheme="minorHAnsi" w:cstheme="minorHAnsi"/>
          <w:sz w:val="22"/>
          <w:szCs w:val="22"/>
        </w:rPr>
        <w:t xml:space="preserve">development prospects.  </w:t>
      </w:r>
    </w:p>
    <w:p w14:paraId="5735D80F" w14:textId="2CD20BAD" w:rsidR="00224778" w:rsidRPr="00224778" w:rsidRDefault="00224778" w:rsidP="00224778">
      <w:pPr>
        <w:pStyle w:val="Title"/>
        <w:jc w:val="both"/>
        <w:rPr>
          <w:rFonts w:asciiTheme="minorHAnsi" w:hAnsiTheme="minorHAnsi" w:cstheme="minorHAnsi"/>
          <w:b w:val="0"/>
          <w:bCs w:val="0"/>
          <w:sz w:val="22"/>
          <w:szCs w:val="22"/>
        </w:rPr>
      </w:pPr>
    </w:p>
    <w:p w14:paraId="01E415D7" w14:textId="1FADD5AF" w:rsidR="00302F7C" w:rsidRDefault="00224778" w:rsidP="00224778">
      <w:pPr>
        <w:pStyle w:val="BodyTextIndent"/>
        <w:spacing w:after="0"/>
        <w:ind w:left="0"/>
        <w:jc w:val="both"/>
        <w:rPr>
          <w:rFonts w:asciiTheme="minorHAnsi" w:hAnsiTheme="minorHAnsi" w:cstheme="minorHAnsi"/>
          <w:sz w:val="22"/>
          <w:szCs w:val="22"/>
        </w:rPr>
      </w:pPr>
      <w:r w:rsidRPr="00224778">
        <w:rPr>
          <w:rFonts w:asciiTheme="minorHAnsi" w:hAnsiTheme="minorHAnsi" w:cstheme="minorHAnsi"/>
          <w:sz w:val="22"/>
          <w:szCs w:val="22"/>
        </w:rPr>
        <w:t xml:space="preserve">The Needham </w:t>
      </w:r>
      <w:r w:rsidR="00E81639">
        <w:rPr>
          <w:rFonts w:asciiTheme="minorHAnsi" w:hAnsiTheme="minorHAnsi" w:cstheme="minorHAnsi"/>
          <w:sz w:val="22"/>
          <w:szCs w:val="22"/>
        </w:rPr>
        <w:t>Planning Board has appointed a Working Group of representatives of various Town boards and committees as well as t</w:t>
      </w:r>
      <w:r w:rsidR="002C42B8">
        <w:rPr>
          <w:rFonts w:asciiTheme="minorHAnsi" w:hAnsiTheme="minorHAnsi" w:cstheme="minorHAnsi"/>
          <w:sz w:val="22"/>
          <w:szCs w:val="22"/>
        </w:rPr>
        <w:t>hree</w:t>
      </w:r>
      <w:r w:rsidR="00E81639">
        <w:rPr>
          <w:rFonts w:asciiTheme="minorHAnsi" w:hAnsiTheme="minorHAnsi" w:cstheme="minorHAnsi"/>
          <w:sz w:val="22"/>
          <w:szCs w:val="22"/>
        </w:rPr>
        <w:t xml:space="preserve"> at-large community members</w:t>
      </w:r>
      <w:r w:rsidR="00030049">
        <w:rPr>
          <w:rFonts w:asciiTheme="minorHAnsi" w:hAnsiTheme="minorHAnsi" w:cstheme="minorHAnsi"/>
          <w:sz w:val="22"/>
          <w:szCs w:val="22"/>
        </w:rPr>
        <w:t xml:space="preserve"> to coordinate the planning process</w:t>
      </w:r>
      <w:r w:rsidR="00E81639">
        <w:rPr>
          <w:rFonts w:asciiTheme="minorHAnsi" w:hAnsiTheme="minorHAnsi" w:cstheme="minorHAnsi"/>
          <w:sz w:val="22"/>
          <w:szCs w:val="22"/>
        </w:rPr>
        <w:t>.  Fundamental to this planning effort is a robust community engagement process</w:t>
      </w:r>
      <w:r w:rsidR="00B870F1">
        <w:rPr>
          <w:rFonts w:asciiTheme="minorHAnsi" w:hAnsiTheme="minorHAnsi" w:cstheme="minorHAnsi"/>
          <w:sz w:val="22"/>
          <w:szCs w:val="22"/>
        </w:rPr>
        <w:t xml:space="preserve"> of public forums, interviews, and a survey</w:t>
      </w:r>
      <w:r w:rsidR="00E81639">
        <w:rPr>
          <w:rFonts w:asciiTheme="minorHAnsi" w:hAnsiTheme="minorHAnsi" w:cstheme="minorHAnsi"/>
          <w:sz w:val="22"/>
          <w:szCs w:val="22"/>
        </w:rPr>
        <w:t xml:space="preserve"> to </w:t>
      </w:r>
      <w:r w:rsidR="00302F7C">
        <w:rPr>
          <w:rFonts w:asciiTheme="minorHAnsi" w:hAnsiTheme="minorHAnsi" w:cstheme="minorHAnsi"/>
          <w:sz w:val="22"/>
          <w:szCs w:val="22"/>
        </w:rPr>
        <w:t xml:space="preserve">ensure that residents have opportunities to express their thoughts about local </w:t>
      </w:r>
      <w:r w:rsidR="00B870F1">
        <w:rPr>
          <w:rFonts w:asciiTheme="minorHAnsi" w:hAnsiTheme="minorHAnsi" w:cstheme="minorHAnsi"/>
          <w:sz w:val="22"/>
          <w:szCs w:val="22"/>
        </w:rPr>
        <w:t>housing issues and an action plan.</w:t>
      </w:r>
    </w:p>
    <w:p w14:paraId="2F39C9D3" w14:textId="77777777" w:rsidR="00302F7C" w:rsidRDefault="00302F7C" w:rsidP="00224778">
      <w:pPr>
        <w:pStyle w:val="BodyTextIndent"/>
        <w:spacing w:after="0"/>
        <w:ind w:left="0"/>
        <w:jc w:val="both"/>
        <w:rPr>
          <w:rFonts w:asciiTheme="minorHAnsi" w:hAnsiTheme="minorHAnsi" w:cstheme="minorHAnsi"/>
          <w:sz w:val="22"/>
          <w:szCs w:val="22"/>
        </w:rPr>
      </w:pPr>
    </w:p>
    <w:p w14:paraId="3C539855" w14:textId="4F7DAC56" w:rsidR="00224778" w:rsidRPr="00224778" w:rsidRDefault="00224778" w:rsidP="00224778">
      <w:pPr>
        <w:pStyle w:val="Title"/>
        <w:jc w:val="both"/>
        <w:rPr>
          <w:rFonts w:asciiTheme="minorHAnsi" w:hAnsiTheme="minorHAnsi" w:cstheme="minorHAnsi"/>
          <w:color w:val="002060"/>
          <w:sz w:val="24"/>
        </w:rPr>
      </w:pPr>
      <w:r w:rsidRPr="00224778">
        <w:rPr>
          <w:rFonts w:asciiTheme="minorHAnsi" w:hAnsiTheme="minorHAnsi" w:cstheme="minorHAnsi"/>
          <w:color w:val="002060"/>
          <w:sz w:val="24"/>
        </w:rPr>
        <w:t>B.</w:t>
      </w:r>
      <w:r w:rsidRPr="00224778">
        <w:rPr>
          <w:rFonts w:asciiTheme="minorHAnsi" w:hAnsiTheme="minorHAnsi" w:cstheme="minorHAnsi"/>
          <w:color w:val="002060"/>
          <w:sz w:val="24"/>
        </w:rPr>
        <w:tab/>
        <w:t>Town Overview</w:t>
      </w:r>
    </w:p>
    <w:p w14:paraId="6E07C68C" w14:textId="5058FAAF"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 xml:space="preserve">Needham is a largely residential community that is located on rocky uplands within a loop of the Charles River in the eastern part of Norfolk County, about ten miles southwest of </w:t>
      </w:r>
      <w:r w:rsidR="00D924E3">
        <w:rPr>
          <w:rFonts w:asciiTheme="minorHAnsi" w:hAnsiTheme="minorHAnsi" w:cstheme="minorHAnsi"/>
          <w:b w:val="0"/>
          <w:bCs w:val="0"/>
          <w:sz w:val="22"/>
          <w:szCs w:val="22"/>
        </w:rPr>
        <w:t xml:space="preserve">Downtown </w:t>
      </w:r>
      <w:r w:rsidRPr="00224778">
        <w:rPr>
          <w:rFonts w:asciiTheme="minorHAnsi" w:hAnsiTheme="minorHAnsi" w:cstheme="minorHAnsi"/>
          <w:b w:val="0"/>
          <w:bCs w:val="0"/>
          <w:sz w:val="22"/>
          <w:szCs w:val="22"/>
        </w:rPr>
        <w:t xml:space="preserve">Boston.  The town includes almost 13 square miles and is home to about </w:t>
      </w:r>
      <w:r w:rsidR="00302F7C">
        <w:rPr>
          <w:rFonts w:asciiTheme="minorHAnsi" w:hAnsiTheme="minorHAnsi" w:cstheme="minorHAnsi"/>
          <w:b w:val="0"/>
          <w:bCs w:val="0"/>
          <w:sz w:val="22"/>
          <w:szCs w:val="22"/>
        </w:rPr>
        <w:t>3</w:t>
      </w:r>
      <w:r w:rsidRPr="00224778">
        <w:rPr>
          <w:rFonts w:asciiTheme="minorHAnsi" w:hAnsiTheme="minorHAnsi" w:cstheme="minorHAnsi"/>
          <w:b w:val="0"/>
          <w:bCs w:val="0"/>
          <w:sz w:val="22"/>
          <w:szCs w:val="22"/>
        </w:rPr>
        <w:t xml:space="preserve">2,000 residents.  Neighboring communities are some of the most affluent in the Boston Region and the state including Wellesley on the west and northwest, Newton on the north and northeast, the West Roxbury section of Boston on the east, Dedham on the southeast and south, and Westwood and Dover on the south.  </w:t>
      </w:r>
    </w:p>
    <w:p w14:paraId="3B58E89D" w14:textId="77777777" w:rsidR="00224778" w:rsidRPr="00224778" w:rsidRDefault="00224778" w:rsidP="00224778">
      <w:pPr>
        <w:pStyle w:val="Title"/>
        <w:jc w:val="both"/>
        <w:rPr>
          <w:rFonts w:asciiTheme="minorHAnsi" w:hAnsiTheme="minorHAnsi" w:cstheme="minorHAnsi"/>
          <w:b w:val="0"/>
          <w:bCs w:val="0"/>
          <w:sz w:val="22"/>
          <w:szCs w:val="22"/>
        </w:rPr>
      </w:pPr>
    </w:p>
    <w:p w14:paraId="5CE09D55" w14:textId="16F9FD18"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Needham also has the great advantage of being well positioned with respect to transportation with four stops on the Massachusetts Bay Transit Authority’s (MBTA) commuter rail system</w:t>
      </w:r>
      <w:r w:rsidR="00D924E3">
        <w:rPr>
          <w:rFonts w:asciiTheme="minorHAnsi" w:hAnsiTheme="minorHAnsi" w:cstheme="minorHAnsi"/>
          <w:b w:val="0"/>
          <w:bCs w:val="0"/>
          <w:sz w:val="22"/>
          <w:szCs w:val="22"/>
        </w:rPr>
        <w:t>, a bus route connecting Needham with the MBTA’s Green Line in Newton</w:t>
      </w:r>
      <w:r w:rsidR="009C0C02">
        <w:rPr>
          <w:rFonts w:asciiTheme="minorHAnsi" w:hAnsiTheme="minorHAnsi" w:cstheme="minorHAnsi"/>
          <w:b w:val="0"/>
          <w:bCs w:val="0"/>
          <w:sz w:val="22"/>
          <w:szCs w:val="22"/>
        </w:rPr>
        <w:t>,</w:t>
      </w:r>
      <w:r w:rsidRPr="00224778">
        <w:rPr>
          <w:rFonts w:asciiTheme="minorHAnsi" w:hAnsiTheme="minorHAnsi" w:cstheme="minorHAnsi"/>
          <w:b w:val="0"/>
          <w:bCs w:val="0"/>
          <w:sz w:val="22"/>
          <w:szCs w:val="22"/>
        </w:rPr>
        <w:t xml:space="preserve"> and tremendous highway accessibility that includes Route 9 to the north and Routes 95 and 128 that run through town with two exits in Needham.   </w:t>
      </w:r>
    </w:p>
    <w:p w14:paraId="3000BEF7" w14:textId="77777777" w:rsidR="00224778" w:rsidRPr="00224778" w:rsidRDefault="00224778" w:rsidP="00224778">
      <w:pPr>
        <w:pStyle w:val="Title"/>
        <w:jc w:val="both"/>
        <w:rPr>
          <w:rFonts w:asciiTheme="minorHAnsi" w:hAnsiTheme="minorHAnsi" w:cstheme="minorHAnsi"/>
          <w:b w:val="0"/>
          <w:bCs w:val="0"/>
          <w:sz w:val="22"/>
          <w:szCs w:val="22"/>
        </w:rPr>
      </w:pPr>
    </w:p>
    <w:p w14:paraId="27AAD197" w14:textId="41389BB3" w:rsidR="00224778" w:rsidRPr="00224778" w:rsidRDefault="00BE1C94" w:rsidP="00224778">
      <w:pPr>
        <w:pStyle w:val="Title"/>
        <w:jc w:val="both"/>
        <w:rPr>
          <w:rFonts w:asciiTheme="minorHAnsi" w:hAnsiTheme="minorHAnsi" w:cstheme="minorHAnsi"/>
          <w:b w:val="0"/>
          <w:bCs w:val="0"/>
          <w:sz w:val="22"/>
          <w:szCs w:val="22"/>
        </w:rPr>
      </w:pPr>
      <w:r>
        <w:rPr>
          <w:rFonts w:asciiTheme="minorHAnsi" w:hAnsiTheme="minorHAnsi" w:cstheme="minorHAnsi"/>
          <w:b w:val="0"/>
          <w:bCs w:val="0"/>
          <w:noProof/>
          <w:sz w:val="22"/>
          <w:szCs w:val="22"/>
        </w:rPr>
        <w:drawing>
          <wp:anchor distT="0" distB="0" distL="114300" distR="114300" simplePos="0" relativeHeight="251659776" behindDoc="1" locked="0" layoutInCell="1" allowOverlap="1" wp14:anchorId="2C41B495" wp14:editId="22D78433">
            <wp:simplePos x="0" y="0"/>
            <wp:positionH relativeFrom="column">
              <wp:posOffset>15240</wp:posOffset>
            </wp:positionH>
            <wp:positionV relativeFrom="paragraph">
              <wp:posOffset>975360</wp:posOffset>
            </wp:positionV>
            <wp:extent cx="2613660" cy="1798320"/>
            <wp:effectExtent l="0" t="0" r="0" b="0"/>
            <wp:wrapTight wrapText="bothSides">
              <wp:wrapPolygon edited="0">
                <wp:start x="0" y="0"/>
                <wp:lineTo x="0" y="21280"/>
                <wp:lineTo x="21411" y="21280"/>
                <wp:lineTo x="214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1798320"/>
                    </a:xfrm>
                    <a:prstGeom prst="rect">
                      <a:avLst/>
                    </a:prstGeom>
                    <a:noFill/>
                  </pic:spPr>
                </pic:pic>
              </a:graphicData>
            </a:graphic>
            <wp14:sizeRelH relativeFrom="page">
              <wp14:pctWidth>0</wp14:pctWidth>
            </wp14:sizeRelH>
            <wp14:sizeRelV relativeFrom="page">
              <wp14:pctHeight>0</wp14:pctHeight>
            </wp14:sizeRelV>
          </wp:anchor>
        </w:drawing>
      </w:r>
      <w:r w:rsidR="00224778" w:rsidRPr="00224778">
        <w:rPr>
          <w:rFonts w:asciiTheme="minorHAnsi" w:hAnsiTheme="minorHAnsi" w:cstheme="minorHAnsi"/>
          <w:b w:val="0"/>
          <w:bCs w:val="0"/>
          <w:sz w:val="22"/>
          <w:szCs w:val="22"/>
        </w:rPr>
        <w:t>Needham is also made up of richly diverse environments, ranging from a compact Town Center, outlying areas that are more rural in character, a variety of smaller village centers and residential neighborhoods, as well as substantial and well-planned business areas.  While, Town government remains under s</w:t>
      </w:r>
      <w:r w:rsidR="00B870F1">
        <w:rPr>
          <w:rFonts w:asciiTheme="minorHAnsi" w:hAnsiTheme="minorHAnsi" w:cstheme="minorHAnsi"/>
          <w:b w:val="0"/>
          <w:bCs w:val="0"/>
          <w:sz w:val="22"/>
          <w:szCs w:val="22"/>
        </w:rPr>
        <w:t>ignificant</w:t>
      </w:r>
      <w:r w:rsidR="00224778" w:rsidRPr="00224778">
        <w:rPr>
          <w:rFonts w:asciiTheme="minorHAnsi" w:hAnsiTheme="minorHAnsi" w:cstheme="minorHAnsi"/>
          <w:b w:val="0"/>
          <w:bCs w:val="0"/>
          <w:sz w:val="22"/>
          <w:szCs w:val="22"/>
        </w:rPr>
        <w:t xml:space="preserve"> fiscal pressures, like virtually all others in Massachusetts, the level of services it strains to maintain is one that many communities would envy. Moreover, Needham has a well-recognized school system that </w:t>
      </w:r>
      <w:r w:rsidR="00B870F1">
        <w:rPr>
          <w:rFonts w:asciiTheme="minorHAnsi" w:hAnsiTheme="minorHAnsi" w:cstheme="minorHAnsi"/>
          <w:b w:val="0"/>
          <w:bCs w:val="0"/>
          <w:sz w:val="22"/>
          <w:szCs w:val="22"/>
        </w:rPr>
        <w:t>has been ranked highly among others</w:t>
      </w:r>
      <w:r w:rsidR="00224778" w:rsidRPr="00224778">
        <w:rPr>
          <w:rFonts w:asciiTheme="minorHAnsi" w:hAnsiTheme="minorHAnsi" w:cstheme="minorHAnsi"/>
          <w:b w:val="0"/>
          <w:bCs w:val="0"/>
          <w:sz w:val="22"/>
          <w:szCs w:val="22"/>
        </w:rPr>
        <w:t xml:space="preserve"> in the state.  All of these amenities have resulted in Needham being a desirable place to live, work and raise a family. </w:t>
      </w:r>
    </w:p>
    <w:p w14:paraId="66EEBEBF" w14:textId="68AE4ED9" w:rsidR="00224778" w:rsidRPr="00224778" w:rsidRDefault="00224778" w:rsidP="00224778">
      <w:pPr>
        <w:pStyle w:val="BodyText"/>
        <w:spacing w:after="0"/>
        <w:jc w:val="both"/>
        <w:rPr>
          <w:rFonts w:asciiTheme="minorHAnsi" w:hAnsiTheme="minorHAnsi" w:cstheme="minorHAnsi"/>
          <w:sz w:val="22"/>
          <w:szCs w:val="22"/>
        </w:rPr>
      </w:pPr>
    </w:p>
    <w:p w14:paraId="70188CC9" w14:textId="204A3CF3"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 xml:space="preserve">Nevertheless, the Town faces some very real problems that need to be addressed, and housing is among them.  High housing costs coupled with </w:t>
      </w:r>
      <w:r w:rsidR="00014B79">
        <w:rPr>
          <w:rFonts w:asciiTheme="minorHAnsi" w:hAnsiTheme="minorHAnsi" w:cstheme="minorHAnsi"/>
          <w:b w:val="0"/>
          <w:bCs w:val="0"/>
          <w:sz w:val="22"/>
          <w:szCs w:val="22"/>
        </w:rPr>
        <w:t>limited</w:t>
      </w:r>
      <w:r w:rsidRPr="00224778">
        <w:rPr>
          <w:rFonts w:asciiTheme="minorHAnsi" w:hAnsiTheme="minorHAnsi" w:cstheme="minorHAnsi"/>
          <w:b w:val="0"/>
          <w:bCs w:val="0"/>
          <w:sz w:val="22"/>
          <w:szCs w:val="22"/>
        </w:rPr>
        <w:t xml:space="preserve"> state and federal resources present substantial challenges to meeting local housing needs.  For example, young adult children of Needham families typically find it impossible to afford housing here</w:t>
      </w:r>
      <w:r w:rsidR="007179E8">
        <w:rPr>
          <w:rFonts w:asciiTheme="minorHAnsi" w:hAnsiTheme="minorHAnsi" w:cstheme="minorHAnsi"/>
          <w:b w:val="0"/>
          <w:bCs w:val="0"/>
          <w:sz w:val="22"/>
          <w:szCs w:val="22"/>
        </w:rPr>
        <w:t>, particularly if they have a disability</w:t>
      </w:r>
      <w:r w:rsidRPr="00224778">
        <w:rPr>
          <w:rFonts w:asciiTheme="minorHAnsi" w:hAnsiTheme="minorHAnsi" w:cstheme="minorHAnsi"/>
          <w:b w:val="0"/>
          <w:bCs w:val="0"/>
          <w:sz w:val="22"/>
          <w:szCs w:val="22"/>
        </w:rPr>
        <w:t xml:space="preserve">.  Many households, especially </w:t>
      </w:r>
      <w:r w:rsidR="00BE1C94">
        <w:rPr>
          <w:rFonts w:asciiTheme="minorHAnsi" w:hAnsiTheme="minorHAnsi" w:cstheme="minorHAnsi"/>
          <w:b w:val="0"/>
          <w:bCs w:val="0"/>
          <w:sz w:val="22"/>
          <w:szCs w:val="22"/>
        </w:rPr>
        <w:t>older adults</w:t>
      </w:r>
      <w:r w:rsidRPr="00224778">
        <w:rPr>
          <w:rFonts w:asciiTheme="minorHAnsi" w:hAnsiTheme="minorHAnsi" w:cstheme="minorHAnsi"/>
          <w:b w:val="0"/>
          <w:bCs w:val="0"/>
          <w:sz w:val="22"/>
          <w:szCs w:val="22"/>
        </w:rPr>
        <w:t xml:space="preserve"> with </w:t>
      </w:r>
      <w:r w:rsidRPr="00224778">
        <w:rPr>
          <w:rFonts w:asciiTheme="minorHAnsi" w:hAnsiTheme="minorHAnsi" w:cstheme="minorHAnsi"/>
          <w:b w:val="0"/>
          <w:bCs w:val="0"/>
          <w:sz w:val="22"/>
          <w:szCs w:val="22"/>
        </w:rPr>
        <w:lastRenderedPageBreak/>
        <w:t>fixed incomes, find that remaining here imposes increasingly unbearable cost burdens.  Mobility within Needham is limited as “empty nesters,” even those with good incomes</w:t>
      </w:r>
      <w:r w:rsidR="00014B79">
        <w:rPr>
          <w:rFonts w:asciiTheme="minorHAnsi" w:hAnsiTheme="minorHAnsi" w:cstheme="minorHAnsi"/>
          <w:b w:val="0"/>
          <w:bCs w:val="0"/>
          <w:sz w:val="22"/>
          <w:szCs w:val="22"/>
        </w:rPr>
        <w:t xml:space="preserve"> and substantial home equity</w:t>
      </w:r>
      <w:r w:rsidRPr="00224778">
        <w:rPr>
          <w:rFonts w:asciiTheme="minorHAnsi" w:hAnsiTheme="minorHAnsi" w:cstheme="minorHAnsi"/>
          <w:b w:val="0"/>
          <w:bCs w:val="0"/>
          <w:sz w:val="22"/>
          <w:szCs w:val="22"/>
        </w:rPr>
        <w:t xml:space="preserve">, find downsizing to housing with services a choice that is largely unavailable at </w:t>
      </w:r>
      <w:r w:rsidR="009C0C02">
        <w:rPr>
          <w:rFonts w:asciiTheme="minorHAnsi" w:hAnsiTheme="minorHAnsi" w:cstheme="minorHAnsi"/>
          <w:b w:val="0"/>
          <w:bCs w:val="0"/>
          <w:sz w:val="22"/>
          <w:szCs w:val="22"/>
        </w:rPr>
        <w:t>reasonable</w:t>
      </w:r>
      <w:r w:rsidRPr="00224778">
        <w:rPr>
          <w:rFonts w:asciiTheme="minorHAnsi" w:hAnsiTheme="minorHAnsi" w:cstheme="minorHAnsi"/>
          <w:b w:val="0"/>
          <w:bCs w:val="0"/>
          <w:sz w:val="22"/>
          <w:szCs w:val="22"/>
        </w:rPr>
        <w:t xml:space="preserve"> cost.  </w:t>
      </w:r>
    </w:p>
    <w:p w14:paraId="78DDEE55" w14:textId="77777777" w:rsidR="00224778" w:rsidRPr="00224778" w:rsidRDefault="00224778" w:rsidP="00224778">
      <w:pPr>
        <w:pStyle w:val="Title"/>
        <w:jc w:val="both"/>
        <w:rPr>
          <w:rFonts w:asciiTheme="minorHAnsi" w:hAnsiTheme="minorHAnsi" w:cstheme="minorHAnsi"/>
          <w:b w:val="0"/>
          <w:bCs w:val="0"/>
          <w:sz w:val="22"/>
          <w:szCs w:val="22"/>
        </w:rPr>
      </w:pPr>
    </w:p>
    <w:p w14:paraId="750D21B2" w14:textId="4F1D2DA9" w:rsidR="00224778" w:rsidRPr="00224778" w:rsidRDefault="00224778" w:rsidP="00224778">
      <w:pPr>
        <w:pStyle w:val="BodyText3"/>
        <w:spacing w:after="0"/>
        <w:jc w:val="both"/>
        <w:rPr>
          <w:rFonts w:asciiTheme="minorHAnsi" w:hAnsiTheme="minorHAnsi" w:cstheme="minorHAnsi"/>
          <w:sz w:val="22"/>
          <w:szCs w:val="22"/>
        </w:rPr>
      </w:pPr>
      <w:r w:rsidRPr="00224778">
        <w:rPr>
          <w:rFonts w:asciiTheme="minorHAnsi" w:hAnsiTheme="minorHAnsi" w:cstheme="minorHAnsi"/>
          <w:sz w:val="22"/>
          <w:szCs w:val="22"/>
        </w:rPr>
        <w:t xml:space="preserve">Moreover, Needham is categorized by the regional planning agency, the Metropolitan Area Planning Council (MAPC), as a “mature suburban town” characterized by mid-20th century neighborhoods of owner-occupied, single-family homes on small lots, interspersed with commercial districts and high-density residential developments. Such “maturity” reflects fewer future </w:t>
      </w:r>
      <w:r w:rsidR="00BE1C94">
        <w:rPr>
          <w:rFonts w:asciiTheme="minorHAnsi" w:hAnsiTheme="minorHAnsi" w:cstheme="minorHAnsi"/>
          <w:sz w:val="22"/>
          <w:szCs w:val="22"/>
        </w:rPr>
        <w:t xml:space="preserve">housing </w:t>
      </w:r>
      <w:r w:rsidRPr="00224778">
        <w:rPr>
          <w:rFonts w:asciiTheme="minorHAnsi" w:hAnsiTheme="minorHAnsi" w:cstheme="minorHAnsi"/>
          <w:sz w:val="22"/>
          <w:szCs w:val="22"/>
        </w:rPr>
        <w:t>development opportunities.  While there are some remaining scattered parcels of vacant developable land, most new development will have to occur through the redevelopment of existing buildings</w:t>
      </w:r>
      <w:r w:rsidR="00AB1D61">
        <w:rPr>
          <w:rFonts w:asciiTheme="minorHAnsi" w:hAnsiTheme="minorHAnsi" w:cstheme="minorHAnsi"/>
          <w:sz w:val="22"/>
          <w:szCs w:val="22"/>
        </w:rPr>
        <w:t xml:space="preserve">.  This will likely be in areas where some greater density is </w:t>
      </w:r>
      <w:r w:rsidR="00BE1C94">
        <w:rPr>
          <w:rFonts w:asciiTheme="minorHAnsi" w:hAnsiTheme="minorHAnsi" w:cstheme="minorHAnsi"/>
          <w:sz w:val="22"/>
          <w:szCs w:val="22"/>
        </w:rPr>
        <w:t>welcome</w:t>
      </w:r>
      <w:r w:rsidR="00AB1D61">
        <w:rPr>
          <w:rFonts w:asciiTheme="minorHAnsi" w:hAnsiTheme="minorHAnsi" w:cstheme="minorHAnsi"/>
          <w:sz w:val="22"/>
          <w:szCs w:val="22"/>
        </w:rPr>
        <w:t>, such as near commuter rail stations and along commercial corridors</w:t>
      </w:r>
      <w:r w:rsidRPr="00224778">
        <w:rPr>
          <w:rFonts w:asciiTheme="minorHAnsi" w:hAnsiTheme="minorHAnsi" w:cstheme="minorHAnsi"/>
          <w:sz w:val="22"/>
          <w:szCs w:val="22"/>
        </w:rPr>
        <w:t xml:space="preserve">. </w:t>
      </w:r>
      <w:r w:rsidR="00B870F1">
        <w:rPr>
          <w:rFonts w:asciiTheme="minorHAnsi" w:hAnsiTheme="minorHAnsi" w:cstheme="minorHAnsi"/>
          <w:sz w:val="22"/>
          <w:szCs w:val="22"/>
        </w:rPr>
        <w:t xml:space="preserve"> </w:t>
      </w:r>
      <w:r w:rsidR="00AB1D61">
        <w:rPr>
          <w:rFonts w:asciiTheme="minorHAnsi" w:hAnsiTheme="minorHAnsi" w:cstheme="minorHAnsi"/>
          <w:sz w:val="22"/>
          <w:szCs w:val="22"/>
        </w:rPr>
        <w:t>Moreover, a</w:t>
      </w:r>
      <w:r w:rsidR="00B870F1">
        <w:rPr>
          <w:rFonts w:asciiTheme="minorHAnsi" w:hAnsiTheme="minorHAnsi" w:cstheme="minorHAnsi"/>
          <w:sz w:val="22"/>
          <w:szCs w:val="22"/>
        </w:rPr>
        <w:t>lmost all new single-family homes</w:t>
      </w:r>
      <w:r w:rsidR="00AB1D61">
        <w:rPr>
          <w:rFonts w:asciiTheme="minorHAnsi" w:hAnsiTheme="minorHAnsi" w:cstheme="minorHAnsi"/>
          <w:sz w:val="22"/>
          <w:szCs w:val="22"/>
        </w:rPr>
        <w:t xml:space="preserve"> now</w:t>
      </w:r>
      <w:r w:rsidR="00B870F1">
        <w:rPr>
          <w:rFonts w:asciiTheme="minorHAnsi" w:hAnsiTheme="minorHAnsi" w:cstheme="minorHAnsi"/>
          <w:sz w:val="22"/>
          <w:szCs w:val="22"/>
        </w:rPr>
        <w:t xml:space="preserve"> involve the demolition of more modest homes in the community with</w:t>
      </w:r>
      <w:r w:rsidR="009C0C02">
        <w:rPr>
          <w:rFonts w:asciiTheme="minorHAnsi" w:hAnsiTheme="minorHAnsi" w:cstheme="minorHAnsi"/>
          <w:sz w:val="22"/>
          <w:szCs w:val="22"/>
        </w:rPr>
        <w:t xml:space="preserve"> replacement of</w:t>
      </w:r>
      <w:r w:rsidR="00B870F1">
        <w:rPr>
          <w:rFonts w:asciiTheme="minorHAnsi" w:hAnsiTheme="minorHAnsi" w:cstheme="minorHAnsi"/>
          <w:sz w:val="22"/>
          <w:szCs w:val="22"/>
        </w:rPr>
        <w:t xml:space="preserve"> much larger and expensive ones.</w:t>
      </w:r>
    </w:p>
    <w:p w14:paraId="1F867596" w14:textId="77777777" w:rsidR="00014B79" w:rsidRDefault="00014B79" w:rsidP="00224778">
      <w:pPr>
        <w:pStyle w:val="Title"/>
        <w:jc w:val="both"/>
        <w:rPr>
          <w:rFonts w:asciiTheme="minorHAnsi" w:hAnsiTheme="minorHAnsi" w:cstheme="minorHAnsi"/>
          <w:b w:val="0"/>
          <w:bCs w:val="0"/>
          <w:sz w:val="22"/>
          <w:szCs w:val="22"/>
        </w:rPr>
      </w:pPr>
    </w:p>
    <w:p w14:paraId="1F7BBFF8" w14:textId="2ACEC747" w:rsidR="00014B79" w:rsidRPr="00014B79" w:rsidRDefault="00014B79" w:rsidP="00014B79">
      <w:pPr>
        <w:pBdr>
          <w:top w:val="single" w:sz="4" w:space="1" w:color="auto"/>
          <w:left w:val="single" w:sz="4" w:space="4" w:color="auto"/>
          <w:bottom w:val="single" w:sz="4" w:space="1" w:color="auto"/>
          <w:right w:val="single" w:sz="4" w:space="4" w:color="auto"/>
        </w:pBdr>
        <w:shd w:val="clear" w:color="auto" w:fill="B6DDE8" w:themeFill="accent5" w:themeFillTint="66"/>
        <w:jc w:val="center"/>
      </w:pPr>
      <w:r w:rsidRPr="00014B79">
        <w:rPr>
          <w:rFonts w:asciiTheme="minorHAnsi" w:hAnsiTheme="minorHAnsi" w:cstheme="minorHAnsi"/>
        </w:rPr>
        <w:t xml:space="preserve">Bringing affordability to existing units is made more daunting </w:t>
      </w:r>
      <w:r>
        <w:rPr>
          <w:rFonts w:asciiTheme="minorHAnsi" w:hAnsiTheme="minorHAnsi" w:cstheme="minorHAnsi"/>
        </w:rPr>
        <w:t>by</w:t>
      </w:r>
      <w:r w:rsidRPr="00014B79">
        <w:rPr>
          <w:rFonts w:asciiTheme="minorHAnsi" w:hAnsiTheme="minorHAnsi" w:cstheme="minorHAnsi"/>
        </w:rPr>
        <w:t xml:space="preserve"> Needham’s extraordinary market values with a median single-family home price of </w:t>
      </w:r>
      <w:r w:rsidR="007179E8">
        <w:rPr>
          <w:rFonts w:asciiTheme="minorHAnsi" w:hAnsiTheme="minorHAnsi" w:cstheme="minorHAnsi"/>
        </w:rPr>
        <w:t xml:space="preserve">almost </w:t>
      </w:r>
      <w:r w:rsidRPr="00014B79">
        <w:rPr>
          <w:rFonts w:asciiTheme="minorHAnsi" w:hAnsiTheme="minorHAnsi" w:cstheme="minorHAnsi"/>
        </w:rPr>
        <w:t>$1.3 million.</w:t>
      </w:r>
    </w:p>
    <w:p w14:paraId="024C12BB" w14:textId="77777777" w:rsidR="00014B79" w:rsidRDefault="00014B79" w:rsidP="00224778">
      <w:pPr>
        <w:pStyle w:val="Title"/>
        <w:jc w:val="both"/>
        <w:rPr>
          <w:rFonts w:asciiTheme="minorHAnsi" w:hAnsiTheme="minorHAnsi" w:cstheme="minorHAnsi"/>
          <w:b w:val="0"/>
          <w:bCs w:val="0"/>
          <w:sz w:val="22"/>
          <w:szCs w:val="22"/>
        </w:rPr>
      </w:pPr>
    </w:p>
    <w:p w14:paraId="11C612AD" w14:textId="55F26380"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 xml:space="preserve">Within this context of housing challenges is the virtual mandate from Chapter 40B and the Commonwealth that at least 10% of all housing should be </w:t>
      </w:r>
      <w:r w:rsidR="008A5C94">
        <w:rPr>
          <w:rFonts w:asciiTheme="minorHAnsi" w:hAnsiTheme="minorHAnsi" w:cstheme="minorHAnsi"/>
          <w:b w:val="0"/>
          <w:bCs w:val="0"/>
          <w:sz w:val="22"/>
          <w:szCs w:val="22"/>
        </w:rPr>
        <w:t>affordable based on specific requirements</w:t>
      </w:r>
      <w:r w:rsidRPr="00224778">
        <w:rPr>
          <w:rFonts w:asciiTheme="minorHAnsi" w:hAnsiTheme="minorHAnsi" w:cstheme="minorHAnsi"/>
          <w:b w:val="0"/>
          <w:bCs w:val="0"/>
          <w:sz w:val="22"/>
          <w:szCs w:val="22"/>
        </w:rPr>
        <w:t xml:space="preserve">, regardless of market changes.  </w:t>
      </w:r>
      <w:r w:rsidR="00C2109C">
        <w:rPr>
          <w:rFonts w:asciiTheme="minorHAnsi" w:hAnsiTheme="minorHAnsi" w:cstheme="minorHAnsi"/>
          <w:b w:val="0"/>
          <w:bCs w:val="0"/>
          <w:sz w:val="22"/>
          <w:szCs w:val="22"/>
        </w:rPr>
        <w:t xml:space="preserve">As Needham has surpassed this 10% affordability threshold, it is in a position to </w:t>
      </w:r>
      <w:r w:rsidR="008A5C94">
        <w:rPr>
          <w:rFonts w:asciiTheme="minorHAnsi" w:hAnsiTheme="minorHAnsi" w:cstheme="minorHAnsi"/>
          <w:b w:val="0"/>
          <w:bCs w:val="0"/>
          <w:sz w:val="22"/>
          <w:szCs w:val="22"/>
        </w:rPr>
        <w:t xml:space="preserve">better control new development of affordable housing as the Chapter 40B comprehensive permit process can only be used if the Town agrees to basic project terms and conditions.  </w:t>
      </w:r>
    </w:p>
    <w:p w14:paraId="76C73DBA" w14:textId="77777777" w:rsidR="00224778" w:rsidRPr="00224778" w:rsidRDefault="00224778" w:rsidP="00224778">
      <w:pPr>
        <w:pStyle w:val="Title"/>
        <w:jc w:val="both"/>
        <w:rPr>
          <w:rFonts w:asciiTheme="minorHAnsi" w:hAnsiTheme="minorHAnsi" w:cstheme="minorHAnsi"/>
          <w:b w:val="0"/>
          <w:bCs w:val="0"/>
          <w:sz w:val="22"/>
          <w:szCs w:val="22"/>
        </w:rPr>
      </w:pPr>
    </w:p>
    <w:p w14:paraId="73FEF1B0" w14:textId="6242C9B2" w:rsidR="00224778" w:rsidRPr="00224778" w:rsidRDefault="00224778" w:rsidP="00224778">
      <w:pPr>
        <w:rPr>
          <w:rFonts w:asciiTheme="minorHAnsi" w:hAnsiTheme="minorHAnsi" w:cstheme="minorHAnsi"/>
          <w:b/>
          <w:bCs/>
          <w:color w:val="002060"/>
        </w:rPr>
      </w:pPr>
      <w:r w:rsidRPr="00224778">
        <w:rPr>
          <w:rFonts w:asciiTheme="minorHAnsi" w:hAnsiTheme="minorHAnsi" w:cstheme="minorHAnsi"/>
          <w:b/>
          <w:bCs/>
          <w:color w:val="002060"/>
        </w:rPr>
        <w:t>C.</w:t>
      </w:r>
      <w:r w:rsidRPr="00224778">
        <w:rPr>
          <w:rFonts w:asciiTheme="minorHAnsi" w:hAnsiTheme="minorHAnsi" w:cstheme="minorHAnsi"/>
          <w:b/>
          <w:bCs/>
          <w:color w:val="002060"/>
        </w:rPr>
        <w:tab/>
        <w:t>Housing Goals</w:t>
      </w:r>
    </w:p>
    <w:p w14:paraId="168AD4CA" w14:textId="7E3B8322"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As part of the 200</w:t>
      </w:r>
      <w:r w:rsidR="00014B79">
        <w:rPr>
          <w:rFonts w:asciiTheme="minorHAnsi" w:hAnsiTheme="minorHAnsi" w:cstheme="minorHAnsi"/>
          <w:b w:val="0"/>
          <w:bCs w:val="0"/>
          <w:sz w:val="22"/>
          <w:szCs w:val="22"/>
        </w:rPr>
        <w:t>7</w:t>
      </w:r>
      <w:r w:rsidRPr="00224778">
        <w:rPr>
          <w:rFonts w:asciiTheme="minorHAnsi" w:hAnsiTheme="minorHAnsi" w:cstheme="minorHAnsi"/>
          <w:b w:val="0"/>
          <w:bCs w:val="0"/>
          <w:sz w:val="22"/>
          <w:szCs w:val="22"/>
        </w:rPr>
        <w:t xml:space="preserve"> Affordable Housing Plan, the Town articulated the following four primary housing goals: </w:t>
      </w:r>
    </w:p>
    <w:p w14:paraId="671219EE" w14:textId="77777777" w:rsidR="00224778" w:rsidRPr="00224778" w:rsidRDefault="00224778" w:rsidP="00224778">
      <w:pPr>
        <w:pStyle w:val="Title"/>
        <w:jc w:val="both"/>
        <w:rPr>
          <w:rFonts w:asciiTheme="minorHAnsi" w:hAnsiTheme="minorHAnsi" w:cstheme="minorHAnsi"/>
          <w:b w:val="0"/>
          <w:bCs w:val="0"/>
          <w:sz w:val="22"/>
          <w:szCs w:val="22"/>
        </w:rPr>
      </w:pPr>
      <w:r w:rsidRPr="00224778">
        <w:rPr>
          <w:rFonts w:asciiTheme="minorHAnsi" w:hAnsiTheme="minorHAnsi" w:cstheme="minorHAnsi"/>
          <w:b w:val="0"/>
          <w:bCs w:val="0"/>
          <w:sz w:val="22"/>
          <w:szCs w:val="22"/>
        </w:rPr>
        <w:t xml:space="preserve"> </w:t>
      </w:r>
    </w:p>
    <w:p w14:paraId="3C79A36A" w14:textId="77777777" w:rsidR="00224778" w:rsidRPr="00224778" w:rsidRDefault="00224778" w:rsidP="005D3FC9">
      <w:pPr>
        <w:pStyle w:val="Title"/>
        <w:numPr>
          <w:ilvl w:val="0"/>
          <w:numId w:val="18"/>
        </w:numPr>
        <w:jc w:val="both"/>
        <w:rPr>
          <w:rFonts w:asciiTheme="minorHAnsi" w:hAnsiTheme="minorHAnsi" w:cstheme="minorHAnsi"/>
          <w:b w:val="0"/>
          <w:bCs w:val="0"/>
          <w:sz w:val="22"/>
          <w:szCs w:val="22"/>
        </w:rPr>
      </w:pPr>
      <w:r w:rsidRPr="00224778">
        <w:rPr>
          <w:rFonts w:asciiTheme="minorHAnsi" w:hAnsiTheme="minorHAnsi" w:cstheme="minorHAnsi"/>
          <w:b w:val="0"/>
          <w:sz w:val="22"/>
          <w:szCs w:val="22"/>
        </w:rPr>
        <w:t>An overarching goal to build a stronger and deeper community.  The ways in which housing efforts are carried out can help in achieving that, bringing the community together in addressing a widely shared concern about the quality of life in Needham.</w:t>
      </w:r>
    </w:p>
    <w:p w14:paraId="217EFF30" w14:textId="77777777" w:rsidR="00224778" w:rsidRPr="00224778" w:rsidRDefault="00224778" w:rsidP="00224778">
      <w:pPr>
        <w:pStyle w:val="Title"/>
        <w:ind w:left="360"/>
        <w:jc w:val="both"/>
        <w:rPr>
          <w:rFonts w:asciiTheme="minorHAnsi" w:hAnsiTheme="minorHAnsi" w:cstheme="minorHAnsi"/>
          <w:b w:val="0"/>
          <w:bCs w:val="0"/>
          <w:sz w:val="22"/>
          <w:szCs w:val="22"/>
        </w:rPr>
      </w:pPr>
    </w:p>
    <w:p w14:paraId="20109A93" w14:textId="1B1981B4" w:rsidR="00224778" w:rsidRPr="00224778" w:rsidRDefault="00224778" w:rsidP="005D3FC9">
      <w:pPr>
        <w:pStyle w:val="Title"/>
        <w:numPr>
          <w:ilvl w:val="0"/>
          <w:numId w:val="18"/>
        </w:numPr>
        <w:jc w:val="both"/>
        <w:rPr>
          <w:rFonts w:asciiTheme="minorHAnsi" w:hAnsiTheme="minorHAnsi" w:cstheme="minorHAnsi"/>
          <w:b w:val="0"/>
          <w:bCs w:val="0"/>
          <w:sz w:val="22"/>
          <w:szCs w:val="22"/>
        </w:rPr>
      </w:pPr>
      <w:r w:rsidRPr="00224778">
        <w:rPr>
          <w:rFonts w:asciiTheme="minorHAnsi" w:hAnsiTheme="minorHAnsi" w:cstheme="minorHAnsi"/>
          <w:b w:val="0"/>
          <w:sz w:val="22"/>
          <w:szCs w:val="22"/>
        </w:rPr>
        <w:t xml:space="preserve">A related goal </w:t>
      </w:r>
      <w:r w:rsidR="008A5C94">
        <w:rPr>
          <w:rFonts w:asciiTheme="minorHAnsi" w:hAnsiTheme="minorHAnsi" w:cstheme="minorHAnsi"/>
          <w:b w:val="0"/>
          <w:sz w:val="22"/>
          <w:szCs w:val="22"/>
        </w:rPr>
        <w:t xml:space="preserve">is </w:t>
      </w:r>
      <w:r w:rsidRPr="00224778">
        <w:rPr>
          <w:rFonts w:asciiTheme="minorHAnsi" w:hAnsiTheme="minorHAnsi" w:cstheme="minorHAnsi"/>
          <w:b w:val="0"/>
          <w:sz w:val="22"/>
          <w:szCs w:val="22"/>
        </w:rPr>
        <w:t xml:space="preserve">to remain a community having broad socio-economic diversity shaped less by economic imperatives than by individual choices about the living environment that individuals choose.  Achieving that goal </w:t>
      </w:r>
      <w:r w:rsidRPr="00224778">
        <w:rPr>
          <w:rFonts w:asciiTheme="minorHAnsi" w:hAnsiTheme="minorHAnsi" w:cstheme="minorHAnsi"/>
          <w:b w:val="0"/>
          <w:iCs/>
          <w:sz w:val="22"/>
          <w:szCs w:val="22"/>
        </w:rPr>
        <w:t>entails meeting housing needs across the full range of incomes, promoting the diversity and stability of individuals and families living in Needham.</w:t>
      </w:r>
    </w:p>
    <w:p w14:paraId="3806AD7A" w14:textId="77777777" w:rsidR="00224778" w:rsidRPr="00224778" w:rsidRDefault="00224778" w:rsidP="00224778">
      <w:pPr>
        <w:pStyle w:val="Title"/>
        <w:jc w:val="both"/>
        <w:rPr>
          <w:rFonts w:asciiTheme="minorHAnsi" w:hAnsiTheme="minorHAnsi" w:cstheme="minorHAnsi"/>
          <w:b w:val="0"/>
          <w:bCs w:val="0"/>
          <w:sz w:val="22"/>
          <w:szCs w:val="22"/>
        </w:rPr>
      </w:pPr>
    </w:p>
    <w:p w14:paraId="13C6B5AA" w14:textId="023DF871" w:rsidR="00224778" w:rsidRPr="008A5C94" w:rsidRDefault="00224778" w:rsidP="005D3FC9">
      <w:pPr>
        <w:pStyle w:val="Title"/>
        <w:numPr>
          <w:ilvl w:val="0"/>
          <w:numId w:val="18"/>
        </w:numPr>
        <w:jc w:val="both"/>
        <w:rPr>
          <w:rFonts w:asciiTheme="minorHAnsi" w:hAnsiTheme="minorHAnsi" w:cstheme="minorHAnsi"/>
          <w:b w:val="0"/>
          <w:bCs w:val="0"/>
          <w:sz w:val="22"/>
          <w:szCs w:val="22"/>
        </w:rPr>
      </w:pPr>
      <w:r w:rsidRPr="008A5C94">
        <w:rPr>
          <w:rFonts w:asciiTheme="minorHAnsi" w:hAnsiTheme="minorHAnsi" w:cstheme="minorHAnsi"/>
          <w:b w:val="0"/>
          <w:sz w:val="22"/>
          <w:szCs w:val="22"/>
        </w:rPr>
        <w:t xml:space="preserve">A widely expressed goal to have the community shape its own housing future, doing so with sensitivity to larger-than-local considerations but without the </w:t>
      </w:r>
      <w:r w:rsidR="008A5C94" w:rsidRPr="008A5C94">
        <w:rPr>
          <w:rFonts w:asciiTheme="minorHAnsi" w:hAnsiTheme="minorHAnsi" w:cstheme="minorHAnsi"/>
          <w:b w:val="0"/>
          <w:sz w:val="22"/>
          <w:szCs w:val="22"/>
        </w:rPr>
        <w:t>T</w:t>
      </w:r>
      <w:r w:rsidRPr="008A5C94">
        <w:rPr>
          <w:rFonts w:asciiTheme="minorHAnsi" w:hAnsiTheme="minorHAnsi" w:cstheme="minorHAnsi"/>
          <w:b w:val="0"/>
          <w:sz w:val="22"/>
          <w:szCs w:val="22"/>
        </w:rPr>
        <w:t xml:space="preserve">own losing its ability to guide development outcomes.  </w:t>
      </w:r>
    </w:p>
    <w:p w14:paraId="1E70C0E6" w14:textId="77777777" w:rsidR="008A5C94" w:rsidRPr="008A5C94" w:rsidRDefault="008A5C94" w:rsidP="008A5C94">
      <w:pPr>
        <w:pStyle w:val="Title"/>
        <w:jc w:val="both"/>
        <w:rPr>
          <w:rFonts w:asciiTheme="minorHAnsi" w:hAnsiTheme="minorHAnsi" w:cstheme="minorHAnsi"/>
          <w:b w:val="0"/>
          <w:bCs w:val="0"/>
          <w:sz w:val="22"/>
          <w:szCs w:val="22"/>
        </w:rPr>
      </w:pPr>
    </w:p>
    <w:p w14:paraId="4933E5B1" w14:textId="6790A723" w:rsidR="00224778" w:rsidRPr="00AB1D61" w:rsidRDefault="00224778" w:rsidP="005D3FC9">
      <w:pPr>
        <w:pStyle w:val="Title"/>
        <w:numPr>
          <w:ilvl w:val="0"/>
          <w:numId w:val="18"/>
        </w:numPr>
        <w:jc w:val="both"/>
        <w:rPr>
          <w:rFonts w:asciiTheme="minorHAnsi" w:hAnsiTheme="minorHAnsi" w:cstheme="minorHAnsi"/>
          <w:b w:val="0"/>
          <w:bCs w:val="0"/>
          <w:sz w:val="22"/>
          <w:szCs w:val="22"/>
        </w:rPr>
      </w:pPr>
      <w:r w:rsidRPr="00224778">
        <w:rPr>
          <w:rFonts w:asciiTheme="minorHAnsi" w:hAnsiTheme="minorHAnsi" w:cstheme="minorHAnsi"/>
          <w:b w:val="0"/>
          <w:sz w:val="22"/>
          <w:szCs w:val="22"/>
        </w:rPr>
        <w:t xml:space="preserve">A related goal is to assure that new housing is appropriate to its location and context.  Achieving that involves sensitively designed regulations and cooperative development and decision-making processes.     </w:t>
      </w:r>
    </w:p>
    <w:p w14:paraId="3368D144" w14:textId="63823356" w:rsidR="00AB1D61" w:rsidRPr="00AB1D61" w:rsidRDefault="00AB1D61" w:rsidP="00AB1D61">
      <w:pPr>
        <w:pStyle w:val="Title"/>
        <w:ind w:left="720"/>
        <w:jc w:val="both"/>
        <w:rPr>
          <w:rFonts w:asciiTheme="minorHAnsi" w:hAnsiTheme="minorHAnsi" w:cstheme="minorHAnsi"/>
          <w:b w:val="0"/>
          <w:bCs w:val="0"/>
          <w:color w:val="FF0000"/>
          <w:sz w:val="22"/>
          <w:szCs w:val="22"/>
        </w:rPr>
      </w:pPr>
      <w:r>
        <w:rPr>
          <w:rFonts w:asciiTheme="minorHAnsi" w:hAnsiTheme="minorHAnsi" w:cstheme="minorHAnsi"/>
          <w:b w:val="0"/>
          <w:bCs w:val="0"/>
          <w:color w:val="FF0000"/>
          <w:sz w:val="22"/>
          <w:szCs w:val="22"/>
        </w:rPr>
        <w:t>We will want to revisit these during the planning process</w:t>
      </w:r>
      <w:r w:rsidR="008A5C94">
        <w:rPr>
          <w:rFonts w:asciiTheme="minorHAnsi" w:hAnsiTheme="minorHAnsi" w:cstheme="minorHAnsi"/>
          <w:b w:val="0"/>
          <w:bCs w:val="0"/>
          <w:color w:val="FF0000"/>
          <w:sz w:val="22"/>
          <w:szCs w:val="22"/>
        </w:rPr>
        <w:t>.</w:t>
      </w:r>
    </w:p>
    <w:p w14:paraId="5D5F8175" w14:textId="4C22B1BA" w:rsidR="002224D1" w:rsidRPr="002224D1" w:rsidRDefault="002224D1" w:rsidP="002224D1">
      <w:pPr>
        <w:pStyle w:val="Heading1"/>
        <w:ind w:right="-720"/>
        <w:jc w:val="both"/>
        <w:rPr>
          <w:rFonts w:ascii="Calibri" w:hAnsi="Calibri"/>
          <w:b w:val="0"/>
          <w:bCs w:val="0"/>
          <w:color w:val="002060"/>
        </w:rPr>
      </w:pPr>
      <w:r w:rsidRPr="002224D1">
        <w:rPr>
          <w:rFonts w:ascii="Calibri" w:hAnsi="Calibri"/>
          <w:color w:val="002060"/>
        </w:rPr>
        <w:lastRenderedPageBreak/>
        <w:t>D.</w:t>
      </w:r>
      <w:r w:rsidRPr="002224D1">
        <w:rPr>
          <w:rFonts w:ascii="Calibri" w:hAnsi="Calibri"/>
          <w:color w:val="002060"/>
        </w:rPr>
        <w:tab/>
        <w:t>Definition of Affordable Housing</w:t>
      </w:r>
      <w:r w:rsidRPr="002224D1">
        <w:rPr>
          <w:rStyle w:val="FootnoteReference"/>
          <w:rFonts w:ascii="Calibri" w:eastAsiaTheme="majorEastAsia" w:hAnsi="Calibri"/>
          <w:b w:val="0"/>
          <w:bCs w:val="0"/>
          <w:color w:val="002060"/>
        </w:rPr>
        <w:footnoteReference w:id="10"/>
      </w:r>
      <w:r w:rsidRPr="002224D1">
        <w:rPr>
          <w:rFonts w:ascii="Calibri" w:hAnsi="Calibri"/>
          <w:b w:val="0"/>
          <w:bCs w:val="0"/>
          <w:color w:val="002060"/>
        </w:rPr>
        <w:t xml:space="preserve">  </w:t>
      </w:r>
    </w:p>
    <w:p w14:paraId="33F6409E" w14:textId="1AB065C4" w:rsidR="002224D1" w:rsidRDefault="002224D1" w:rsidP="008A5C94">
      <w:pPr>
        <w:pStyle w:val="Heading1"/>
        <w:jc w:val="both"/>
        <w:rPr>
          <w:rFonts w:ascii="Calibri" w:hAnsi="Calibri"/>
          <w:b w:val="0"/>
          <w:bCs w:val="0"/>
          <w:sz w:val="22"/>
        </w:rPr>
      </w:pPr>
      <w:r>
        <w:rPr>
          <w:rFonts w:ascii="Calibri" w:hAnsi="Calibri"/>
          <w:b w:val="0"/>
          <w:bCs w:val="0"/>
          <w:sz w:val="22"/>
        </w:rPr>
        <w:t xml:space="preserve">The federal government identifies units as affordable if gross rent (including costs of utilities borne by the tenant) is no more than 30% of a household’s net or adjusted income (with a small deduction per dependent, for child care, extraordinary medical expenses, etc.) or if the carrying costs of purchasing a home (mortgage, property taxes and insurance) is not more than 30% of gross income. The state’s </w:t>
      </w:r>
      <w:r w:rsidR="009C0C02">
        <w:rPr>
          <w:rFonts w:ascii="Calibri" w:hAnsi="Calibri"/>
          <w:b w:val="0"/>
          <w:bCs w:val="0"/>
          <w:sz w:val="22"/>
        </w:rPr>
        <w:t xml:space="preserve">Chapter 40B </w:t>
      </w:r>
      <w:r>
        <w:rPr>
          <w:rFonts w:ascii="Calibri" w:hAnsi="Calibri"/>
          <w:b w:val="0"/>
          <w:bCs w:val="0"/>
          <w:sz w:val="22"/>
        </w:rPr>
        <w:t>comprehensive permit regulations and Local Initiative Program (LIP) guidelines define affordability if the household is not paying more than 30% of income on housing costs.  If households are paying more than these thresholds, they are described as experiencing housing affordability problems or cost burdens; and if they are paying 50% or more for housing, they have severe housing cost burdens.</w:t>
      </w:r>
    </w:p>
    <w:p w14:paraId="0919C272" w14:textId="77777777" w:rsidR="002224D1" w:rsidRDefault="002224D1" w:rsidP="008A5C94">
      <w:pPr>
        <w:pStyle w:val="BodyTextIndent"/>
        <w:spacing w:after="0"/>
        <w:ind w:left="0" w:right="-720"/>
        <w:jc w:val="both"/>
        <w:rPr>
          <w:rFonts w:ascii="Calibri" w:hAnsi="Calibri"/>
          <w:sz w:val="22"/>
        </w:rPr>
      </w:pPr>
    </w:p>
    <w:p w14:paraId="3C45491C" w14:textId="2B1A5FA6" w:rsidR="002224D1" w:rsidRDefault="002224D1" w:rsidP="008A5C94">
      <w:pPr>
        <w:pStyle w:val="BodyText3"/>
        <w:spacing w:after="0"/>
        <w:jc w:val="both"/>
        <w:rPr>
          <w:rFonts w:ascii="Calibri" w:hAnsi="Calibri"/>
          <w:sz w:val="22"/>
          <w:szCs w:val="22"/>
        </w:rPr>
      </w:pPr>
      <w:r w:rsidRPr="002224D1">
        <w:rPr>
          <w:rFonts w:ascii="Calibri" w:hAnsi="Calibri"/>
          <w:sz w:val="22"/>
          <w:szCs w:val="22"/>
        </w:rPr>
        <w:t xml:space="preserve">Affordable housing is also defined according to percentages of median income for the area, and most housing subsidy programs are targeted to particular income ranges depending upon programmatic goals.  Extremely low-income housing is directed to those </w:t>
      </w:r>
      <w:r w:rsidR="0028670D">
        <w:rPr>
          <w:rFonts w:ascii="Calibri" w:hAnsi="Calibri"/>
          <w:sz w:val="22"/>
          <w:szCs w:val="22"/>
        </w:rPr>
        <w:t>with incomes</w:t>
      </w:r>
      <w:r w:rsidRPr="002224D1">
        <w:rPr>
          <w:rFonts w:ascii="Calibri" w:hAnsi="Calibri"/>
          <w:sz w:val="22"/>
          <w:szCs w:val="22"/>
        </w:rPr>
        <w:t xml:space="preserve"> at or below 30% of area median income (AMI) as defined annually by the U.S. Department of Housing and Urban Development (</w:t>
      </w:r>
      <w:r w:rsidR="004E611A">
        <w:rPr>
          <w:rFonts w:ascii="Calibri" w:hAnsi="Calibri"/>
          <w:sz w:val="22"/>
          <w:szCs w:val="22"/>
        </w:rPr>
        <w:t xml:space="preserve">up to </w:t>
      </w:r>
      <w:r w:rsidRPr="002224D1">
        <w:rPr>
          <w:rFonts w:ascii="Calibri" w:hAnsi="Calibri"/>
          <w:sz w:val="22"/>
          <w:szCs w:val="22"/>
        </w:rPr>
        <w:t>$36,250 for a family of three for the Boston metro area)</w:t>
      </w:r>
      <w:r w:rsidR="0028670D">
        <w:rPr>
          <w:rFonts w:ascii="Calibri" w:hAnsi="Calibri"/>
          <w:sz w:val="22"/>
          <w:szCs w:val="22"/>
        </w:rPr>
        <w:t>.  Housing that targets this income group is often referred to as “deeply affordable”.  V</w:t>
      </w:r>
      <w:r w:rsidRPr="002224D1">
        <w:rPr>
          <w:rFonts w:ascii="Calibri" w:hAnsi="Calibri"/>
          <w:sz w:val="22"/>
          <w:szCs w:val="22"/>
        </w:rPr>
        <w:t xml:space="preserve">ery low-income is defined as households </w:t>
      </w:r>
      <w:r w:rsidR="0028670D">
        <w:rPr>
          <w:rFonts w:ascii="Calibri" w:hAnsi="Calibri"/>
          <w:sz w:val="22"/>
          <w:szCs w:val="22"/>
        </w:rPr>
        <w:t>with incomes</w:t>
      </w:r>
      <w:r w:rsidRPr="002224D1">
        <w:rPr>
          <w:rFonts w:ascii="Calibri" w:hAnsi="Calibri"/>
          <w:sz w:val="22"/>
          <w:szCs w:val="22"/>
        </w:rPr>
        <w:t xml:space="preserve"> between 31% and 50% of area median income (</w:t>
      </w:r>
      <w:r w:rsidR="004E611A">
        <w:rPr>
          <w:rFonts w:ascii="Calibri" w:hAnsi="Calibri"/>
          <w:sz w:val="22"/>
          <w:szCs w:val="22"/>
        </w:rPr>
        <w:t xml:space="preserve">up to </w:t>
      </w:r>
      <w:r w:rsidRPr="002224D1">
        <w:rPr>
          <w:rFonts w:ascii="Calibri" w:hAnsi="Calibri"/>
          <w:sz w:val="22"/>
          <w:szCs w:val="22"/>
        </w:rPr>
        <w:t>$60,400 for a family of three).  Low-income generally refers to the range between 51% and 80</w:t>
      </w:r>
      <w:r w:rsidR="009C0C02">
        <w:rPr>
          <w:rFonts w:ascii="Calibri" w:hAnsi="Calibri"/>
          <w:sz w:val="22"/>
          <w:szCs w:val="22"/>
        </w:rPr>
        <w:t>% AMI</w:t>
      </w:r>
      <w:r w:rsidRPr="002224D1">
        <w:rPr>
          <w:rFonts w:ascii="Calibri" w:hAnsi="Calibri"/>
          <w:sz w:val="22"/>
          <w:szCs w:val="22"/>
        </w:rPr>
        <w:t xml:space="preserve"> ($90,950 for a family of three at the 80% level). These income levels are summarized in Table </w:t>
      </w:r>
      <w:r w:rsidR="008A5C94">
        <w:rPr>
          <w:rFonts w:ascii="Calibri" w:hAnsi="Calibri"/>
          <w:sz w:val="22"/>
          <w:szCs w:val="22"/>
        </w:rPr>
        <w:t>II</w:t>
      </w:r>
      <w:r w:rsidRPr="002224D1">
        <w:rPr>
          <w:rFonts w:ascii="Calibri" w:hAnsi="Calibri"/>
          <w:sz w:val="22"/>
          <w:szCs w:val="22"/>
        </w:rPr>
        <w:t>-1.</w:t>
      </w:r>
    </w:p>
    <w:p w14:paraId="573BF876" w14:textId="77777777" w:rsidR="008A5C94" w:rsidRDefault="008A5C94" w:rsidP="008A5C94">
      <w:pPr>
        <w:pStyle w:val="BodyText3"/>
        <w:spacing w:after="0"/>
        <w:jc w:val="both"/>
        <w:rPr>
          <w:rFonts w:ascii="Calibri" w:hAnsi="Calibri"/>
          <w:sz w:val="22"/>
          <w:szCs w:val="22"/>
        </w:rPr>
      </w:pPr>
      <w:bookmarkStart w:id="0" w:name="_Hlk92714787"/>
    </w:p>
    <w:p w14:paraId="6788BAD0" w14:textId="00C86080" w:rsidR="002224D1" w:rsidRPr="00327EDF" w:rsidRDefault="002224D1" w:rsidP="002224D1">
      <w:pPr>
        <w:pStyle w:val="FootnoteText"/>
        <w:ind w:right="-720"/>
        <w:jc w:val="center"/>
        <w:rPr>
          <w:rFonts w:ascii="Calibri" w:hAnsi="Calibri"/>
          <w:b/>
          <w:bCs/>
          <w:sz w:val="22"/>
        </w:rPr>
      </w:pPr>
      <w:r>
        <w:rPr>
          <w:rFonts w:ascii="Calibri" w:hAnsi="Calibri"/>
          <w:b/>
          <w:bCs/>
          <w:sz w:val="22"/>
        </w:rPr>
        <w:t xml:space="preserve">Table </w:t>
      </w:r>
      <w:r w:rsidR="008A5C94">
        <w:rPr>
          <w:rFonts w:ascii="Calibri" w:hAnsi="Calibri"/>
          <w:b/>
          <w:bCs/>
          <w:sz w:val="22"/>
        </w:rPr>
        <w:t>II</w:t>
      </w:r>
      <w:r>
        <w:rPr>
          <w:rFonts w:ascii="Calibri" w:hAnsi="Calibri"/>
          <w:b/>
          <w:bCs/>
          <w:sz w:val="22"/>
        </w:rPr>
        <w:t xml:space="preserve">-1: </w:t>
      </w:r>
      <w:r w:rsidRPr="00051824">
        <w:rPr>
          <w:rFonts w:ascii="Calibri" w:hAnsi="Calibri"/>
          <w:b/>
          <w:bCs/>
          <w:sz w:val="22"/>
        </w:rPr>
        <w:t>INCOME L</w:t>
      </w:r>
      <w:r>
        <w:rPr>
          <w:rFonts w:ascii="Calibri" w:hAnsi="Calibri"/>
          <w:b/>
          <w:bCs/>
          <w:sz w:val="22"/>
        </w:rPr>
        <w:t>IMITS</w:t>
      </w:r>
      <w:r w:rsidRPr="00051824">
        <w:rPr>
          <w:rFonts w:ascii="Calibri" w:hAnsi="Calibri"/>
          <w:b/>
          <w:bCs/>
          <w:sz w:val="22"/>
        </w:rPr>
        <w:t xml:space="preserve"> FOR THE BOST</w:t>
      </w:r>
      <w:r>
        <w:rPr>
          <w:rFonts w:ascii="Calibri" w:hAnsi="Calibri"/>
          <w:b/>
          <w:bCs/>
          <w:sz w:val="22"/>
        </w:rPr>
        <w:t>ON-CAMBRIDGE-QUINCY MA-NH METRO</w:t>
      </w:r>
      <w:r w:rsidRPr="00051824">
        <w:rPr>
          <w:rFonts w:ascii="Calibri" w:hAnsi="Calibri"/>
          <w:b/>
          <w:bCs/>
          <w:sz w:val="22"/>
        </w:rPr>
        <w:t xml:space="preserve"> AREA</w:t>
      </w:r>
      <w:r>
        <w:rPr>
          <w:rFonts w:ascii="Calibri" w:hAnsi="Calibri"/>
          <w:b/>
          <w:bCs/>
          <w:sz w:val="22"/>
        </w:rPr>
        <w:t xml:space="preserve">, </w:t>
      </w:r>
      <w:r w:rsidRPr="00051824">
        <w:rPr>
          <w:rFonts w:ascii="Calibri" w:hAnsi="Calibri"/>
          <w:b/>
          <w:bCs/>
          <w:sz w:val="22"/>
        </w:rPr>
        <w:t>2021</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1533"/>
        <w:gridCol w:w="1533"/>
        <w:gridCol w:w="1534"/>
        <w:gridCol w:w="1528"/>
      </w:tblGrid>
      <w:tr w:rsidR="002224D1" w14:paraId="096CB70A" w14:textId="77777777" w:rsidTr="000A6E84">
        <w:tc>
          <w:tcPr>
            <w:tcW w:w="1720" w:type="dxa"/>
          </w:tcPr>
          <w:p w14:paraId="0373AAE3" w14:textId="2662D497" w:rsidR="002224D1" w:rsidRDefault="002224D1" w:rsidP="000A6E84">
            <w:pPr>
              <w:ind w:right="-720"/>
              <w:rPr>
                <w:rFonts w:ascii="Calibri" w:hAnsi="Calibri"/>
                <w:b/>
                <w:bCs/>
              </w:rPr>
            </w:pPr>
            <w:r>
              <w:rPr>
                <w:rFonts w:ascii="Calibri" w:hAnsi="Calibri"/>
                <w:b/>
                <w:bCs/>
              </w:rPr>
              <w:t># Household</w:t>
            </w:r>
          </w:p>
        </w:tc>
        <w:tc>
          <w:tcPr>
            <w:tcW w:w="1533" w:type="dxa"/>
          </w:tcPr>
          <w:p w14:paraId="076F7A78" w14:textId="77777777" w:rsidR="002224D1" w:rsidRDefault="002224D1" w:rsidP="000A6E84">
            <w:pPr>
              <w:ind w:right="-720"/>
              <w:rPr>
                <w:rFonts w:ascii="Calibri" w:hAnsi="Calibri"/>
                <w:b/>
                <w:bCs/>
              </w:rPr>
            </w:pPr>
            <w:r>
              <w:rPr>
                <w:rFonts w:ascii="Calibri" w:hAnsi="Calibri"/>
                <w:b/>
                <w:bCs/>
              </w:rPr>
              <w:t>30% AMI</w:t>
            </w:r>
          </w:p>
        </w:tc>
        <w:tc>
          <w:tcPr>
            <w:tcW w:w="1533" w:type="dxa"/>
          </w:tcPr>
          <w:p w14:paraId="5ABA0351" w14:textId="77777777" w:rsidR="002224D1" w:rsidRDefault="002224D1" w:rsidP="000A6E84">
            <w:pPr>
              <w:ind w:right="-720"/>
              <w:rPr>
                <w:rFonts w:ascii="Calibri" w:hAnsi="Calibri"/>
                <w:b/>
                <w:bCs/>
              </w:rPr>
            </w:pPr>
            <w:r>
              <w:rPr>
                <w:rFonts w:ascii="Calibri" w:hAnsi="Calibri"/>
                <w:b/>
                <w:bCs/>
              </w:rPr>
              <w:t>50% AMI</w:t>
            </w:r>
          </w:p>
        </w:tc>
        <w:tc>
          <w:tcPr>
            <w:tcW w:w="1534" w:type="dxa"/>
          </w:tcPr>
          <w:p w14:paraId="2D1E1D55" w14:textId="77777777" w:rsidR="002224D1" w:rsidRDefault="002224D1" w:rsidP="000A6E84">
            <w:pPr>
              <w:ind w:right="-720"/>
              <w:rPr>
                <w:rFonts w:ascii="Calibri" w:hAnsi="Calibri"/>
                <w:b/>
                <w:bCs/>
              </w:rPr>
            </w:pPr>
            <w:r>
              <w:rPr>
                <w:rFonts w:ascii="Calibri" w:hAnsi="Calibri"/>
                <w:b/>
                <w:bCs/>
              </w:rPr>
              <w:t>80% AMI</w:t>
            </w:r>
          </w:p>
        </w:tc>
        <w:tc>
          <w:tcPr>
            <w:tcW w:w="1528" w:type="dxa"/>
          </w:tcPr>
          <w:p w14:paraId="775816B9" w14:textId="77777777" w:rsidR="002224D1" w:rsidRDefault="002224D1" w:rsidP="000A6E84">
            <w:pPr>
              <w:ind w:right="-720"/>
              <w:rPr>
                <w:rFonts w:ascii="Calibri" w:hAnsi="Calibri"/>
                <w:b/>
                <w:bCs/>
              </w:rPr>
            </w:pPr>
            <w:r>
              <w:rPr>
                <w:rFonts w:ascii="Calibri" w:hAnsi="Calibri"/>
                <w:b/>
                <w:bCs/>
              </w:rPr>
              <w:t>100% AMI</w:t>
            </w:r>
          </w:p>
        </w:tc>
      </w:tr>
      <w:tr w:rsidR="002224D1" w14:paraId="0B68069E" w14:textId="77777777" w:rsidTr="000A6E84">
        <w:tc>
          <w:tcPr>
            <w:tcW w:w="1720" w:type="dxa"/>
          </w:tcPr>
          <w:p w14:paraId="2AB6A99D" w14:textId="77777777" w:rsidR="002224D1" w:rsidRDefault="002224D1" w:rsidP="000A6E84">
            <w:pPr>
              <w:ind w:right="-720"/>
              <w:jc w:val="center"/>
              <w:rPr>
                <w:rFonts w:ascii="Calibri" w:hAnsi="Calibri"/>
                <w:sz w:val="20"/>
              </w:rPr>
            </w:pPr>
            <w:r>
              <w:rPr>
                <w:rFonts w:ascii="Calibri" w:hAnsi="Calibri"/>
                <w:sz w:val="20"/>
              </w:rPr>
              <w:t>1</w:t>
            </w:r>
          </w:p>
        </w:tc>
        <w:tc>
          <w:tcPr>
            <w:tcW w:w="1533" w:type="dxa"/>
          </w:tcPr>
          <w:p w14:paraId="3C95C19B" w14:textId="77777777" w:rsidR="002224D1" w:rsidRDefault="002224D1" w:rsidP="000A6E84">
            <w:pPr>
              <w:ind w:right="-720"/>
              <w:rPr>
                <w:rFonts w:ascii="Calibri" w:hAnsi="Calibri"/>
                <w:sz w:val="20"/>
              </w:rPr>
            </w:pPr>
            <w:r>
              <w:rPr>
                <w:rFonts w:ascii="Calibri" w:hAnsi="Calibri"/>
                <w:sz w:val="20"/>
              </w:rPr>
              <w:t>$28,2000</w:t>
            </w:r>
          </w:p>
        </w:tc>
        <w:tc>
          <w:tcPr>
            <w:tcW w:w="1533" w:type="dxa"/>
          </w:tcPr>
          <w:p w14:paraId="58311B6B" w14:textId="77777777" w:rsidR="002224D1" w:rsidRDefault="002224D1" w:rsidP="000A6E84">
            <w:pPr>
              <w:ind w:right="-720"/>
              <w:rPr>
                <w:rFonts w:ascii="Calibri" w:hAnsi="Calibri"/>
                <w:sz w:val="20"/>
              </w:rPr>
            </w:pPr>
            <w:r>
              <w:rPr>
                <w:rFonts w:ascii="Calibri" w:hAnsi="Calibri"/>
                <w:sz w:val="20"/>
              </w:rPr>
              <w:t>$47,000</w:t>
            </w:r>
          </w:p>
        </w:tc>
        <w:tc>
          <w:tcPr>
            <w:tcW w:w="1534" w:type="dxa"/>
          </w:tcPr>
          <w:p w14:paraId="6EF5B5FA" w14:textId="77777777" w:rsidR="002224D1" w:rsidRDefault="002224D1" w:rsidP="000A6E84">
            <w:pPr>
              <w:ind w:right="-720"/>
              <w:rPr>
                <w:rFonts w:ascii="Calibri" w:hAnsi="Calibri"/>
                <w:sz w:val="20"/>
              </w:rPr>
            </w:pPr>
            <w:r>
              <w:rPr>
                <w:rFonts w:ascii="Calibri" w:hAnsi="Calibri"/>
                <w:sz w:val="20"/>
              </w:rPr>
              <w:t>$70,750</w:t>
            </w:r>
          </w:p>
        </w:tc>
        <w:tc>
          <w:tcPr>
            <w:tcW w:w="1528" w:type="dxa"/>
          </w:tcPr>
          <w:p w14:paraId="63533D6A" w14:textId="77777777" w:rsidR="002224D1" w:rsidRDefault="002224D1" w:rsidP="000A6E84">
            <w:pPr>
              <w:ind w:right="-720"/>
              <w:rPr>
                <w:rFonts w:ascii="Calibri" w:hAnsi="Calibri"/>
                <w:sz w:val="20"/>
              </w:rPr>
            </w:pPr>
            <w:r>
              <w:rPr>
                <w:rFonts w:ascii="Calibri" w:hAnsi="Calibri"/>
                <w:sz w:val="20"/>
              </w:rPr>
              <w:t>$84,560</w:t>
            </w:r>
          </w:p>
        </w:tc>
      </w:tr>
      <w:tr w:rsidR="002224D1" w14:paraId="3E8B02AB" w14:textId="77777777" w:rsidTr="000A6E84">
        <w:tc>
          <w:tcPr>
            <w:tcW w:w="1720" w:type="dxa"/>
          </w:tcPr>
          <w:p w14:paraId="30D29F96" w14:textId="77777777" w:rsidR="002224D1" w:rsidRDefault="002224D1" w:rsidP="000A6E84">
            <w:pPr>
              <w:ind w:right="-720"/>
              <w:jc w:val="center"/>
              <w:rPr>
                <w:rFonts w:ascii="Calibri" w:hAnsi="Calibri"/>
                <w:sz w:val="20"/>
              </w:rPr>
            </w:pPr>
            <w:r>
              <w:rPr>
                <w:rFonts w:ascii="Calibri" w:hAnsi="Calibri"/>
                <w:sz w:val="20"/>
              </w:rPr>
              <w:t>2</w:t>
            </w:r>
          </w:p>
        </w:tc>
        <w:tc>
          <w:tcPr>
            <w:tcW w:w="1533" w:type="dxa"/>
          </w:tcPr>
          <w:p w14:paraId="1B40FC36" w14:textId="77777777" w:rsidR="002224D1" w:rsidRDefault="002224D1" w:rsidP="000A6E84">
            <w:pPr>
              <w:ind w:right="-720"/>
              <w:rPr>
                <w:rFonts w:ascii="Calibri" w:hAnsi="Calibri"/>
                <w:sz w:val="20"/>
              </w:rPr>
            </w:pPr>
            <w:r>
              <w:rPr>
                <w:rFonts w:ascii="Calibri" w:hAnsi="Calibri"/>
                <w:sz w:val="20"/>
              </w:rPr>
              <w:t>$32,200</w:t>
            </w:r>
          </w:p>
        </w:tc>
        <w:tc>
          <w:tcPr>
            <w:tcW w:w="1533" w:type="dxa"/>
          </w:tcPr>
          <w:p w14:paraId="2718585E" w14:textId="77777777" w:rsidR="002224D1" w:rsidRDefault="002224D1" w:rsidP="000A6E84">
            <w:pPr>
              <w:ind w:right="-720"/>
              <w:rPr>
                <w:rFonts w:ascii="Calibri" w:hAnsi="Calibri"/>
                <w:sz w:val="20"/>
              </w:rPr>
            </w:pPr>
            <w:r>
              <w:rPr>
                <w:rFonts w:ascii="Calibri" w:hAnsi="Calibri"/>
                <w:sz w:val="20"/>
              </w:rPr>
              <w:t>$53,700</w:t>
            </w:r>
          </w:p>
        </w:tc>
        <w:tc>
          <w:tcPr>
            <w:tcW w:w="1534" w:type="dxa"/>
          </w:tcPr>
          <w:p w14:paraId="6C02E331" w14:textId="77777777" w:rsidR="002224D1" w:rsidRDefault="002224D1" w:rsidP="000A6E84">
            <w:pPr>
              <w:ind w:right="-720"/>
              <w:rPr>
                <w:rFonts w:ascii="Calibri" w:hAnsi="Calibri"/>
                <w:sz w:val="20"/>
              </w:rPr>
            </w:pPr>
            <w:r>
              <w:rPr>
                <w:rFonts w:ascii="Calibri" w:hAnsi="Calibri"/>
                <w:sz w:val="20"/>
              </w:rPr>
              <w:t>$80,850</w:t>
            </w:r>
          </w:p>
        </w:tc>
        <w:tc>
          <w:tcPr>
            <w:tcW w:w="1528" w:type="dxa"/>
          </w:tcPr>
          <w:p w14:paraId="45D2AEDC" w14:textId="77777777" w:rsidR="002224D1" w:rsidRDefault="002224D1" w:rsidP="000A6E84">
            <w:pPr>
              <w:ind w:right="-720"/>
              <w:rPr>
                <w:rFonts w:ascii="Calibri" w:hAnsi="Calibri"/>
                <w:sz w:val="20"/>
              </w:rPr>
            </w:pPr>
            <w:r>
              <w:rPr>
                <w:rFonts w:ascii="Calibri" w:hAnsi="Calibri"/>
                <w:sz w:val="20"/>
              </w:rPr>
              <w:t>$96,640</w:t>
            </w:r>
          </w:p>
        </w:tc>
      </w:tr>
      <w:tr w:rsidR="002224D1" w14:paraId="7BCD800F" w14:textId="77777777" w:rsidTr="000A6E84">
        <w:trPr>
          <w:trHeight w:val="161"/>
        </w:trPr>
        <w:tc>
          <w:tcPr>
            <w:tcW w:w="1720" w:type="dxa"/>
          </w:tcPr>
          <w:p w14:paraId="75F21E4E" w14:textId="77777777" w:rsidR="002224D1" w:rsidRDefault="002224D1" w:rsidP="000A6E84">
            <w:pPr>
              <w:ind w:right="-720"/>
              <w:jc w:val="center"/>
              <w:rPr>
                <w:rFonts w:ascii="Calibri" w:hAnsi="Calibri"/>
                <w:sz w:val="20"/>
              </w:rPr>
            </w:pPr>
            <w:r>
              <w:rPr>
                <w:rFonts w:ascii="Calibri" w:hAnsi="Calibri"/>
                <w:sz w:val="20"/>
              </w:rPr>
              <w:t>3</w:t>
            </w:r>
          </w:p>
        </w:tc>
        <w:tc>
          <w:tcPr>
            <w:tcW w:w="1533" w:type="dxa"/>
          </w:tcPr>
          <w:p w14:paraId="64817B6A" w14:textId="77777777" w:rsidR="002224D1" w:rsidRDefault="002224D1" w:rsidP="000A6E84">
            <w:pPr>
              <w:ind w:right="-720"/>
              <w:rPr>
                <w:rFonts w:ascii="Calibri" w:hAnsi="Calibri"/>
                <w:sz w:val="20"/>
              </w:rPr>
            </w:pPr>
            <w:r>
              <w:rPr>
                <w:rFonts w:ascii="Calibri" w:hAnsi="Calibri"/>
                <w:sz w:val="20"/>
              </w:rPr>
              <w:t>$36,250</w:t>
            </w:r>
          </w:p>
        </w:tc>
        <w:tc>
          <w:tcPr>
            <w:tcW w:w="1533" w:type="dxa"/>
          </w:tcPr>
          <w:p w14:paraId="56686CB2" w14:textId="77777777" w:rsidR="002224D1" w:rsidRDefault="002224D1" w:rsidP="000A6E84">
            <w:pPr>
              <w:ind w:right="-720"/>
              <w:rPr>
                <w:rFonts w:ascii="Calibri" w:hAnsi="Calibri"/>
                <w:sz w:val="20"/>
              </w:rPr>
            </w:pPr>
            <w:r>
              <w:rPr>
                <w:rFonts w:ascii="Calibri" w:hAnsi="Calibri"/>
                <w:sz w:val="20"/>
              </w:rPr>
              <w:t>$60,400</w:t>
            </w:r>
          </w:p>
        </w:tc>
        <w:tc>
          <w:tcPr>
            <w:tcW w:w="1534" w:type="dxa"/>
          </w:tcPr>
          <w:p w14:paraId="7F1EC4AC" w14:textId="77777777" w:rsidR="002224D1" w:rsidRDefault="002224D1" w:rsidP="000A6E84">
            <w:pPr>
              <w:ind w:right="-720"/>
              <w:rPr>
                <w:rFonts w:ascii="Calibri" w:hAnsi="Calibri"/>
                <w:sz w:val="20"/>
              </w:rPr>
            </w:pPr>
            <w:r>
              <w:rPr>
                <w:rFonts w:ascii="Calibri" w:hAnsi="Calibri"/>
                <w:sz w:val="20"/>
              </w:rPr>
              <w:t>$90,950</w:t>
            </w:r>
          </w:p>
        </w:tc>
        <w:tc>
          <w:tcPr>
            <w:tcW w:w="1528" w:type="dxa"/>
          </w:tcPr>
          <w:p w14:paraId="5A6BFCC9" w14:textId="77777777" w:rsidR="002224D1" w:rsidRDefault="002224D1" w:rsidP="000A6E84">
            <w:pPr>
              <w:ind w:right="-720"/>
              <w:rPr>
                <w:rFonts w:ascii="Calibri" w:hAnsi="Calibri"/>
                <w:sz w:val="20"/>
              </w:rPr>
            </w:pPr>
            <w:r>
              <w:rPr>
                <w:rFonts w:ascii="Calibri" w:hAnsi="Calibri"/>
                <w:sz w:val="20"/>
              </w:rPr>
              <w:t>$108,720</w:t>
            </w:r>
          </w:p>
        </w:tc>
      </w:tr>
      <w:tr w:rsidR="002224D1" w14:paraId="5D356695" w14:textId="77777777" w:rsidTr="000A6E84">
        <w:tc>
          <w:tcPr>
            <w:tcW w:w="1720" w:type="dxa"/>
          </w:tcPr>
          <w:p w14:paraId="15B6C5E0" w14:textId="77777777" w:rsidR="002224D1" w:rsidRDefault="002224D1" w:rsidP="000A6E84">
            <w:pPr>
              <w:ind w:right="-720"/>
              <w:jc w:val="center"/>
              <w:rPr>
                <w:rFonts w:ascii="Calibri" w:hAnsi="Calibri"/>
                <w:sz w:val="20"/>
              </w:rPr>
            </w:pPr>
            <w:r>
              <w:rPr>
                <w:rFonts w:ascii="Calibri" w:hAnsi="Calibri"/>
                <w:sz w:val="20"/>
              </w:rPr>
              <w:t>4</w:t>
            </w:r>
          </w:p>
        </w:tc>
        <w:tc>
          <w:tcPr>
            <w:tcW w:w="1533" w:type="dxa"/>
          </w:tcPr>
          <w:p w14:paraId="1FD1D0C2" w14:textId="77777777" w:rsidR="002224D1" w:rsidRDefault="002224D1" w:rsidP="000A6E84">
            <w:pPr>
              <w:ind w:right="-720"/>
              <w:rPr>
                <w:rFonts w:ascii="Calibri" w:hAnsi="Calibri"/>
                <w:sz w:val="20"/>
              </w:rPr>
            </w:pPr>
            <w:r>
              <w:rPr>
                <w:rFonts w:ascii="Calibri" w:hAnsi="Calibri"/>
                <w:sz w:val="20"/>
              </w:rPr>
              <w:t>$40,250</w:t>
            </w:r>
          </w:p>
        </w:tc>
        <w:tc>
          <w:tcPr>
            <w:tcW w:w="1533" w:type="dxa"/>
          </w:tcPr>
          <w:p w14:paraId="4F4266A9" w14:textId="77777777" w:rsidR="002224D1" w:rsidRDefault="002224D1" w:rsidP="000A6E84">
            <w:pPr>
              <w:ind w:right="-720"/>
              <w:rPr>
                <w:rFonts w:ascii="Calibri" w:hAnsi="Calibri"/>
                <w:sz w:val="20"/>
              </w:rPr>
            </w:pPr>
            <w:r>
              <w:rPr>
                <w:rFonts w:ascii="Calibri" w:hAnsi="Calibri"/>
                <w:sz w:val="20"/>
              </w:rPr>
              <w:t>$67,100</w:t>
            </w:r>
          </w:p>
        </w:tc>
        <w:tc>
          <w:tcPr>
            <w:tcW w:w="1534" w:type="dxa"/>
          </w:tcPr>
          <w:p w14:paraId="41694679" w14:textId="77777777" w:rsidR="002224D1" w:rsidRDefault="002224D1" w:rsidP="000A6E84">
            <w:pPr>
              <w:ind w:right="-720"/>
              <w:rPr>
                <w:rFonts w:ascii="Calibri" w:hAnsi="Calibri"/>
                <w:sz w:val="20"/>
              </w:rPr>
            </w:pPr>
            <w:r>
              <w:rPr>
                <w:rFonts w:ascii="Calibri" w:hAnsi="Calibri"/>
                <w:sz w:val="20"/>
              </w:rPr>
              <w:t>$101,050</w:t>
            </w:r>
          </w:p>
        </w:tc>
        <w:tc>
          <w:tcPr>
            <w:tcW w:w="1528" w:type="dxa"/>
          </w:tcPr>
          <w:p w14:paraId="7EC16B11" w14:textId="77777777" w:rsidR="002224D1" w:rsidRDefault="002224D1" w:rsidP="000A6E84">
            <w:pPr>
              <w:ind w:right="-720"/>
              <w:rPr>
                <w:rFonts w:ascii="Calibri" w:hAnsi="Calibri"/>
                <w:sz w:val="20"/>
              </w:rPr>
            </w:pPr>
            <w:r>
              <w:rPr>
                <w:rFonts w:ascii="Calibri" w:hAnsi="Calibri"/>
                <w:sz w:val="20"/>
              </w:rPr>
              <w:t>$120,800</w:t>
            </w:r>
          </w:p>
        </w:tc>
      </w:tr>
      <w:tr w:rsidR="002224D1" w14:paraId="45E48DBD" w14:textId="77777777" w:rsidTr="000A6E84">
        <w:tc>
          <w:tcPr>
            <w:tcW w:w="1720" w:type="dxa"/>
          </w:tcPr>
          <w:p w14:paraId="64AD4243" w14:textId="77777777" w:rsidR="002224D1" w:rsidRDefault="002224D1" w:rsidP="000A6E84">
            <w:pPr>
              <w:ind w:right="-720"/>
              <w:jc w:val="center"/>
              <w:rPr>
                <w:rFonts w:ascii="Calibri" w:hAnsi="Calibri"/>
                <w:sz w:val="20"/>
              </w:rPr>
            </w:pPr>
            <w:r>
              <w:rPr>
                <w:rFonts w:ascii="Calibri" w:hAnsi="Calibri"/>
                <w:sz w:val="20"/>
              </w:rPr>
              <w:t>5</w:t>
            </w:r>
          </w:p>
        </w:tc>
        <w:tc>
          <w:tcPr>
            <w:tcW w:w="1533" w:type="dxa"/>
          </w:tcPr>
          <w:p w14:paraId="65D3DFE6" w14:textId="77777777" w:rsidR="002224D1" w:rsidRDefault="002224D1" w:rsidP="000A6E84">
            <w:pPr>
              <w:ind w:right="-720"/>
              <w:rPr>
                <w:rFonts w:ascii="Calibri" w:hAnsi="Calibri"/>
                <w:sz w:val="20"/>
              </w:rPr>
            </w:pPr>
            <w:r>
              <w:rPr>
                <w:rFonts w:ascii="Calibri" w:hAnsi="Calibri"/>
                <w:sz w:val="20"/>
              </w:rPr>
              <w:t>$43,500</w:t>
            </w:r>
          </w:p>
        </w:tc>
        <w:tc>
          <w:tcPr>
            <w:tcW w:w="1533" w:type="dxa"/>
          </w:tcPr>
          <w:p w14:paraId="0C417969" w14:textId="77777777" w:rsidR="002224D1" w:rsidRDefault="002224D1" w:rsidP="000A6E84">
            <w:pPr>
              <w:ind w:right="-720"/>
              <w:rPr>
                <w:rFonts w:ascii="Calibri" w:hAnsi="Calibri"/>
                <w:sz w:val="20"/>
              </w:rPr>
            </w:pPr>
            <w:r>
              <w:rPr>
                <w:rFonts w:ascii="Calibri" w:hAnsi="Calibri"/>
                <w:sz w:val="20"/>
              </w:rPr>
              <w:t>$72,500</w:t>
            </w:r>
          </w:p>
        </w:tc>
        <w:tc>
          <w:tcPr>
            <w:tcW w:w="1534" w:type="dxa"/>
          </w:tcPr>
          <w:p w14:paraId="46DB787A" w14:textId="77777777" w:rsidR="002224D1" w:rsidRDefault="002224D1" w:rsidP="000A6E84">
            <w:pPr>
              <w:ind w:right="-720"/>
              <w:rPr>
                <w:rFonts w:ascii="Calibri" w:hAnsi="Calibri"/>
                <w:sz w:val="20"/>
              </w:rPr>
            </w:pPr>
            <w:r>
              <w:rPr>
                <w:rFonts w:ascii="Calibri" w:hAnsi="Calibri"/>
                <w:sz w:val="20"/>
              </w:rPr>
              <w:t>$109,150</w:t>
            </w:r>
          </w:p>
        </w:tc>
        <w:tc>
          <w:tcPr>
            <w:tcW w:w="1528" w:type="dxa"/>
          </w:tcPr>
          <w:p w14:paraId="6CA9B729" w14:textId="77777777" w:rsidR="002224D1" w:rsidRDefault="002224D1" w:rsidP="000A6E84">
            <w:pPr>
              <w:ind w:right="-720"/>
              <w:rPr>
                <w:rFonts w:ascii="Calibri" w:hAnsi="Calibri"/>
                <w:sz w:val="20"/>
              </w:rPr>
            </w:pPr>
            <w:r>
              <w:rPr>
                <w:rFonts w:ascii="Calibri" w:hAnsi="Calibri"/>
                <w:sz w:val="20"/>
              </w:rPr>
              <w:t>$130,464</w:t>
            </w:r>
          </w:p>
        </w:tc>
      </w:tr>
      <w:tr w:rsidR="002224D1" w14:paraId="26C13B11" w14:textId="77777777" w:rsidTr="000A6E84">
        <w:tc>
          <w:tcPr>
            <w:tcW w:w="1720" w:type="dxa"/>
          </w:tcPr>
          <w:p w14:paraId="6C1E7096" w14:textId="77777777" w:rsidR="002224D1" w:rsidRDefault="002224D1" w:rsidP="000A6E84">
            <w:pPr>
              <w:ind w:right="-720"/>
              <w:jc w:val="center"/>
              <w:rPr>
                <w:rFonts w:ascii="Calibri" w:hAnsi="Calibri"/>
                <w:sz w:val="20"/>
              </w:rPr>
            </w:pPr>
            <w:r>
              <w:rPr>
                <w:rFonts w:ascii="Calibri" w:hAnsi="Calibri"/>
                <w:sz w:val="20"/>
              </w:rPr>
              <w:t>6</w:t>
            </w:r>
          </w:p>
        </w:tc>
        <w:tc>
          <w:tcPr>
            <w:tcW w:w="1533" w:type="dxa"/>
          </w:tcPr>
          <w:p w14:paraId="66D21E08" w14:textId="77777777" w:rsidR="002224D1" w:rsidRDefault="002224D1" w:rsidP="000A6E84">
            <w:pPr>
              <w:ind w:right="-720"/>
              <w:rPr>
                <w:rFonts w:ascii="Calibri" w:hAnsi="Calibri"/>
                <w:sz w:val="20"/>
              </w:rPr>
            </w:pPr>
            <w:r>
              <w:rPr>
                <w:rFonts w:ascii="Calibri" w:hAnsi="Calibri"/>
                <w:sz w:val="20"/>
              </w:rPr>
              <w:t>$46,700</w:t>
            </w:r>
          </w:p>
        </w:tc>
        <w:tc>
          <w:tcPr>
            <w:tcW w:w="1533" w:type="dxa"/>
          </w:tcPr>
          <w:p w14:paraId="25D6F658" w14:textId="77777777" w:rsidR="002224D1" w:rsidRDefault="002224D1" w:rsidP="000A6E84">
            <w:pPr>
              <w:ind w:right="-720"/>
              <w:rPr>
                <w:rFonts w:ascii="Calibri" w:hAnsi="Calibri"/>
                <w:sz w:val="20"/>
              </w:rPr>
            </w:pPr>
            <w:r>
              <w:rPr>
                <w:rFonts w:ascii="Calibri" w:hAnsi="Calibri"/>
                <w:sz w:val="20"/>
              </w:rPr>
              <w:t>$77,850</w:t>
            </w:r>
          </w:p>
        </w:tc>
        <w:tc>
          <w:tcPr>
            <w:tcW w:w="1534" w:type="dxa"/>
          </w:tcPr>
          <w:p w14:paraId="42B554DA" w14:textId="77777777" w:rsidR="002224D1" w:rsidRDefault="002224D1" w:rsidP="000A6E84">
            <w:pPr>
              <w:ind w:right="-720"/>
              <w:rPr>
                <w:rFonts w:ascii="Calibri" w:hAnsi="Calibri"/>
                <w:sz w:val="20"/>
              </w:rPr>
            </w:pPr>
            <w:r>
              <w:rPr>
                <w:rFonts w:ascii="Calibri" w:hAnsi="Calibri"/>
                <w:sz w:val="20"/>
              </w:rPr>
              <w:t>$117,250</w:t>
            </w:r>
          </w:p>
        </w:tc>
        <w:tc>
          <w:tcPr>
            <w:tcW w:w="1528" w:type="dxa"/>
          </w:tcPr>
          <w:p w14:paraId="41850297" w14:textId="77777777" w:rsidR="002224D1" w:rsidRDefault="002224D1" w:rsidP="000A6E84">
            <w:pPr>
              <w:ind w:right="-720"/>
              <w:rPr>
                <w:rFonts w:ascii="Calibri" w:hAnsi="Calibri"/>
                <w:sz w:val="20"/>
              </w:rPr>
            </w:pPr>
            <w:r>
              <w:rPr>
                <w:rFonts w:ascii="Calibri" w:hAnsi="Calibri"/>
                <w:sz w:val="20"/>
              </w:rPr>
              <w:t>$140,128</w:t>
            </w:r>
          </w:p>
        </w:tc>
      </w:tr>
      <w:tr w:rsidR="002224D1" w14:paraId="05DF9AC3" w14:textId="77777777" w:rsidTr="000A6E84">
        <w:tc>
          <w:tcPr>
            <w:tcW w:w="1720" w:type="dxa"/>
          </w:tcPr>
          <w:p w14:paraId="5E03B757" w14:textId="77777777" w:rsidR="002224D1" w:rsidRDefault="002224D1" w:rsidP="000A6E84">
            <w:pPr>
              <w:ind w:right="-720"/>
              <w:jc w:val="center"/>
              <w:rPr>
                <w:rFonts w:ascii="Calibri" w:hAnsi="Calibri"/>
                <w:sz w:val="20"/>
              </w:rPr>
            </w:pPr>
            <w:r>
              <w:rPr>
                <w:rFonts w:ascii="Calibri" w:hAnsi="Calibri"/>
                <w:sz w:val="20"/>
              </w:rPr>
              <w:t>7</w:t>
            </w:r>
          </w:p>
        </w:tc>
        <w:tc>
          <w:tcPr>
            <w:tcW w:w="1533" w:type="dxa"/>
          </w:tcPr>
          <w:p w14:paraId="4F9D7F56" w14:textId="77777777" w:rsidR="002224D1" w:rsidRDefault="002224D1" w:rsidP="000A6E84">
            <w:pPr>
              <w:ind w:right="-720"/>
              <w:rPr>
                <w:rFonts w:ascii="Calibri" w:hAnsi="Calibri"/>
                <w:sz w:val="20"/>
              </w:rPr>
            </w:pPr>
            <w:r>
              <w:rPr>
                <w:rFonts w:ascii="Calibri" w:hAnsi="Calibri"/>
                <w:sz w:val="20"/>
              </w:rPr>
              <w:t>$49,950</w:t>
            </w:r>
          </w:p>
        </w:tc>
        <w:tc>
          <w:tcPr>
            <w:tcW w:w="1533" w:type="dxa"/>
          </w:tcPr>
          <w:p w14:paraId="682AF44F" w14:textId="77777777" w:rsidR="002224D1" w:rsidRDefault="002224D1" w:rsidP="000A6E84">
            <w:pPr>
              <w:ind w:right="-720"/>
              <w:rPr>
                <w:rFonts w:ascii="Calibri" w:hAnsi="Calibri"/>
                <w:sz w:val="20"/>
              </w:rPr>
            </w:pPr>
            <w:r>
              <w:rPr>
                <w:rFonts w:ascii="Calibri" w:hAnsi="Calibri"/>
                <w:sz w:val="20"/>
              </w:rPr>
              <w:t>$83,250</w:t>
            </w:r>
          </w:p>
        </w:tc>
        <w:tc>
          <w:tcPr>
            <w:tcW w:w="1534" w:type="dxa"/>
          </w:tcPr>
          <w:p w14:paraId="52EB7462" w14:textId="77777777" w:rsidR="002224D1" w:rsidRDefault="002224D1" w:rsidP="000A6E84">
            <w:pPr>
              <w:ind w:right="-720"/>
              <w:rPr>
                <w:rFonts w:ascii="Calibri" w:hAnsi="Calibri"/>
                <w:sz w:val="20"/>
              </w:rPr>
            </w:pPr>
            <w:r>
              <w:rPr>
                <w:rFonts w:ascii="Calibri" w:hAnsi="Calibri"/>
                <w:sz w:val="20"/>
              </w:rPr>
              <w:t>$125,350</w:t>
            </w:r>
          </w:p>
        </w:tc>
        <w:tc>
          <w:tcPr>
            <w:tcW w:w="1528" w:type="dxa"/>
          </w:tcPr>
          <w:p w14:paraId="2DDCACD8" w14:textId="77777777" w:rsidR="002224D1" w:rsidRDefault="002224D1" w:rsidP="000A6E84">
            <w:pPr>
              <w:ind w:right="-720"/>
              <w:rPr>
                <w:rFonts w:ascii="Calibri" w:hAnsi="Calibri"/>
                <w:sz w:val="20"/>
              </w:rPr>
            </w:pPr>
            <w:r>
              <w:rPr>
                <w:rFonts w:ascii="Calibri" w:hAnsi="Calibri"/>
                <w:sz w:val="20"/>
              </w:rPr>
              <w:t>$149,792</w:t>
            </w:r>
          </w:p>
        </w:tc>
      </w:tr>
      <w:tr w:rsidR="002224D1" w14:paraId="2F92DF4B" w14:textId="77777777" w:rsidTr="000A6E84">
        <w:tc>
          <w:tcPr>
            <w:tcW w:w="1720" w:type="dxa"/>
          </w:tcPr>
          <w:p w14:paraId="6E40D878" w14:textId="77777777" w:rsidR="002224D1" w:rsidRDefault="002224D1" w:rsidP="000A6E84">
            <w:pPr>
              <w:ind w:right="-720"/>
              <w:jc w:val="center"/>
              <w:rPr>
                <w:rFonts w:ascii="Calibri" w:hAnsi="Calibri"/>
                <w:sz w:val="20"/>
              </w:rPr>
            </w:pPr>
            <w:r>
              <w:rPr>
                <w:rFonts w:ascii="Calibri" w:hAnsi="Calibri"/>
                <w:sz w:val="20"/>
              </w:rPr>
              <w:t>8</w:t>
            </w:r>
          </w:p>
        </w:tc>
        <w:tc>
          <w:tcPr>
            <w:tcW w:w="1533" w:type="dxa"/>
          </w:tcPr>
          <w:p w14:paraId="48BD652F" w14:textId="77777777" w:rsidR="002224D1" w:rsidRDefault="002224D1" w:rsidP="000A6E84">
            <w:pPr>
              <w:ind w:right="-720"/>
              <w:rPr>
                <w:rFonts w:ascii="Calibri" w:hAnsi="Calibri"/>
                <w:sz w:val="20"/>
              </w:rPr>
            </w:pPr>
            <w:r>
              <w:rPr>
                <w:rFonts w:ascii="Calibri" w:hAnsi="Calibri"/>
                <w:sz w:val="20"/>
              </w:rPr>
              <w:t>$53,150</w:t>
            </w:r>
          </w:p>
        </w:tc>
        <w:tc>
          <w:tcPr>
            <w:tcW w:w="1533" w:type="dxa"/>
          </w:tcPr>
          <w:p w14:paraId="24DFA400" w14:textId="77777777" w:rsidR="002224D1" w:rsidRDefault="002224D1" w:rsidP="000A6E84">
            <w:pPr>
              <w:ind w:right="-720"/>
              <w:rPr>
                <w:rFonts w:ascii="Calibri" w:hAnsi="Calibri"/>
                <w:sz w:val="20"/>
              </w:rPr>
            </w:pPr>
            <w:r>
              <w:rPr>
                <w:rFonts w:ascii="Calibri" w:hAnsi="Calibri"/>
                <w:sz w:val="20"/>
              </w:rPr>
              <w:t>$88,600</w:t>
            </w:r>
          </w:p>
        </w:tc>
        <w:tc>
          <w:tcPr>
            <w:tcW w:w="1534" w:type="dxa"/>
          </w:tcPr>
          <w:p w14:paraId="32A36B5E" w14:textId="77777777" w:rsidR="002224D1" w:rsidRDefault="002224D1" w:rsidP="000A6E84">
            <w:pPr>
              <w:ind w:right="-720"/>
              <w:rPr>
                <w:rFonts w:ascii="Calibri" w:hAnsi="Calibri"/>
                <w:sz w:val="20"/>
              </w:rPr>
            </w:pPr>
            <w:r>
              <w:rPr>
                <w:rFonts w:ascii="Calibri" w:hAnsi="Calibri"/>
                <w:sz w:val="20"/>
              </w:rPr>
              <w:t>$133,400</w:t>
            </w:r>
          </w:p>
        </w:tc>
        <w:tc>
          <w:tcPr>
            <w:tcW w:w="1528" w:type="dxa"/>
          </w:tcPr>
          <w:p w14:paraId="425AC70C" w14:textId="77777777" w:rsidR="002224D1" w:rsidRDefault="002224D1" w:rsidP="000A6E84">
            <w:pPr>
              <w:ind w:right="-720"/>
              <w:rPr>
                <w:rFonts w:ascii="Calibri" w:hAnsi="Calibri"/>
                <w:sz w:val="20"/>
              </w:rPr>
            </w:pPr>
            <w:r>
              <w:rPr>
                <w:rFonts w:ascii="Calibri" w:hAnsi="Calibri"/>
                <w:sz w:val="20"/>
              </w:rPr>
              <w:t>$159,456</w:t>
            </w:r>
          </w:p>
        </w:tc>
      </w:tr>
    </w:tbl>
    <w:p w14:paraId="308D021C" w14:textId="77777777" w:rsidR="002224D1" w:rsidRDefault="002224D1" w:rsidP="002224D1">
      <w:pPr>
        <w:ind w:left="1440" w:right="-720"/>
        <w:rPr>
          <w:rFonts w:ascii="Calibri" w:hAnsi="Calibri"/>
          <w:sz w:val="20"/>
        </w:rPr>
      </w:pPr>
      <w:r w:rsidRPr="0033731E">
        <w:rPr>
          <w:rFonts w:ascii="Calibri" w:hAnsi="Calibri"/>
          <w:sz w:val="20"/>
        </w:rPr>
        <w:t>Source:  U.S. Department of Housing and Urban Development (HUD)</w:t>
      </w:r>
      <w:r>
        <w:rPr>
          <w:rFonts w:ascii="Calibri" w:hAnsi="Calibri"/>
          <w:sz w:val="20"/>
        </w:rPr>
        <w:t xml:space="preserve"> and Community Preservation Coalition for 100% AMI figures.</w:t>
      </w:r>
    </w:p>
    <w:bookmarkEnd w:id="0"/>
    <w:p w14:paraId="2C96B90D" w14:textId="77777777" w:rsidR="002224D1" w:rsidRDefault="002224D1" w:rsidP="002224D1">
      <w:pPr>
        <w:ind w:left="1440" w:right="-720"/>
        <w:rPr>
          <w:rFonts w:ascii="Calibri" w:hAnsi="Calibri"/>
          <w:sz w:val="20"/>
        </w:rPr>
      </w:pPr>
    </w:p>
    <w:p w14:paraId="2D45E923" w14:textId="11C7FABF" w:rsidR="002224D1" w:rsidRDefault="002224D1" w:rsidP="002224D1">
      <w:pPr>
        <w:pStyle w:val="FootnoteText"/>
        <w:jc w:val="both"/>
        <w:rPr>
          <w:rFonts w:ascii="Calibri" w:hAnsi="Calibri"/>
          <w:sz w:val="22"/>
        </w:rPr>
      </w:pPr>
      <w:r>
        <w:rPr>
          <w:rFonts w:ascii="Calibri" w:hAnsi="Calibri"/>
          <w:sz w:val="22"/>
        </w:rPr>
        <w:t xml:space="preserve">Most state-supported housing assistance programs are targeted to households earning at or below 80% AMI, as well as some at lower income thresholds.  The Community Preservation Act (CPA) allows resources to be directed to those </w:t>
      </w:r>
      <w:r w:rsidR="0028670D">
        <w:rPr>
          <w:rFonts w:ascii="Calibri" w:hAnsi="Calibri"/>
          <w:sz w:val="22"/>
        </w:rPr>
        <w:t>at</w:t>
      </w:r>
      <w:r>
        <w:rPr>
          <w:rFonts w:ascii="Calibri" w:hAnsi="Calibri"/>
          <w:sz w:val="22"/>
        </w:rPr>
        <w:t xml:space="preserve"> a somewhat higher income threshold – up to 100% of area median income – now typically referred to as “community housing”</w:t>
      </w:r>
      <w:r w:rsidR="0028670D">
        <w:rPr>
          <w:rFonts w:ascii="Calibri" w:hAnsi="Calibri"/>
          <w:sz w:val="22"/>
        </w:rPr>
        <w:t>.  It should be noted</w:t>
      </w:r>
      <w:r>
        <w:rPr>
          <w:rFonts w:ascii="Calibri" w:hAnsi="Calibri"/>
          <w:sz w:val="22"/>
        </w:rPr>
        <w:t>, however</w:t>
      </w:r>
      <w:r w:rsidR="0028670D">
        <w:rPr>
          <w:rFonts w:ascii="Calibri" w:hAnsi="Calibri"/>
          <w:sz w:val="22"/>
        </w:rPr>
        <w:t>, that</w:t>
      </w:r>
      <w:r>
        <w:rPr>
          <w:rFonts w:ascii="Calibri" w:hAnsi="Calibri"/>
          <w:sz w:val="22"/>
        </w:rPr>
        <w:t xml:space="preserve"> units in this income range cannot be counted as part of the SHI. In general, programs that subsidize rental units are targeted to households earning less than 60% AMI with some financing reaching those with incomes below 30% AMI. </w:t>
      </w:r>
      <w:r w:rsidR="0028670D">
        <w:rPr>
          <w:rFonts w:ascii="Calibri" w:hAnsi="Calibri"/>
          <w:sz w:val="22"/>
        </w:rPr>
        <w:t xml:space="preserve"> </w:t>
      </w:r>
      <w:r>
        <w:rPr>
          <w:rFonts w:ascii="Calibri" w:hAnsi="Calibri"/>
          <w:sz w:val="22"/>
        </w:rPr>
        <w:t xml:space="preserve">First-time homebuyer programs typically apply income limits of 80% AMI. </w:t>
      </w:r>
    </w:p>
    <w:p w14:paraId="3832DBD4" w14:textId="77777777" w:rsidR="002224D1" w:rsidRDefault="002224D1" w:rsidP="002224D1">
      <w:pPr>
        <w:pStyle w:val="FootnoteText"/>
        <w:jc w:val="both"/>
        <w:rPr>
          <w:rFonts w:ascii="Calibri" w:hAnsi="Calibri"/>
          <w:b/>
          <w:bCs/>
          <w:sz w:val="22"/>
        </w:rPr>
      </w:pPr>
    </w:p>
    <w:p w14:paraId="5E63168E" w14:textId="2897B375" w:rsidR="002224D1" w:rsidRDefault="002224D1" w:rsidP="00606960">
      <w:pPr>
        <w:tabs>
          <w:tab w:val="left" w:pos="0"/>
        </w:tabs>
        <w:jc w:val="both"/>
        <w:rPr>
          <w:rFonts w:ascii="Calibri" w:hAnsi="Calibri"/>
          <w:sz w:val="22"/>
        </w:rPr>
      </w:pPr>
      <w:r>
        <w:rPr>
          <w:rFonts w:ascii="Calibri" w:hAnsi="Calibri"/>
          <w:sz w:val="22"/>
        </w:rPr>
        <w:t xml:space="preserve">In counting a community’s progress toward the </w:t>
      </w:r>
      <w:r w:rsidR="00606960">
        <w:rPr>
          <w:rFonts w:ascii="Calibri" w:hAnsi="Calibri"/>
          <w:sz w:val="22"/>
        </w:rPr>
        <w:t xml:space="preserve">Chapter 40B </w:t>
      </w:r>
      <w:r>
        <w:rPr>
          <w:rFonts w:ascii="Calibri" w:hAnsi="Calibri"/>
          <w:sz w:val="22"/>
        </w:rPr>
        <w:t xml:space="preserve">10% threshold, the state counts a housing unit as affordable if it meets a number of requirements under Chapter 40B as summarized in Figure </w:t>
      </w:r>
      <w:r w:rsidR="008A5C94">
        <w:rPr>
          <w:rFonts w:ascii="Calibri" w:hAnsi="Calibri"/>
          <w:sz w:val="22"/>
        </w:rPr>
        <w:t>II</w:t>
      </w:r>
      <w:r>
        <w:rPr>
          <w:rFonts w:ascii="Calibri" w:hAnsi="Calibri"/>
          <w:sz w:val="22"/>
        </w:rPr>
        <w:t>-1.</w:t>
      </w:r>
      <w:r w:rsidR="00EA362B">
        <w:rPr>
          <w:rFonts w:ascii="Calibri" w:hAnsi="Calibri"/>
          <w:sz w:val="22"/>
        </w:rPr>
        <w:t xml:space="preserve">  These units are often referred to as “A” affordable.  It is worth noting that</w:t>
      </w:r>
      <w:r w:rsidR="008D56A7">
        <w:rPr>
          <w:rFonts w:ascii="Calibri" w:hAnsi="Calibri"/>
          <w:sz w:val="22"/>
        </w:rPr>
        <w:t xml:space="preserve"> there are </w:t>
      </w:r>
      <w:r w:rsidR="00606960" w:rsidRPr="008E78EB">
        <w:rPr>
          <w:rFonts w:asciiTheme="minorHAnsi" w:hAnsiTheme="minorHAnsi" w:cstheme="minorHAnsi"/>
          <w:sz w:val="22"/>
          <w:szCs w:val="22"/>
        </w:rPr>
        <w:t xml:space="preserve">moderately-priced </w:t>
      </w:r>
      <w:r w:rsidR="00606960">
        <w:rPr>
          <w:rFonts w:asciiTheme="minorHAnsi" w:hAnsiTheme="minorHAnsi" w:cstheme="minorHAnsi"/>
          <w:sz w:val="22"/>
          <w:szCs w:val="22"/>
        </w:rPr>
        <w:lastRenderedPageBreak/>
        <w:t>units available on the open market that</w:t>
      </w:r>
      <w:r w:rsidR="00606960" w:rsidRPr="008E78EB">
        <w:rPr>
          <w:rFonts w:asciiTheme="minorHAnsi" w:hAnsiTheme="minorHAnsi" w:cstheme="minorHAnsi"/>
          <w:sz w:val="22"/>
          <w:szCs w:val="22"/>
        </w:rPr>
        <w:t xml:space="preserve"> do not qualify for the SHI  and referred to as Market Affordable Housing.</w:t>
      </w:r>
    </w:p>
    <w:p w14:paraId="4B89AA6E" w14:textId="77777777" w:rsidR="002224D1" w:rsidRDefault="002224D1" w:rsidP="002224D1">
      <w:pPr>
        <w:pStyle w:val="FootnoteText"/>
        <w:ind w:right="-720"/>
        <w:jc w:val="both"/>
        <w:rPr>
          <w:rFonts w:ascii="Calibri" w:hAnsi="Calibri"/>
          <w:sz w:val="22"/>
        </w:rPr>
      </w:pPr>
    </w:p>
    <w:tbl>
      <w:tblPr>
        <w:tblpPr w:leftFromText="180" w:rightFromText="180" w:vertAnchor="page" w:horzAnchor="margin" w:tblpXSpec="center" w:tblpY="2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564669" w14:paraId="168A106E" w14:textId="77777777" w:rsidTr="00564669">
        <w:trPr>
          <w:trHeight w:val="3600"/>
        </w:trPr>
        <w:tc>
          <w:tcPr>
            <w:tcW w:w="5760" w:type="dxa"/>
            <w:shd w:val="clear" w:color="auto" w:fill="auto"/>
          </w:tcPr>
          <w:p w14:paraId="36B7F7C5" w14:textId="77777777" w:rsidR="00564669" w:rsidRPr="00C24F15" w:rsidRDefault="00564669" w:rsidP="00564669">
            <w:pPr>
              <w:tabs>
                <w:tab w:val="left" w:pos="2520"/>
              </w:tabs>
              <w:ind w:left="180" w:right="-720"/>
              <w:jc w:val="center"/>
              <w:rPr>
                <w:rFonts w:ascii="Calibri" w:hAnsi="Calibri"/>
                <w:b/>
                <w:bCs/>
                <w:sz w:val="20"/>
              </w:rPr>
            </w:pPr>
            <w:r w:rsidRPr="0069589C">
              <w:rPr>
                <w:rFonts w:ascii="Calibri" w:hAnsi="Calibri"/>
                <w:b/>
                <w:bCs/>
                <w:sz w:val="20"/>
              </w:rPr>
              <w:t xml:space="preserve">Figure </w:t>
            </w:r>
            <w:r>
              <w:rPr>
                <w:rFonts w:ascii="Calibri" w:hAnsi="Calibri"/>
                <w:b/>
                <w:bCs/>
                <w:sz w:val="20"/>
              </w:rPr>
              <w:t>II-1</w:t>
            </w:r>
            <w:r w:rsidRPr="0069589C">
              <w:rPr>
                <w:rFonts w:ascii="Calibri" w:hAnsi="Calibri"/>
                <w:b/>
                <w:bCs/>
                <w:sz w:val="20"/>
              </w:rPr>
              <w:t>:</w:t>
            </w:r>
            <w:r>
              <w:rPr>
                <w:rFonts w:ascii="Calibri" w:hAnsi="Calibri"/>
              </w:rPr>
              <w:t xml:space="preserve"> </w:t>
            </w:r>
            <w:r w:rsidRPr="00C24F15">
              <w:rPr>
                <w:rFonts w:ascii="Calibri" w:hAnsi="Calibri"/>
                <w:b/>
                <w:bCs/>
                <w:sz w:val="20"/>
              </w:rPr>
              <w:t>CHAPTER 40B:  WHAT IS AFFORDABLE</w:t>
            </w:r>
          </w:p>
          <w:p w14:paraId="4AA90E57" w14:textId="77777777" w:rsidR="00564669" w:rsidRDefault="00564669" w:rsidP="00564669">
            <w:pPr>
              <w:tabs>
                <w:tab w:val="left" w:pos="2520"/>
              </w:tabs>
              <w:ind w:left="180" w:right="-720"/>
              <w:rPr>
                <w:rFonts w:ascii="Calibri" w:hAnsi="Calibri"/>
                <w:b/>
                <w:sz w:val="20"/>
              </w:rPr>
            </w:pPr>
            <w:r>
              <w:rPr>
                <w:rFonts w:ascii="Calibri" w:hAnsi="Calibri"/>
                <w:b/>
                <w:sz w:val="20"/>
              </w:rPr>
              <w:t xml:space="preserve">                                      HOUSING?</w:t>
            </w:r>
          </w:p>
          <w:p w14:paraId="52980E46" w14:textId="77777777" w:rsidR="00564669" w:rsidRPr="008A5C94" w:rsidRDefault="00564669" w:rsidP="00564669">
            <w:pPr>
              <w:pStyle w:val="ListParagraph"/>
              <w:numPr>
                <w:ilvl w:val="0"/>
                <w:numId w:val="21"/>
              </w:numPr>
              <w:tabs>
                <w:tab w:val="left" w:pos="2520"/>
              </w:tabs>
              <w:ind w:right="-720"/>
              <w:jc w:val="both"/>
              <w:rPr>
                <w:rFonts w:ascii="Calibri" w:hAnsi="Calibri"/>
                <w:sz w:val="20"/>
              </w:rPr>
            </w:pPr>
            <w:r w:rsidRPr="008A5C94">
              <w:rPr>
                <w:rFonts w:ascii="Calibri" w:hAnsi="Calibri"/>
                <w:sz w:val="20"/>
              </w:rPr>
              <w:t xml:space="preserve">Must be part of a “subsidized” development built by a public agency,      non-profit, or limited dividend corporation or approved </w:t>
            </w:r>
          </w:p>
          <w:p w14:paraId="2E687822" w14:textId="77777777" w:rsidR="00564669" w:rsidRPr="008A5C94" w:rsidRDefault="00564669" w:rsidP="00564669">
            <w:pPr>
              <w:pStyle w:val="ListParagraph"/>
              <w:tabs>
                <w:tab w:val="left" w:pos="2520"/>
              </w:tabs>
              <w:ind w:left="540" w:right="-720"/>
              <w:jc w:val="both"/>
              <w:rPr>
                <w:rFonts w:ascii="Calibri" w:hAnsi="Calibri"/>
                <w:sz w:val="20"/>
              </w:rPr>
            </w:pPr>
            <w:r w:rsidRPr="008A5C94">
              <w:rPr>
                <w:rFonts w:ascii="Calibri" w:hAnsi="Calibri"/>
                <w:sz w:val="20"/>
              </w:rPr>
              <w:t>Through</w:t>
            </w:r>
            <w:r>
              <w:rPr>
                <w:rFonts w:ascii="Calibri" w:hAnsi="Calibri"/>
                <w:sz w:val="20"/>
              </w:rPr>
              <w:t xml:space="preserve"> a state subsidizing agency</w:t>
            </w:r>
            <w:r w:rsidRPr="008A5C94">
              <w:rPr>
                <w:rFonts w:ascii="Calibri" w:hAnsi="Calibri"/>
                <w:sz w:val="20"/>
              </w:rPr>
              <w:t>.</w:t>
            </w:r>
          </w:p>
          <w:p w14:paraId="78D58EFC" w14:textId="77777777" w:rsidR="00564669" w:rsidRDefault="00564669" w:rsidP="00564669">
            <w:pPr>
              <w:numPr>
                <w:ilvl w:val="0"/>
                <w:numId w:val="19"/>
              </w:numPr>
              <w:tabs>
                <w:tab w:val="left" w:pos="2520"/>
              </w:tabs>
              <w:ind w:right="-720"/>
              <w:jc w:val="both"/>
              <w:rPr>
                <w:rFonts w:ascii="Calibri" w:hAnsi="Calibri"/>
                <w:sz w:val="20"/>
              </w:rPr>
            </w:pPr>
            <w:r w:rsidRPr="00EB7C2F">
              <w:rPr>
                <w:rFonts w:ascii="Calibri" w:hAnsi="Calibri"/>
                <w:sz w:val="20"/>
              </w:rPr>
              <w:t xml:space="preserve">At least 25% of the units in the development must be income </w:t>
            </w:r>
          </w:p>
          <w:p w14:paraId="33DB4332" w14:textId="77777777" w:rsidR="00564669" w:rsidRDefault="00564669" w:rsidP="00564669">
            <w:pPr>
              <w:tabs>
                <w:tab w:val="left" w:pos="2520"/>
              </w:tabs>
              <w:ind w:left="540" w:right="-720"/>
              <w:jc w:val="both"/>
              <w:rPr>
                <w:rFonts w:ascii="Calibri" w:hAnsi="Calibri"/>
                <w:sz w:val="20"/>
              </w:rPr>
            </w:pPr>
            <w:r w:rsidRPr="00EB7C2F">
              <w:rPr>
                <w:rFonts w:ascii="Calibri" w:hAnsi="Calibri"/>
                <w:sz w:val="20"/>
              </w:rPr>
              <w:t xml:space="preserve">restricted to households at or below 80% of area median </w:t>
            </w:r>
          </w:p>
          <w:p w14:paraId="7DADB37F" w14:textId="77777777" w:rsidR="00564669" w:rsidRDefault="00564669" w:rsidP="00564669">
            <w:pPr>
              <w:tabs>
                <w:tab w:val="left" w:pos="2520"/>
              </w:tabs>
              <w:ind w:left="540" w:right="-720"/>
              <w:jc w:val="both"/>
              <w:rPr>
                <w:rFonts w:ascii="Calibri" w:hAnsi="Calibri"/>
                <w:sz w:val="20"/>
              </w:rPr>
            </w:pPr>
            <w:r w:rsidRPr="00EB7C2F">
              <w:rPr>
                <w:rFonts w:ascii="Calibri" w:hAnsi="Calibri"/>
                <w:sz w:val="20"/>
              </w:rPr>
              <w:t xml:space="preserve">income (or 20% for those earning </w:t>
            </w:r>
            <w:r>
              <w:rPr>
                <w:rFonts w:ascii="Calibri" w:hAnsi="Calibri"/>
                <w:sz w:val="20"/>
              </w:rPr>
              <w:t xml:space="preserve">at or below 50% AMI) </w:t>
            </w:r>
          </w:p>
          <w:p w14:paraId="0BCC0347" w14:textId="77777777" w:rsidR="00564669" w:rsidRDefault="00564669" w:rsidP="00564669">
            <w:pPr>
              <w:tabs>
                <w:tab w:val="left" w:pos="2520"/>
              </w:tabs>
              <w:ind w:left="540" w:right="-720"/>
              <w:jc w:val="both"/>
              <w:rPr>
                <w:rFonts w:ascii="Calibri" w:hAnsi="Calibri"/>
                <w:sz w:val="20"/>
              </w:rPr>
            </w:pPr>
            <w:r>
              <w:rPr>
                <w:rFonts w:ascii="Calibri" w:hAnsi="Calibri"/>
                <w:sz w:val="20"/>
              </w:rPr>
              <w:t xml:space="preserve">and have rents or sales prices restricted to affordable levels.  </w:t>
            </w:r>
          </w:p>
          <w:p w14:paraId="2CA68340" w14:textId="77777777" w:rsidR="00564669" w:rsidRDefault="00564669" w:rsidP="00564669">
            <w:pPr>
              <w:tabs>
                <w:tab w:val="left" w:pos="2520"/>
              </w:tabs>
              <w:ind w:left="540" w:right="-720"/>
              <w:jc w:val="both"/>
              <w:rPr>
                <w:rFonts w:ascii="Calibri" w:hAnsi="Calibri"/>
                <w:sz w:val="20"/>
              </w:rPr>
            </w:pPr>
            <w:r>
              <w:rPr>
                <w:rFonts w:ascii="Calibri" w:hAnsi="Calibri"/>
                <w:sz w:val="20"/>
              </w:rPr>
              <w:t xml:space="preserve">Restrictions must run at least 15 years for rehab and in </w:t>
            </w:r>
          </w:p>
          <w:p w14:paraId="0B05FA88" w14:textId="77777777" w:rsidR="00564669" w:rsidRDefault="00564669" w:rsidP="00564669">
            <w:pPr>
              <w:tabs>
                <w:tab w:val="left" w:pos="2520"/>
              </w:tabs>
              <w:ind w:left="540" w:right="-720"/>
              <w:jc w:val="both"/>
              <w:rPr>
                <w:rFonts w:ascii="Calibri" w:hAnsi="Calibri"/>
                <w:sz w:val="20"/>
              </w:rPr>
            </w:pPr>
            <w:r>
              <w:rPr>
                <w:rFonts w:ascii="Calibri" w:hAnsi="Calibri"/>
                <w:sz w:val="20"/>
              </w:rPr>
              <w:t>perpetuity for new homeownership units.</w:t>
            </w:r>
          </w:p>
          <w:p w14:paraId="7F68E36F" w14:textId="77777777" w:rsidR="00564669" w:rsidRDefault="00564669" w:rsidP="00564669">
            <w:pPr>
              <w:numPr>
                <w:ilvl w:val="0"/>
                <w:numId w:val="19"/>
              </w:numPr>
              <w:tabs>
                <w:tab w:val="left" w:pos="2520"/>
              </w:tabs>
              <w:ind w:right="-720"/>
              <w:jc w:val="both"/>
              <w:rPr>
                <w:rFonts w:ascii="Calibri" w:hAnsi="Calibri"/>
                <w:sz w:val="20"/>
              </w:rPr>
            </w:pPr>
            <w:r w:rsidRPr="00EB7C2F">
              <w:rPr>
                <w:rFonts w:ascii="Calibri" w:hAnsi="Calibri"/>
                <w:sz w:val="20"/>
              </w:rPr>
              <w:t>Development must be subject to a regulatory</w:t>
            </w:r>
          </w:p>
          <w:p w14:paraId="75EA03B8" w14:textId="77777777" w:rsidR="00564669" w:rsidRDefault="00564669" w:rsidP="00564669">
            <w:pPr>
              <w:tabs>
                <w:tab w:val="left" w:pos="2520"/>
              </w:tabs>
              <w:ind w:left="540" w:right="-720"/>
              <w:jc w:val="both"/>
              <w:rPr>
                <w:rFonts w:ascii="Calibri" w:hAnsi="Calibri"/>
                <w:sz w:val="20"/>
              </w:rPr>
            </w:pPr>
            <w:r w:rsidRPr="00EB7C2F">
              <w:rPr>
                <w:rFonts w:ascii="Calibri" w:hAnsi="Calibri"/>
                <w:sz w:val="20"/>
              </w:rPr>
              <w:t xml:space="preserve">agreement and monitored by a public agency or </w:t>
            </w:r>
          </w:p>
          <w:p w14:paraId="2D9DA75A" w14:textId="77777777" w:rsidR="00564669" w:rsidRDefault="00564669" w:rsidP="00564669">
            <w:pPr>
              <w:tabs>
                <w:tab w:val="left" w:pos="2520"/>
              </w:tabs>
              <w:ind w:left="540" w:right="-720"/>
              <w:jc w:val="both"/>
              <w:rPr>
                <w:rFonts w:ascii="Calibri" w:hAnsi="Calibri"/>
                <w:sz w:val="20"/>
              </w:rPr>
            </w:pPr>
            <w:r w:rsidRPr="00EB7C2F">
              <w:rPr>
                <w:rFonts w:ascii="Calibri" w:hAnsi="Calibri"/>
                <w:sz w:val="20"/>
              </w:rPr>
              <w:t>non-</w:t>
            </w:r>
            <w:r>
              <w:rPr>
                <w:rFonts w:ascii="Calibri" w:hAnsi="Calibri"/>
                <w:sz w:val="20"/>
              </w:rPr>
              <w:t>profit organization.</w:t>
            </w:r>
          </w:p>
          <w:p w14:paraId="1429E4C4" w14:textId="77777777" w:rsidR="00564669" w:rsidRDefault="00564669" w:rsidP="00564669">
            <w:pPr>
              <w:numPr>
                <w:ilvl w:val="0"/>
                <w:numId w:val="19"/>
              </w:numPr>
              <w:tabs>
                <w:tab w:val="left" w:pos="2520"/>
              </w:tabs>
              <w:ind w:right="-720"/>
              <w:jc w:val="both"/>
              <w:rPr>
                <w:rFonts w:ascii="Calibri" w:hAnsi="Calibri"/>
                <w:sz w:val="20"/>
              </w:rPr>
            </w:pPr>
            <w:r>
              <w:rPr>
                <w:rFonts w:ascii="Calibri" w:hAnsi="Calibri"/>
                <w:sz w:val="20"/>
              </w:rPr>
              <w:t>Project sponsors must meet affirmative marketing</w:t>
            </w:r>
          </w:p>
          <w:p w14:paraId="2639E81B" w14:textId="77777777" w:rsidR="00564669" w:rsidRDefault="00564669" w:rsidP="00564669">
            <w:pPr>
              <w:tabs>
                <w:tab w:val="left" w:pos="2520"/>
              </w:tabs>
              <w:ind w:left="540" w:right="-720"/>
              <w:jc w:val="both"/>
              <w:rPr>
                <w:rFonts w:ascii="Calibri" w:hAnsi="Calibri"/>
              </w:rPr>
            </w:pPr>
            <w:r>
              <w:rPr>
                <w:rFonts w:ascii="Calibri" w:hAnsi="Calibri"/>
                <w:sz w:val="20"/>
              </w:rPr>
              <w:t>requirements.</w:t>
            </w:r>
          </w:p>
        </w:tc>
      </w:tr>
    </w:tbl>
    <w:p w14:paraId="1512DBC8" w14:textId="77777777" w:rsidR="002224D1" w:rsidRDefault="002224D1" w:rsidP="002224D1">
      <w:pPr>
        <w:pStyle w:val="FootnoteText"/>
        <w:ind w:right="-720"/>
        <w:jc w:val="both"/>
        <w:rPr>
          <w:rFonts w:ascii="Calibri" w:hAnsi="Calibri"/>
          <w:sz w:val="22"/>
        </w:rPr>
      </w:pPr>
    </w:p>
    <w:p w14:paraId="0F86330B" w14:textId="77777777" w:rsidR="002224D1" w:rsidRDefault="002224D1" w:rsidP="002224D1">
      <w:pPr>
        <w:pStyle w:val="FootnoteText"/>
        <w:ind w:right="-720"/>
        <w:jc w:val="both"/>
        <w:rPr>
          <w:rFonts w:ascii="Calibri" w:hAnsi="Calibri"/>
          <w:sz w:val="22"/>
        </w:rPr>
      </w:pPr>
    </w:p>
    <w:p w14:paraId="2A60E6FE" w14:textId="77777777" w:rsidR="002224D1" w:rsidRDefault="002224D1" w:rsidP="002224D1">
      <w:pPr>
        <w:pStyle w:val="FootnoteText"/>
        <w:ind w:right="-720"/>
        <w:jc w:val="both"/>
        <w:rPr>
          <w:rFonts w:ascii="Calibri" w:hAnsi="Calibri"/>
          <w:i/>
          <w:iCs/>
          <w:sz w:val="22"/>
        </w:rPr>
      </w:pPr>
      <w:r>
        <w:rPr>
          <w:rFonts w:ascii="Calibri" w:hAnsi="Calibri"/>
          <w:sz w:val="22"/>
        </w:rPr>
        <w:tab/>
      </w:r>
      <w:r>
        <w:rPr>
          <w:rFonts w:ascii="Calibri" w:hAnsi="Calibri"/>
          <w:sz w:val="22"/>
        </w:rPr>
        <w:tab/>
      </w:r>
    </w:p>
    <w:p w14:paraId="0271FB2E" w14:textId="77777777" w:rsidR="002224D1" w:rsidRDefault="002224D1" w:rsidP="002224D1">
      <w:pPr>
        <w:tabs>
          <w:tab w:val="left" w:pos="2520"/>
        </w:tabs>
        <w:ind w:right="-720"/>
        <w:jc w:val="both"/>
        <w:rPr>
          <w:rFonts w:ascii="Calibri" w:hAnsi="Calibri"/>
          <w:i/>
          <w:iCs/>
          <w:sz w:val="22"/>
        </w:rPr>
      </w:pPr>
    </w:p>
    <w:p w14:paraId="2E590797" w14:textId="77777777" w:rsidR="002224D1" w:rsidRDefault="002224D1" w:rsidP="002224D1">
      <w:pPr>
        <w:tabs>
          <w:tab w:val="left" w:pos="2520"/>
        </w:tabs>
        <w:ind w:right="-720"/>
        <w:jc w:val="both"/>
        <w:rPr>
          <w:rFonts w:ascii="Calibri" w:hAnsi="Calibri"/>
          <w:i/>
          <w:iCs/>
          <w:sz w:val="22"/>
        </w:rPr>
      </w:pPr>
    </w:p>
    <w:p w14:paraId="10C85FE5" w14:textId="71F22BC9" w:rsidR="002224D1" w:rsidRDefault="002224D1" w:rsidP="002224D1">
      <w:pPr>
        <w:tabs>
          <w:tab w:val="left" w:pos="2520"/>
        </w:tabs>
        <w:ind w:right="-720"/>
        <w:jc w:val="both"/>
        <w:rPr>
          <w:rFonts w:ascii="Calibri" w:hAnsi="Calibri"/>
          <w:i/>
          <w:iCs/>
          <w:sz w:val="22"/>
        </w:rPr>
      </w:pPr>
    </w:p>
    <w:p w14:paraId="7286B36E" w14:textId="349E7514" w:rsidR="002224D1" w:rsidRDefault="002224D1" w:rsidP="002224D1">
      <w:pPr>
        <w:tabs>
          <w:tab w:val="left" w:pos="2520"/>
        </w:tabs>
        <w:ind w:right="-720"/>
        <w:jc w:val="both"/>
        <w:rPr>
          <w:rFonts w:ascii="Calibri" w:hAnsi="Calibri"/>
          <w:i/>
          <w:iCs/>
          <w:sz w:val="22"/>
        </w:rPr>
      </w:pPr>
    </w:p>
    <w:p w14:paraId="3DFE4C51" w14:textId="77777777" w:rsidR="002224D1" w:rsidRDefault="002224D1" w:rsidP="002224D1">
      <w:pPr>
        <w:tabs>
          <w:tab w:val="left" w:pos="2520"/>
        </w:tabs>
        <w:ind w:right="-720"/>
        <w:jc w:val="both"/>
        <w:rPr>
          <w:rFonts w:ascii="Calibri" w:hAnsi="Calibri"/>
          <w:i/>
          <w:iCs/>
          <w:sz w:val="22"/>
        </w:rPr>
      </w:pPr>
    </w:p>
    <w:p w14:paraId="7A94DA47" w14:textId="77777777" w:rsidR="00EA362B" w:rsidRDefault="00EA362B" w:rsidP="008A5C94">
      <w:pPr>
        <w:tabs>
          <w:tab w:val="left" w:pos="2520"/>
        </w:tabs>
        <w:jc w:val="both"/>
        <w:rPr>
          <w:rFonts w:ascii="Calibri" w:hAnsi="Calibri"/>
          <w:b/>
          <w:bCs/>
          <w:sz w:val="22"/>
        </w:rPr>
      </w:pPr>
    </w:p>
    <w:p w14:paraId="1A501D66" w14:textId="77777777" w:rsidR="002732DE" w:rsidRDefault="002732DE" w:rsidP="008A5C94">
      <w:pPr>
        <w:tabs>
          <w:tab w:val="left" w:pos="2520"/>
        </w:tabs>
        <w:jc w:val="both"/>
        <w:rPr>
          <w:rFonts w:ascii="Calibri" w:hAnsi="Calibri"/>
          <w:b/>
          <w:bCs/>
          <w:sz w:val="22"/>
        </w:rPr>
      </w:pPr>
    </w:p>
    <w:p w14:paraId="0EF7AD94" w14:textId="77777777" w:rsidR="002732DE" w:rsidRDefault="002732DE" w:rsidP="008A5C94">
      <w:pPr>
        <w:tabs>
          <w:tab w:val="left" w:pos="2520"/>
        </w:tabs>
        <w:jc w:val="both"/>
        <w:rPr>
          <w:rFonts w:ascii="Calibri" w:hAnsi="Calibri"/>
          <w:b/>
          <w:bCs/>
          <w:sz w:val="22"/>
        </w:rPr>
      </w:pPr>
    </w:p>
    <w:p w14:paraId="540C9A89" w14:textId="77777777" w:rsidR="002732DE" w:rsidRDefault="002732DE" w:rsidP="008A5C94">
      <w:pPr>
        <w:tabs>
          <w:tab w:val="left" w:pos="2520"/>
        </w:tabs>
        <w:jc w:val="both"/>
        <w:rPr>
          <w:rFonts w:ascii="Calibri" w:hAnsi="Calibri"/>
          <w:b/>
          <w:bCs/>
          <w:sz w:val="22"/>
        </w:rPr>
      </w:pPr>
    </w:p>
    <w:p w14:paraId="200CEDA2" w14:textId="77777777" w:rsidR="002732DE" w:rsidRDefault="002732DE" w:rsidP="008A5C94">
      <w:pPr>
        <w:tabs>
          <w:tab w:val="left" w:pos="2520"/>
        </w:tabs>
        <w:jc w:val="both"/>
        <w:rPr>
          <w:rFonts w:ascii="Calibri" w:hAnsi="Calibri"/>
          <w:b/>
          <w:bCs/>
          <w:sz w:val="22"/>
        </w:rPr>
      </w:pPr>
    </w:p>
    <w:p w14:paraId="11E18BB2" w14:textId="77777777" w:rsidR="007E4870" w:rsidRDefault="007E4870" w:rsidP="008A5C94">
      <w:pPr>
        <w:tabs>
          <w:tab w:val="left" w:pos="2520"/>
        </w:tabs>
        <w:jc w:val="both"/>
        <w:rPr>
          <w:rFonts w:ascii="Calibri" w:hAnsi="Calibri"/>
          <w:b/>
          <w:bCs/>
          <w:sz w:val="22"/>
        </w:rPr>
      </w:pPr>
    </w:p>
    <w:p w14:paraId="25BD4F83" w14:textId="77777777" w:rsidR="00606960" w:rsidRDefault="00606960" w:rsidP="008A5C94">
      <w:pPr>
        <w:tabs>
          <w:tab w:val="left" w:pos="2520"/>
        </w:tabs>
        <w:jc w:val="both"/>
        <w:rPr>
          <w:rFonts w:ascii="Calibri" w:hAnsi="Calibri"/>
          <w:b/>
          <w:bCs/>
          <w:sz w:val="22"/>
        </w:rPr>
      </w:pPr>
    </w:p>
    <w:p w14:paraId="628A6860" w14:textId="55899DD7" w:rsidR="002224D1" w:rsidRPr="008A5C94" w:rsidRDefault="002224D1" w:rsidP="008A5C94">
      <w:pPr>
        <w:tabs>
          <w:tab w:val="left" w:pos="2520"/>
        </w:tabs>
        <w:jc w:val="both"/>
        <w:rPr>
          <w:rFonts w:ascii="Calibri" w:hAnsi="Calibri"/>
          <w:b/>
          <w:bCs/>
          <w:sz w:val="22"/>
        </w:rPr>
      </w:pPr>
      <w:r w:rsidRPr="008A5C94">
        <w:rPr>
          <w:rFonts w:ascii="Calibri" w:hAnsi="Calibri"/>
          <w:b/>
          <w:bCs/>
          <w:sz w:val="22"/>
        </w:rPr>
        <w:t>State policies also enable municipalities to possibly reserve up to 70% of the affordable units created in state subsidized developments, including comprehensive permit projects, for those who live, work or attend school in the community, referred to as “local preference” units.</w:t>
      </w:r>
      <w:r w:rsidR="0028670D">
        <w:rPr>
          <w:rFonts w:ascii="Calibri" w:hAnsi="Calibri"/>
          <w:b/>
          <w:bCs/>
          <w:sz w:val="22"/>
        </w:rPr>
        <w:t xml:space="preserve">  State approval is required, and thus far Needham has obtained local preference approval</w:t>
      </w:r>
      <w:r w:rsidR="008D56A7">
        <w:rPr>
          <w:rFonts w:ascii="Calibri" w:hAnsi="Calibri"/>
          <w:b/>
          <w:bCs/>
          <w:sz w:val="22"/>
        </w:rPr>
        <w:t xml:space="preserve"> at the 70% level</w:t>
      </w:r>
      <w:r w:rsidR="0028670D">
        <w:rPr>
          <w:rFonts w:ascii="Calibri" w:hAnsi="Calibri"/>
          <w:b/>
          <w:bCs/>
          <w:sz w:val="22"/>
        </w:rPr>
        <w:t xml:space="preserve"> for all of its eligible projects.</w:t>
      </w:r>
    </w:p>
    <w:p w14:paraId="72D31D5D" w14:textId="77777777" w:rsidR="002224D1" w:rsidRDefault="002224D1" w:rsidP="002224D1">
      <w:pPr>
        <w:tabs>
          <w:tab w:val="left" w:pos="2520"/>
        </w:tabs>
        <w:ind w:right="-720"/>
        <w:rPr>
          <w:rFonts w:ascii="Calibri" w:hAnsi="Calibri"/>
          <w:sz w:val="22"/>
        </w:rPr>
      </w:pPr>
    </w:p>
    <w:p w14:paraId="66FF9436" w14:textId="77777777" w:rsidR="00224778" w:rsidRPr="00224778" w:rsidRDefault="00224778" w:rsidP="002224D1">
      <w:pPr>
        <w:jc w:val="both"/>
        <w:rPr>
          <w:rFonts w:asciiTheme="minorHAnsi" w:hAnsiTheme="minorHAnsi" w:cstheme="minorHAnsi"/>
          <w:sz w:val="22"/>
          <w:szCs w:val="22"/>
        </w:rPr>
      </w:pPr>
    </w:p>
    <w:p w14:paraId="75E5BE72" w14:textId="77777777" w:rsidR="00224778" w:rsidRPr="00224778" w:rsidRDefault="00224778" w:rsidP="00224778">
      <w:pPr>
        <w:ind w:left="-720"/>
        <w:jc w:val="both"/>
        <w:rPr>
          <w:rFonts w:asciiTheme="minorHAnsi" w:hAnsiTheme="minorHAnsi" w:cstheme="minorHAnsi"/>
          <w:sz w:val="22"/>
          <w:szCs w:val="22"/>
        </w:rPr>
      </w:pPr>
    </w:p>
    <w:p w14:paraId="09C80BA9" w14:textId="77777777" w:rsidR="00224778" w:rsidRPr="00224778" w:rsidRDefault="00224778" w:rsidP="00224778">
      <w:pPr>
        <w:ind w:left="-720"/>
        <w:jc w:val="both"/>
        <w:rPr>
          <w:rFonts w:asciiTheme="minorHAnsi" w:hAnsiTheme="minorHAnsi" w:cstheme="minorHAnsi"/>
          <w:sz w:val="22"/>
          <w:szCs w:val="22"/>
        </w:rPr>
      </w:pPr>
    </w:p>
    <w:p w14:paraId="5A7409C4" w14:textId="77777777" w:rsidR="00224778" w:rsidRPr="00224778" w:rsidRDefault="00224778" w:rsidP="00224778">
      <w:pPr>
        <w:ind w:left="-720"/>
        <w:jc w:val="both"/>
        <w:rPr>
          <w:rFonts w:asciiTheme="minorHAnsi" w:hAnsiTheme="minorHAnsi" w:cstheme="minorHAnsi"/>
          <w:sz w:val="22"/>
          <w:szCs w:val="22"/>
        </w:rPr>
      </w:pPr>
    </w:p>
    <w:p w14:paraId="30A786F6" w14:textId="77777777" w:rsidR="00224778" w:rsidRPr="00224778" w:rsidRDefault="00224778" w:rsidP="00224778">
      <w:pPr>
        <w:ind w:left="-720"/>
        <w:jc w:val="both"/>
        <w:rPr>
          <w:rFonts w:asciiTheme="minorHAnsi" w:hAnsiTheme="minorHAnsi" w:cstheme="minorHAnsi"/>
          <w:sz w:val="22"/>
          <w:szCs w:val="22"/>
        </w:rPr>
      </w:pPr>
    </w:p>
    <w:p w14:paraId="25F14E48" w14:textId="77777777" w:rsidR="00224778" w:rsidRDefault="00224778" w:rsidP="00224778">
      <w:pPr>
        <w:ind w:left="-720"/>
        <w:rPr>
          <w:rFonts w:ascii="Calibri" w:hAnsi="Calibri"/>
          <w:sz w:val="22"/>
        </w:rPr>
      </w:pPr>
    </w:p>
    <w:p w14:paraId="3554DB80" w14:textId="77777777" w:rsidR="00224778" w:rsidRDefault="00224778" w:rsidP="00224778">
      <w:pPr>
        <w:ind w:left="-720"/>
        <w:rPr>
          <w:rFonts w:ascii="Calibri" w:hAnsi="Calibri"/>
          <w:sz w:val="22"/>
        </w:rPr>
      </w:pPr>
    </w:p>
    <w:p w14:paraId="54410304" w14:textId="77777777" w:rsidR="00224778" w:rsidRDefault="00224778" w:rsidP="00224778">
      <w:pPr>
        <w:ind w:left="-720"/>
        <w:rPr>
          <w:rFonts w:ascii="Calibri" w:hAnsi="Calibri"/>
          <w:sz w:val="22"/>
        </w:rPr>
        <w:sectPr w:rsidR="00224778" w:rsidSect="00361124">
          <w:pgSz w:w="12240" w:h="15840"/>
          <w:pgMar w:top="1440" w:right="1440" w:bottom="1440" w:left="1440" w:header="720" w:footer="720" w:gutter="0"/>
          <w:cols w:space="720"/>
          <w:docGrid w:linePitch="360"/>
        </w:sectPr>
      </w:pPr>
    </w:p>
    <w:p w14:paraId="2A60AAD3" w14:textId="77ADF13F" w:rsidR="00C829EA" w:rsidRPr="001325AE" w:rsidRDefault="00CE0594" w:rsidP="005D3FC9">
      <w:pPr>
        <w:pStyle w:val="Header"/>
        <w:numPr>
          <w:ilvl w:val="0"/>
          <w:numId w:val="16"/>
        </w:numPr>
        <w:tabs>
          <w:tab w:val="clear" w:pos="4680"/>
          <w:tab w:val="center" w:pos="720"/>
        </w:tabs>
        <w:ind w:hanging="1080"/>
        <w:jc w:val="both"/>
        <w:rPr>
          <w:rFonts w:ascii="Calibri" w:hAnsi="Calibri"/>
          <w:b/>
          <w:color w:val="002060"/>
        </w:rPr>
      </w:pPr>
      <w:r w:rsidRPr="00CE0594">
        <w:rPr>
          <w:rFonts w:ascii="Calibri" w:hAnsi="Calibri"/>
          <w:b/>
          <w:color w:val="002060"/>
          <w:sz w:val="28"/>
          <w:szCs w:val="28"/>
        </w:rPr>
        <w:lastRenderedPageBreak/>
        <w:t>HOUSING NEEDS ASSESSMENT</w:t>
      </w:r>
      <w:r w:rsidR="001325AE">
        <w:rPr>
          <w:rFonts w:ascii="Calibri" w:hAnsi="Calibri"/>
          <w:b/>
          <w:color w:val="002060"/>
        </w:rPr>
        <w:tab/>
      </w:r>
    </w:p>
    <w:p w14:paraId="7D67B453" w14:textId="77777777" w:rsidR="001325AE" w:rsidRDefault="001325AE" w:rsidP="008772FC">
      <w:pPr>
        <w:pStyle w:val="Header"/>
        <w:ind w:left="720" w:hanging="720"/>
        <w:jc w:val="center"/>
        <w:rPr>
          <w:rFonts w:ascii="Calibri" w:hAnsi="Calibri"/>
          <w:b/>
          <w:color w:val="FF0000"/>
          <w:sz w:val="22"/>
          <w:szCs w:val="22"/>
        </w:rPr>
      </w:pPr>
    </w:p>
    <w:p w14:paraId="59861819" w14:textId="5F0C6DB8" w:rsidR="008772FC" w:rsidRDefault="008772FC" w:rsidP="008703C3">
      <w:pPr>
        <w:pStyle w:val="BodyText"/>
        <w:spacing w:after="0"/>
        <w:jc w:val="both"/>
        <w:rPr>
          <w:rFonts w:ascii="Calibri" w:hAnsi="Calibri"/>
          <w:sz w:val="22"/>
          <w:szCs w:val="22"/>
        </w:rPr>
      </w:pPr>
      <w:r w:rsidRPr="00A61A62">
        <w:rPr>
          <w:rFonts w:ascii="Calibri" w:hAnsi="Calibri"/>
          <w:sz w:val="22"/>
          <w:szCs w:val="22"/>
        </w:rPr>
        <w:t xml:space="preserve">It is important to closely examine demographic and economic </w:t>
      </w:r>
      <w:r w:rsidR="00781A36">
        <w:rPr>
          <w:rFonts w:ascii="Calibri" w:hAnsi="Calibri"/>
          <w:sz w:val="22"/>
          <w:szCs w:val="22"/>
        </w:rPr>
        <w:t>data</w:t>
      </w:r>
      <w:r w:rsidR="00B90655">
        <w:rPr>
          <w:rFonts w:ascii="Calibri" w:hAnsi="Calibri"/>
          <w:sz w:val="22"/>
          <w:szCs w:val="22"/>
        </w:rPr>
        <w:t xml:space="preserve"> and trends</w:t>
      </w:r>
      <w:r w:rsidRPr="00A61A62">
        <w:rPr>
          <w:rFonts w:ascii="Calibri" w:hAnsi="Calibri"/>
          <w:sz w:val="22"/>
          <w:szCs w:val="22"/>
        </w:rPr>
        <w:t xml:space="preserve">, particularly past and future trends, in order to understand the composition of the population and how it relates to current and future housing needs.  </w:t>
      </w:r>
      <w:r w:rsidR="00796936">
        <w:rPr>
          <w:rFonts w:ascii="Calibri" w:hAnsi="Calibri"/>
          <w:sz w:val="22"/>
          <w:szCs w:val="22"/>
        </w:rPr>
        <w:t xml:space="preserve">A profile describing housing growth and occupancy patterns as well as the current housing market dynamic is also provided, including an analysis of affordability based on different income levels and </w:t>
      </w:r>
      <w:r w:rsidR="0012616B">
        <w:rPr>
          <w:rFonts w:ascii="Calibri" w:hAnsi="Calibri"/>
          <w:sz w:val="22"/>
          <w:szCs w:val="22"/>
        </w:rPr>
        <w:t>housing types</w:t>
      </w:r>
      <w:r w:rsidR="00796936">
        <w:rPr>
          <w:rFonts w:ascii="Calibri" w:hAnsi="Calibri"/>
          <w:sz w:val="22"/>
          <w:szCs w:val="22"/>
        </w:rPr>
        <w:t xml:space="preserve">.  </w:t>
      </w:r>
    </w:p>
    <w:p w14:paraId="085760CF" w14:textId="77777777" w:rsidR="00B90655" w:rsidRDefault="00B90655" w:rsidP="008703C3">
      <w:pPr>
        <w:pStyle w:val="BodyText"/>
        <w:spacing w:after="0"/>
        <w:jc w:val="both"/>
        <w:rPr>
          <w:rFonts w:ascii="Calibri" w:hAnsi="Calibri"/>
          <w:sz w:val="22"/>
          <w:szCs w:val="22"/>
        </w:rPr>
      </w:pPr>
    </w:p>
    <w:p w14:paraId="1B29A3FE" w14:textId="77777777" w:rsidR="00B90655" w:rsidRPr="00CE0594" w:rsidRDefault="00B90655" w:rsidP="008703C3">
      <w:pPr>
        <w:pStyle w:val="BodyText"/>
        <w:spacing w:after="0"/>
        <w:jc w:val="both"/>
        <w:rPr>
          <w:rFonts w:ascii="Calibri" w:hAnsi="Calibri"/>
          <w:b/>
          <w:color w:val="1F497D" w:themeColor="text2"/>
        </w:rPr>
      </w:pPr>
      <w:r w:rsidRPr="00CE0594">
        <w:rPr>
          <w:rFonts w:ascii="Calibri" w:hAnsi="Calibri"/>
          <w:b/>
          <w:color w:val="1F497D" w:themeColor="text2"/>
        </w:rPr>
        <w:t>A.</w:t>
      </w:r>
      <w:r w:rsidRPr="00CE0594">
        <w:rPr>
          <w:rFonts w:ascii="Calibri" w:hAnsi="Calibri"/>
          <w:b/>
          <w:color w:val="1F497D" w:themeColor="text2"/>
        </w:rPr>
        <w:tab/>
        <w:t>DEMOGRAPHIC PROFILE</w:t>
      </w:r>
    </w:p>
    <w:p w14:paraId="278502FE" w14:textId="77777777" w:rsidR="00796936" w:rsidRPr="00796936" w:rsidRDefault="00796936" w:rsidP="008703C3">
      <w:pPr>
        <w:pStyle w:val="BodyText"/>
        <w:spacing w:after="0"/>
        <w:jc w:val="both"/>
        <w:rPr>
          <w:rFonts w:ascii="Calibri" w:hAnsi="Calibri"/>
          <w:sz w:val="22"/>
          <w:szCs w:val="22"/>
        </w:rPr>
      </w:pPr>
      <w:r>
        <w:rPr>
          <w:rFonts w:ascii="Calibri" w:hAnsi="Calibri"/>
          <w:sz w:val="22"/>
          <w:szCs w:val="22"/>
        </w:rPr>
        <w:t>This section examines population growth in terms of changes in the age distribution and</w:t>
      </w:r>
      <w:r w:rsidR="00C95AAC">
        <w:rPr>
          <w:rFonts w:ascii="Calibri" w:hAnsi="Calibri"/>
          <w:sz w:val="22"/>
          <w:szCs w:val="22"/>
        </w:rPr>
        <w:t xml:space="preserve"> household types that predict impacts on local services and the housing market.</w:t>
      </w:r>
      <w:r>
        <w:rPr>
          <w:rFonts w:ascii="Calibri" w:hAnsi="Calibri"/>
          <w:sz w:val="22"/>
          <w:szCs w:val="22"/>
        </w:rPr>
        <w:t xml:space="preserve"> </w:t>
      </w:r>
    </w:p>
    <w:p w14:paraId="34D09B32" w14:textId="3AD6B357" w:rsidR="008772FC" w:rsidRPr="00EB5D55" w:rsidRDefault="008772FC" w:rsidP="007732BD">
      <w:pPr>
        <w:pStyle w:val="Heading3"/>
        <w:jc w:val="both"/>
        <w:rPr>
          <w:rFonts w:asciiTheme="minorHAnsi" w:hAnsiTheme="minorHAnsi"/>
          <w:color w:val="1F497D" w:themeColor="text2"/>
        </w:rPr>
      </w:pPr>
      <w:bookmarkStart w:id="1" w:name="_Toc2252325"/>
      <w:r w:rsidRPr="00EB5D55">
        <w:rPr>
          <w:rFonts w:asciiTheme="minorHAnsi" w:hAnsiTheme="minorHAnsi"/>
          <w:color w:val="1F497D" w:themeColor="text2"/>
        </w:rPr>
        <w:t>1.</w:t>
      </w:r>
      <w:r w:rsidRPr="00EB5D55">
        <w:rPr>
          <w:rFonts w:asciiTheme="minorHAnsi" w:hAnsiTheme="minorHAnsi"/>
          <w:color w:val="1F497D" w:themeColor="text2"/>
        </w:rPr>
        <w:tab/>
        <w:t xml:space="preserve">Population Growth – </w:t>
      </w:r>
      <w:bookmarkEnd w:id="1"/>
      <w:r w:rsidR="005D1EB9">
        <w:rPr>
          <w:rFonts w:asciiTheme="minorHAnsi" w:hAnsiTheme="minorHAnsi"/>
          <w:color w:val="1F497D" w:themeColor="text2"/>
        </w:rPr>
        <w:t>Recent spurt in population growth</w:t>
      </w:r>
    </w:p>
    <w:p w14:paraId="375886CA" w14:textId="0696FD37" w:rsidR="00781A36" w:rsidRDefault="008772FC" w:rsidP="00781A36">
      <w:pPr>
        <w:jc w:val="both"/>
        <w:rPr>
          <w:rFonts w:ascii="Calibri" w:hAnsi="Calibri"/>
          <w:bCs/>
          <w:sz w:val="22"/>
          <w:szCs w:val="22"/>
        </w:rPr>
      </w:pPr>
      <w:r w:rsidRPr="00166169">
        <w:rPr>
          <w:rFonts w:ascii="Calibri" w:hAnsi="Calibri"/>
          <w:bCs/>
          <w:sz w:val="22"/>
          <w:szCs w:val="22"/>
        </w:rPr>
        <w:t xml:space="preserve">As </w:t>
      </w:r>
      <w:r w:rsidR="004B3580">
        <w:rPr>
          <w:rFonts w:ascii="Calibri" w:hAnsi="Calibri"/>
          <w:bCs/>
          <w:sz w:val="22"/>
          <w:szCs w:val="22"/>
        </w:rPr>
        <w:t>presented</w:t>
      </w:r>
      <w:r w:rsidRPr="00166169">
        <w:rPr>
          <w:rFonts w:ascii="Calibri" w:hAnsi="Calibri"/>
          <w:bCs/>
          <w:sz w:val="22"/>
          <w:szCs w:val="22"/>
        </w:rPr>
        <w:t xml:space="preserve"> in Table </w:t>
      </w:r>
      <w:r w:rsidR="005D1EB9">
        <w:rPr>
          <w:rFonts w:ascii="Calibri" w:hAnsi="Calibri"/>
          <w:bCs/>
          <w:sz w:val="22"/>
          <w:szCs w:val="22"/>
        </w:rPr>
        <w:t>III-</w:t>
      </w:r>
      <w:r w:rsidRPr="00166169">
        <w:rPr>
          <w:rFonts w:ascii="Calibri" w:hAnsi="Calibri"/>
          <w:bCs/>
          <w:sz w:val="22"/>
          <w:szCs w:val="22"/>
        </w:rPr>
        <w:t>1</w:t>
      </w:r>
      <w:r w:rsidR="004B3580">
        <w:rPr>
          <w:rFonts w:ascii="Calibri" w:hAnsi="Calibri"/>
          <w:bCs/>
          <w:sz w:val="22"/>
          <w:szCs w:val="22"/>
        </w:rPr>
        <w:t xml:space="preserve"> and Figure </w:t>
      </w:r>
      <w:r w:rsidR="005D1EB9">
        <w:rPr>
          <w:rFonts w:ascii="Calibri" w:hAnsi="Calibri"/>
          <w:bCs/>
          <w:sz w:val="22"/>
          <w:szCs w:val="22"/>
        </w:rPr>
        <w:t>III-</w:t>
      </w:r>
      <w:r w:rsidR="004B3580">
        <w:rPr>
          <w:rFonts w:ascii="Calibri" w:hAnsi="Calibri"/>
          <w:bCs/>
          <w:sz w:val="22"/>
          <w:szCs w:val="22"/>
        </w:rPr>
        <w:t>1</w:t>
      </w:r>
      <w:r w:rsidRPr="00166169">
        <w:rPr>
          <w:rFonts w:ascii="Calibri" w:hAnsi="Calibri"/>
          <w:bCs/>
          <w:sz w:val="22"/>
          <w:szCs w:val="22"/>
        </w:rPr>
        <w:t>, Needham’s population increased substantially after World War II, more than doubling between 1940 and 1960</w:t>
      </w:r>
      <w:r w:rsidR="00712E77" w:rsidRPr="00166169">
        <w:rPr>
          <w:rFonts w:ascii="Calibri" w:hAnsi="Calibri"/>
          <w:bCs/>
          <w:sz w:val="22"/>
          <w:szCs w:val="22"/>
        </w:rPr>
        <w:t xml:space="preserve">, according to U.S. census data. </w:t>
      </w:r>
      <w:r w:rsidRPr="00166169">
        <w:rPr>
          <w:rFonts w:ascii="Calibri" w:hAnsi="Calibri"/>
          <w:bCs/>
          <w:sz w:val="22"/>
          <w:szCs w:val="22"/>
        </w:rPr>
        <w:t xml:space="preserve">The population </w:t>
      </w:r>
      <w:r w:rsidR="00712E77" w:rsidRPr="00166169">
        <w:rPr>
          <w:rFonts w:ascii="Calibri" w:hAnsi="Calibri"/>
          <w:bCs/>
          <w:sz w:val="22"/>
          <w:szCs w:val="22"/>
        </w:rPr>
        <w:t>climbed to</w:t>
      </w:r>
      <w:r w:rsidRPr="00166169">
        <w:rPr>
          <w:rFonts w:ascii="Calibri" w:hAnsi="Calibri"/>
          <w:bCs/>
          <w:sz w:val="22"/>
          <w:szCs w:val="22"/>
        </w:rPr>
        <w:t xml:space="preserve"> </w:t>
      </w:r>
      <w:r w:rsidR="008703C3" w:rsidRPr="00166169">
        <w:rPr>
          <w:rFonts w:ascii="Calibri" w:hAnsi="Calibri"/>
          <w:bCs/>
          <w:sz w:val="22"/>
          <w:szCs w:val="22"/>
        </w:rPr>
        <w:t>29,748 residents by 1970</w:t>
      </w:r>
      <w:r w:rsidRPr="00166169">
        <w:rPr>
          <w:rFonts w:ascii="Calibri" w:hAnsi="Calibri"/>
          <w:bCs/>
          <w:sz w:val="22"/>
          <w:szCs w:val="22"/>
        </w:rPr>
        <w:t xml:space="preserve">, and then dipped to 27,557 </w:t>
      </w:r>
      <w:r w:rsidR="00650B44">
        <w:rPr>
          <w:rFonts w:ascii="Calibri" w:hAnsi="Calibri"/>
          <w:bCs/>
          <w:sz w:val="22"/>
          <w:szCs w:val="22"/>
        </w:rPr>
        <w:t>in</w:t>
      </w:r>
      <w:r w:rsidRPr="00166169">
        <w:rPr>
          <w:rFonts w:ascii="Calibri" w:hAnsi="Calibri"/>
          <w:bCs/>
          <w:sz w:val="22"/>
          <w:szCs w:val="22"/>
        </w:rPr>
        <w:t xml:space="preserve"> 1990.  It rebounded </w:t>
      </w:r>
      <w:r w:rsidR="005D1EB9">
        <w:rPr>
          <w:rFonts w:ascii="Calibri" w:hAnsi="Calibri"/>
          <w:bCs/>
          <w:sz w:val="22"/>
          <w:szCs w:val="22"/>
        </w:rPr>
        <w:t>after that growing</w:t>
      </w:r>
      <w:r w:rsidR="00712E77" w:rsidRPr="00166169">
        <w:rPr>
          <w:rFonts w:ascii="Calibri" w:hAnsi="Calibri"/>
          <w:bCs/>
          <w:sz w:val="22"/>
          <w:szCs w:val="22"/>
        </w:rPr>
        <w:t xml:space="preserve"> to </w:t>
      </w:r>
      <w:r w:rsidR="005D1EB9">
        <w:rPr>
          <w:rFonts w:ascii="Calibri" w:hAnsi="Calibri"/>
          <w:bCs/>
          <w:sz w:val="22"/>
          <w:szCs w:val="22"/>
        </w:rPr>
        <w:t xml:space="preserve">28,478 </w:t>
      </w:r>
      <w:r w:rsidR="0012616B">
        <w:rPr>
          <w:rFonts w:ascii="Calibri" w:hAnsi="Calibri"/>
          <w:bCs/>
          <w:sz w:val="22"/>
          <w:szCs w:val="22"/>
        </w:rPr>
        <w:t xml:space="preserve">residents </w:t>
      </w:r>
      <w:r w:rsidR="005D1EB9">
        <w:rPr>
          <w:rFonts w:ascii="Calibri" w:hAnsi="Calibri"/>
          <w:bCs/>
          <w:sz w:val="22"/>
          <w:szCs w:val="22"/>
        </w:rPr>
        <w:t xml:space="preserve">or by 3.3% in 2000, and then up modestly to </w:t>
      </w:r>
      <w:r w:rsidR="00712E77" w:rsidRPr="00166169">
        <w:rPr>
          <w:rFonts w:ascii="Calibri" w:hAnsi="Calibri"/>
          <w:bCs/>
          <w:sz w:val="22"/>
          <w:szCs w:val="22"/>
        </w:rPr>
        <w:t>28,886 residents</w:t>
      </w:r>
      <w:r w:rsidR="005D1EB9">
        <w:rPr>
          <w:rFonts w:ascii="Calibri" w:hAnsi="Calibri"/>
          <w:bCs/>
          <w:sz w:val="22"/>
          <w:szCs w:val="22"/>
        </w:rPr>
        <w:t xml:space="preserve"> and 1.4%</w:t>
      </w:r>
      <w:r w:rsidR="00712E77" w:rsidRPr="00166169">
        <w:rPr>
          <w:rFonts w:ascii="Calibri" w:hAnsi="Calibri"/>
          <w:bCs/>
          <w:sz w:val="22"/>
          <w:szCs w:val="22"/>
        </w:rPr>
        <w:t xml:space="preserve"> in 2010</w:t>
      </w:r>
      <w:r w:rsidR="005D1EB9">
        <w:rPr>
          <w:rFonts w:ascii="Calibri" w:hAnsi="Calibri"/>
          <w:bCs/>
          <w:sz w:val="22"/>
          <w:szCs w:val="22"/>
        </w:rPr>
        <w:t>.  The 2020 census identified significant population growth between 2010 and 2020</w:t>
      </w:r>
      <w:r w:rsidR="00A3758C">
        <w:rPr>
          <w:rFonts w:ascii="Calibri" w:hAnsi="Calibri"/>
          <w:bCs/>
          <w:sz w:val="22"/>
          <w:szCs w:val="22"/>
        </w:rPr>
        <w:t xml:space="preserve"> of</w:t>
      </w:r>
      <w:r w:rsidR="005D1EB9">
        <w:rPr>
          <w:rFonts w:ascii="Calibri" w:hAnsi="Calibri"/>
          <w:bCs/>
          <w:sz w:val="22"/>
          <w:szCs w:val="22"/>
        </w:rPr>
        <w:t xml:space="preserve"> up to 32,091 residents or 11%, representing a gain of 3,205 new residents.  Some of this growth is due to </w:t>
      </w:r>
      <w:r w:rsidR="0012616B">
        <w:rPr>
          <w:rFonts w:ascii="Calibri" w:hAnsi="Calibri"/>
          <w:bCs/>
          <w:sz w:val="22"/>
          <w:szCs w:val="22"/>
        </w:rPr>
        <w:t xml:space="preserve">larger household size and </w:t>
      </w:r>
      <w:r w:rsidR="005D1EB9">
        <w:rPr>
          <w:rFonts w:ascii="Calibri" w:hAnsi="Calibri"/>
          <w:bCs/>
          <w:sz w:val="22"/>
          <w:szCs w:val="22"/>
        </w:rPr>
        <w:t>new multi-family rental development.</w:t>
      </w:r>
      <w:r w:rsidR="00781A36" w:rsidRPr="00781A36">
        <w:rPr>
          <w:rFonts w:ascii="Calibri" w:hAnsi="Calibri"/>
          <w:bCs/>
          <w:sz w:val="22"/>
          <w:szCs w:val="22"/>
        </w:rPr>
        <w:t xml:space="preserve"> </w:t>
      </w:r>
      <w:r w:rsidR="00781A36">
        <w:rPr>
          <w:rFonts w:ascii="Calibri" w:hAnsi="Calibri"/>
          <w:bCs/>
          <w:sz w:val="22"/>
          <w:szCs w:val="22"/>
        </w:rPr>
        <w:t>For example, The Kendrick and Modera Needham Chapter  40B developments included 526 additional residential units.</w:t>
      </w:r>
    </w:p>
    <w:p w14:paraId="1EF2D22E" w14:textId="5A37C2CE" w:rsidR="005D1EB9" w:rsidRDefault="005D1EB9" w:rsidP="00166169">
      <w:pPr>
        <w:jc w:val="both"/>
        <w:rPr>
          <w:rFonts w:ascii="Calibri" w:hAnsi="Calibri"/>
          <w:bCs/>
          <w:sz w:val="22"/>
          <w:szCs w:val="22"/>
        </w:rPr>
      </w:pPr>
    </w:p>
    <w:p w14:paraId="75E4D009" w14:textId="7C4AA73D" w:rsidR="00166169" w:rsidRPr="00166169" w:rsidRDefault="00A54045" w:rsidP="00166169">
      <w:pPr>
        <w:jc w:val="both"/>
        <w:rPr>
          <w:rFonts w:asciiTheme="minorHAnsi" w:hAnsiTheme="minorHAnsi" w:cs="Lucida Sans Unicode"/>
          <w:sz w:val="22"/>
          <w:szCs w:val="22"/>
        </w:rPr>
      </w:pPr>
      <w:r>
        <w:rPr>
          <w:rFonts w:asciiTheme="minorHAnsi" w:hAnsiTheme="minorHAnsi" w:cs="Lucida Sans Unicode"/>
          <w:sz w:val="22"/>
          <w:szCs w:val="22"/>
        </w:rPr>
        <w:t xml:space="preserve">The </w:t>
      </w:r>
      <w:r w:rsidR="00166169" w:rsidRPr="00166169">
        <w:rPr>
          <w:rFonts w:asciiTheme="minorHAnsi" w:hAnsiTheme="minorHAnsi" w:cs="Lucida Sans Unicode"/>
          <w:sz w:val="22"/>
          <w:szCs w:val="22"/>
        </w:rPr>
        <w:t>Town census figure</w:t>
      </w:r>
      <w:r>
        <w:rPr>
          <w:rFonts w:asciiTheme="minorHAnsi" w:hAnsiTheme="minorHAnsi" w:cs="Lucida Sans Unicode"/>
          <w:sz w:val="22"/>
          <w:szCs w:val="22"/>
        </w:rPr>
        <w:t xml:space="preserve"> was </w:t>
      </w:r>
      <w:r w:rsidR="001638DE">
        <w:rPr>
          <w:rFonts w:asciiTheme="minorHAnsi" w:hAnsiTheme="minorHAnsi" w:cs="Lucida Sans Unicode"/>
          <w:sz w:val="22"/>
          <w:szCs w:val="22"/>
        </w:rPr>
        <w:t>31,736 residents as of November 2021 with an additional</w:t>
      </w:r>
      <w:r>
        <w:rPr>
          <w:rFonts w:asciiTheme="minorHAnsi" w:hAnsiTheme="minorHAnsi" w:cs="Lucida Sans Unicode"/>
          <w:sz w:val="22"/>
          <w:szCs w:val="22"/>
        </w:rPr>
        <w:t xml:space="preserve"> </w:t>
      </w:r>
      <w:r w:rsidR="001638DE">
        <w:rPr>
          <w:rFonts w:asciiTheme="minorHAnsi" w:hAnsiTheme="minorHAnsi" w:cs="Lucida Sans Unicode"/>
          <w:sz w:val="22"/>
          <w:szCs w:val="22"/>
        </w:rPr>
        <w:t>1,163</w:t>
      </w:r>
      <w:r>
        <w:rPr>
          <w:rFonts w:asciiTheme="minorHAnsi" w:hAnsiTheme="minorHAnsi" w:cs="Lucida Sans Unicode"/>
          <w:sz w:val="22"/>
          <w:szCs w:val="22"/>
        </w:rPr>
        <w:t xml:space="preserve"> inactive voters for a total of </w:t>
      </w:r>
      <w:r w:rsidR="0071796D">
        <w:rPr>
          <w:rFonts w:asciiTheme="minorHAnsi" w:hAnsiTheme="minorHAnsi" w:cs="Lucida Sans Unicode"/>
          <w:sz w:val="22"/>
          <w:szCs w:val="22"/>
        </w:rPr>
        <w:t>32,</w:t>
      </w:r>
      <w:r w:rsidR="001638DE">
        <w:rPr>
          <w:rFonts w:asciiTheme="minorHAnsi" w:hAnsiTheme="minorHAnsi" w:cs="Lucida Sans Unicode"/>
          <w:sz w:val="22"/>
          <w:szCs w:val="22"/>
        </w:rPr>
        <w:t>899</w:t>
      </w:r>
      <w:r>
        <w:rPr>
          <w:rFonts w:asciiTheme="minorHAnsi" w:hAnsiTheme="minorHAnsi" w:cs="Lucida Sans Unicode"/>
          <w:sz w:val="22"/>
          <w:szCs w:val="22"/>
        </w:rPr>
        <w:t xml:space="preserve">.  </w:t>
      </w:r>
      <w:r w:rsidRPr="00A54045">
        <w:rPr>
          <w:rFonts w:asciiTheme="minorHAnsi" w:hAnsiTheme="minorHAnsi"/>
          <w:sz w:val="22"/>
          <w:szCs w:val="22"/>
        </w:rPr>
        <w:t xml:space="preserve">The Town is required to keep </w:t>
      </w:r>
      <w:r w:rsidR="0071796D">
        <w:rPr>
          <w:rFonts w:asciiTheme="minorHAnsi" w:hAnsiTheme="minorHAnsi"/>
          <w:sz w:val="22"/>
          <w:szCs w:val="22"/>
        </w:rPr>
        <w:t xml:space="preserve">these inactive voters </w:t>
      </w:r>
      <w:r w:rsidRPr="00A54045">
        <w:rPr>
          <w:rFonts w:asciiTheme="minorHAnsi" w:hAnsiTheme="minorHAnsi"/>
          <w:sz w:val="22"/>
          <w:szCs w:val="22"/>
        </w:rPr>
        <w:t>on the census for two biennial state elections if they do not return</w:t>
      </w:r>
      <w:r w:rsidR="00C152A8" w:rsidRPr="00A54045">
        <w:rPr>
          <w:rFonts w:asciiTheme="minorHAnsi" w:hAnsiTheme="minorHAnsi"/>
          <w:sz w:val="22"/>
          <w:szCs w:val="22"/>
        </w:rPr>
        <w:t> a</w:t>
      </w:r>
      <w:r w:rsidRPr="00A54045">
        <w:rPr>
          <w:rFonts w:asciiTheme="minorHAnsi" w:hAnsiTheme="minorHAnsi"/>
          <w:sz w:val="22"/>
          <w:szCs w:val="22"/>
        </w:rPr>
        <w:t xml:space="preserve"> confirmation notice</w:t>
      </w:r>
      <w:r w:rsidR="0071796D">
        <w:rPr>
          <w:rFonts w:asciiTheme="minorHAnsi" w:hAnsiTheme="minorHAnsi"/>
          <w:sz w:val="22"/>
          <w:szCs w:val="22"/>
        </w:rPr>
        <w:t xml:space="preserve">.  </w:t>
      </w:r>
      <w:r w:rsidR="00166169" w:rsidRPr="00166169">
        <w:rPr>
          <w:rFonts w:asciiTheme="minorHAnsi" w:hAnsiTheme="minorHAnsi" w:cs="Lucida Sans Unicode"/>
          <w:sz w:val="22"/>
          <w:szCs w:val="22"/>
        </w:rPr>
        <w:t>The disparity between the federal and local figures is</w:t>
      </w:r>
      <w:r w:rsidR="0012616B">
        <w:rPr>
          <w:rFonts w:asciiTheme="minorHAnsi" w:hAnsiTheme="minorHAnsi" w:cs="Lucida Sans Unicode"/>
          <w:sz w:val="22"/>
          <w:szCs w:val="22"/>
        </w:rPr>
        <w:t xml:space="preserve"> also typically due to</w:t>
      </w:r>
      <w:r w:rsidR="00C662BF">
        <w:rPr>
          <w:rFonts w:asciiTheme="minorHAnsi" w:hAnsiTheme="minorHAnsi" w:cs="Lucida Sans Unicode"/>
          <w:sz w:val="22"/>
          <w:szCs w:val="22"/>
        </w:rPr>
        <w:t xml:space="preserve"> the</w:t>
      </w:r>
      <w:r w:rsidR="00166169" w:rsidRPr="00166169">
        <w:rPr>
          <w:rFonts w:asciiTheme="minorHAnsi" w:hAnsiTheme="minorHAnsi" w:cs="Lucida Sans Unicode"/>
          <w:sz w:val="22"/>
          <w:szCs w:val="22"/>
        </w:rPr>
        <w:t xml:space="preserve"> f</w:t>
      </w:r>
      <w:r w:rsidR="00166169" w:rsidRPr="00166169">
        <w:rPr>
          <w:rFonts w:asciiTheme="minorHAnsi" w:hAnsiTheme="minorHAnsi"/>
          <w:sz w:val="22"/>
          <w:szCs w:val="22"/>
        </w:rPr>
        <w:t>ederal census count</w:t>
      </w:r>
      <w:r w:rsidR="0012616B">
        <w:rPr>
          <w:rFonts w:asciiTheme="minorHAnsi" w:hAnsiTheme="minorHAnsi"/>
          <w:sz w:val="22"/>
          <w:szCs w:val="22"/>
        </w:rPr>
        <w:t>ing</w:t>
      </w:r>
      <w:r w:rsidR="00166169" w:rsidRPr="00166169">
        <w:rPr>
          <w:rFonts w:asciiTheme="minorHAnsi" w:hAnsiTheme="minorHAnsi"/>
          <w:sz w:val="22"/>
          <w:szCs w:val="22"/>
        </w:rPr>
        <w:t xml:space="preserve"> students as living at their colleges and universities while the Town counts students as living at the home of their parents. </w:t>
      </w:r>
    </w:p>
    <w:p w14:paraId="660DD876" w14:textId="77777777" w:rsidR="008772FC" w:rsidRPr="00C700B8" w:rsidRDefault="008772FC" w:rsidP="008703C3">
      <w:pPr>
        <w:pStyle w:val="BodyText3"/>
        <w:spacing w:after="0"/>
        <w:jc w:val="both"/>
        <w:rPr>
          <w:rFonts w:ascii="Calibri" w:hAnsi="Calibri"/>
          <w:sz w:val="22"/>
          <w:szCs w:val="22"/>
        </w:rPr>
      </w:pPr>
    </w:p>
    <w:p w14:paraId="3C3615FD" w14:textId="2A0F9B5B" w:rsidR="008772FC" w:rsidRPr="00A61A62" w:rsidRDefault="008772FC" w:rsidP="008772FC">
      <w:pPr>
        <w:pStyle w:val="BodyText"/>
        <w:spacing w:after="0"/>
        <w:jc w:val="center"/>
        <w:rPr>
          <w:rFonts w:ascii="Calibri" w:hAnsi="Calibri"/>
          <w:b/>
          <w:sz w:val="22"/>
          <w:szCs w:val="22"/>
        </w:rPr>
      </w:pPr>
      <w:r w:rsidRPr="00A61A62">
        <w:rPr>
          <w:rFonts w:ascii="Calibri" w:hAnsi="Calibri"/>
          <w:b/>
          <w:sz w:val="22"/>
          <w:szCs w:val="22"/>
        </w:rPr>
        <w:t xml:space="preserve">Table </w:t>
      </w:r>
      <w:r w:rsidR="0028670D">
        <w:rPr>
          <w:rFonts w:ascii="Calibri" w:hAnsi="Calibri"/>
          <w:b/>
          <w:sz w:val="22"/>
          <w:szCs w:val="22"/>
        </w:rPr>
        <w:t>III-</w:t>
      </w:r>
      <w:r w:rsidRPr="00A61A62">
        <w:rPr>
          <w:rFonts w:ascii="Calibri" w:hAnsi="Calibri"/>
          <w:b/>
          <w:sz w:val="22"/>
          <w:szCs w:val="22"/>
        </w:rPr>
        <w:t>1: Population Change, 1930 to</w:t>
      </w:r>
      <w:r w:rsidR="00C662BF">
        <w:rPr>
          <w:rFonts w:ascii="Calibri" w:hAnsi="Calibri"/>
          <w:b/>
          <w:sz w:val="22"/>
          <w:szCs w:val="22"/>
        </w:rPr>
        <w:t xml:space="preserve"> </w:t>
      </w:r>
      <w:r w:rsidRPr="00A61A62">
        <w:rPr>
          <w:rFonts w:ascii="Calibri" w:hAnsi="Calibri"/>
          <w:b/>
          <w:sz w:val="22"/>
          <w:szCs w:val="22"/>
        </w:rPr>
        <w:t>20</w:t>
      </w:r>
      <w:r w:rsidR="0028670D">
        <w:rPr>
          <w:rFonts w:ascii="Calibri" w:hAnsi="Calibri"/>
          <w:b/>
          <w:sz w:val="22"/>
          <w:szCs w:val="22"/>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2268"/>
        <w:gridCol w:w="2659"/>
        <w:gridCol w:w="2775"/>
      </w:tblGrid>
      <w:tr w:rsidR="008772FC" w:rsidRPr="00A61A62" w14:paraId="0710C388" w14:textId="77777777" w:rsidTr="008F2513">
        <w:tc>
          <w:tcPr>
            <w:tcW w:w="881" w:type="pct"/>
          </w:tcPr>
          <w:p w14:paraId="01F64CB4" w14:textId="77777777" w:rsidR="008772FC" w:rsidRPr="00A61A62" w:rsidRDefault="008772FC" w:rsidP="008F2513">
            <w:pPr>
              <w:pStyle w:val="BodyText"/>
              <w:spacing w:after="0"/>
              <w:jc w:val="center"/>
              <w:rPr>
                <w:rFonts w:ascii="Calibri" w:hAnsi="Calibri"/>
                <w:b/>
              </w:rPr>
            </w:pPr>
          </w:p>
          <w:p w14:paraId="60E934EF" w14:textId="77777777" w:rsidR="008772FC" w:rsidRPr="00A61A62" w:rsidRDefault="008772FC" w:rsidP="008F2513">
            <w:pPr>
              <w:pStyle w:val="BodyText"/>
              <w:spacing w:after="0"/>
              <w:jc w:val="center"/>
              <w:rPr>
                <w:rFonts w:ascii="Calibri" w:hAnsi="Calibri"/>
                <w:b/>
              </w:rPr>
            </w:pPr>
            <w:r w:rsidRPr="00A61A62">
              <w:rPr>
                <w:rFonts w:ascii="Calibri" w:hAnsi="Calibri"/>
                <w:b/>
                <w:sz w:val="22"/>
                <w:szCs w:val="22"/>
              </w:rPr>
              <w:t>Year</w:t>
            </w:r>
          </w:p>
        </w:tc>
        <w:tc>
          <w:tcPr>
            <w:tcW w:w="1213" w:type="pct"/>
          </w:tcPr>
          <w:p w14:paraId="6DA0A0B9" w14:textId="77777777" w:rsidR="008772FC" w:rsidRPr="00A61A62" w:rsidRDefault="008772FC" w:rsidP="008F2513">
            <w:pPr>
              <w:pStyle w:val="BodyText"/>
              <w:spacing w:after="0"/>
              <w:jc w:val="center"/>
              <w:rPr>
                <w:rFonts w:ascii="Calibri" w:hAnsi="Calibri"/>
                <w:b/>
              </w:rPr>
            </w:pPr>
            <w:r w:rsidRPr="00A61A62">
              <w:rPr>
                <w:rFonts w:ascii="Calibri" w:hAnsi="Calibri"/>
                <w:b/>
                <w:sz w:val="22"/>
                <w:szCs w:val="22"/>
              </w:rPr>
              <w:t>Total</w:t>
            </w:r>
          </w:p>
          <w:p w14:paraId="4642B944" w14:textId="77777777" w:rsidR="008772FC" w:rsidRPr="00A61A62" w:rsidRDefault="008772FC" w:rsidP="008F2513">
            <w:pPr>
              <w:pStyle w:val="BodyText"/>
              <w:spacing w:after="0"/>
              <w:jc w:val="center"/>
              <w:rPr>
                <w:rFonts w:ascii="Calibri" w:hAnsi="Calibri"/>
                <w:b/>
              </w:rPr>
            </w:pPr>
            <w:r w:rsidRPr="00A61A62">
              <w:rPr>
                <w:rFonts w:ascii="Calibri" w:hAnsi="Calibri"/>
                <w:b/>
                <w:sz w:val="22"/>
                <w:szCs w:val="22"/>
              </w:rPr>
              <w:t>Population</w:t>
            </w:r>
          </w:p>
        </w:tc>
        <w:tc>
          <w:tcPr>
            <w:tcW w:w="1422" w:type="pct"/>
          </w:tcPr>
          <w:p w14:paraId="08CA3A73" w14:textId="77777777" w:rsidR="008772FC" w:rsidRPr="00A61A62" w:rsidRDefault="008772FC" w:rsidP="008F2513">
            <w:pPr>
              <w:pStyle w:val="BodyText"/>
              <w:spacing w:after="0"/>
              <w:jc w:val="center"/>
              <w:rPr>
                <w:rFonts w:ascii="Calibri" w:hAnsi="Calibri"/>
                <w:b/>
              </w:rPr>
            </w:pPr>
            <w:r w:rsidRPr="00A61A62">
              <w:rPr>
                <w:rFonts w:ascii="Calibri" w:hAnsi="Calibri"/>
                <w:b/>
                <w:sz w:val="22"/>
                <w:szCs w:val="22"/>
              </w:rPr>
              <w:t>Change in Number of Residents</w:t>
            </w:r>
          </w:p>
        </w:tc>
        <w:tc>
          <w:tcPr>
            <w:tcW w:w="1484" w:type="pct"/>
          </w:tcPr>
          <w:p w14:paraId="513111F6" w14:textId="77777777" w:rsidR="008772FC" w:rsidRPr="00A61A62" w:rsidRDefault="008772FC" w:rsidP="008F2513">
            <w:pPr>
              <w:pStyle w:val="BodyText"/>
              <w:spacing w:after="0"/>
              <w:jc w:val="center"/>
              <w:rPr>
                <w:rFonts w:ascii="Calibri" w:hAnsi="Calibri"/>
                <w:b/>
              </w:rPr>
            </w:pPr>
          </w:p>
          <w:p w14:paraId="628AEF72" w14:textId="77777777" w:rsidR="008772FC" w:rsidRPr="00A61A62" w:rsidRDefault="008772FC" w:rsidP="008F2513">
            <w:pPr>
              <w:pStyle w:val="BodyText"/>
              <w:spacing w:after="0"/>
              <w:jc w:val="center"/>
              <w:rPr>
                <w:rFonts w:ascii="Calibri" w:hAnsi="Calibri"/>
                <w:b/>
              </w:rPr>
            </w:pPr>
            <w:r w:rsidRPr="00A61A62">
              <w:rPr>
                <w:rFonts w:ascii="Calibri" w:hAnsi="Calibri"/>
                <w:b/>
                <w:sz w:val="22"/>
                <w:szCs w:val="22"/>
              </w:rPr>
              <w:t>Percentage Change</w:t>
            </w:r>
          </w:p>
        </w:tc>
      </w:tr>
      <w:tr w:rsidR="008772FC" w:rsidRPr="004E50E7" w14:paraId="0E7FF898" w14:textId="77777777" w:rsidTr="008F2513">
        <w:tc>
          <w:tcPr>
            <w:tcW w:w="881" w:type="pct"/>
          </w:tcPr>
          <w:p w14:paraId="2929E717"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1930</w:t>
            </w:r>
          </w:p>
        </w:tc>
        <w:tc>
          <w:tcPr>
            <w:tcW w:w="1213" w:type="pct"/>
          </w:tcPr>
          <w:p w14:paraId="4793170D"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10,845</w:t>
            </w:r>
          </w:p>
        </w:tc>
        <w:tc>
          <w:tcPr>
            <w:tcW w:w="1422" w:type="pct"/>
          </w:tcPr>
          <w:p w14:paraId="70E82250"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w:t>
            </w:r>
          </w:p>
        </w:tc>
        <w:tc>
          <w:tcPr>
            <w:tcW w:w="1484" w:type="pct"/>
          </w:tcPr>
          <w:p w14:paraId="14795A0A"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w:t>
            </w:r>
          </w:p>
        </w:tc>
      </w:tr>
      <w:tr w:rsidR="008772FC" w:rsidRPr="004E50E7" w14:paraId="12E7939B" w14:textId="77777777" w:rsidTr="008F2513">
        <w:tc>
          <w:tcPr>
            <w:tcW w:w="881" w:type="pct"/>
          </w:tcPr>
          <w:p w14:paraId="5E709338"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1940</w:t>
            </w:r>
          </w:p>
        </w:tc>
        <w:tc>
          <w:tcPr>
            <w:tcW w:w="1213" w:type="pct"/>
          </w:tcPr>
          <w:p w14:paraId="1FCCA76F"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12,445</w:t>
            </w:r>
          </w:p>
        </w:tc>
        <w:tc>
          <w:tcPr>
            <w:tcW w:w="1422" w:type="pct"/>
          </w:tcPr>
          <w:p w14:paraId="094009DF"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1,600</w:t>
            </w:r>
          </w:p>
        </w:tc>
        <w:tc>
          <w:tcPr>
            <w:tcW w:w="1484" w:type="pct"/>
          </w:tcPr>
          <w:p w14:paraId="78C75A7E"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14.8</w:t>
            </w:r>
            <w:r>
              <w:rPr>
                <w:rFonts w:ascii="Calibri" w:hAnsi="Calibri"/>
                <w:bCs/>
                <w:sz w:val="20"/>
              </w:rPr>
              <w:t>%</w:t>
            </w:r>
          </w:p>
        </w:tc>
      </w:tr>
      <w:tr w:rsidR="008772FC" w:rsidRPr="004E50E7" w14:paraId="1F99EBA8" w14:textId="77777777" w:rsidTr="008F2513">
        <w:tc>
          <w:tcPr>
            <w:tcW w:w="881" w:type="pct"/>
          </w:tcPr>
          <w:p w14:paraId="5916504A"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1950</w:t>
            </w:r>
          </w:p>
        </w:tc>
        <w:tc>
          <w:tcPr>
            <w:tcW w:w="1213" w:type="pct"/>
          </w:tcPr>
          <w:p w14:paraId="4812FC73"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16,313</w:t>
            </w:r>
          </w:p>
        </w:tc>
        <w:tc>
          <w:tcPr>
            <w:tcW w:w="1422" w:type="pct"/>
          </w:tcPr>
          <w:p w14:paraId="1B6BB241"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3,868</w:t>
            </w:r>
          </w:p>
        </w:tc>
        <w:tc>
          <w:tcPr>
            <w:tcW w:w="1484" w:type="pct"/>
          </w:tcPr>
          <w:p w14:paraId="0DA21F5D"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31.1</w:t>
            </w:r>
            <w:r>
              <w:rPr>
                <w:rFonts w:ascii="Calibri" w:hAnsi="Calibri"/>
                <w:bCs/>
                <w:sz w:val="20"/>
              </w:rPr>
              <w:t>%</w:t>
            </w:r>
          </w:p>
        </w:tc>
      </w:tr>
      <w:tr w:rsidR="008772FC" w:rsidRPr="004E50E7" w14:paraId="7382902F" w14:textId="77777777" w:rsidTr="008F2513">
        <w:tc>
          <w:tcPr>
            <w:tcW w:w="881" w:type="pct"/>
          </w:tcPr>
          <w:p w14:paraId="6EF260B3"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1960</w:t>
            </w:r>
          </w:p>
        </w:tc>
        <w:tc>
          <w:tcPr>
            <w:tcW w:w="1213" w:type="pct"/>
          </w:tcPr>
          <w:p w14:paraId="6374969B"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25,793</w:t>
            </w:r>
          </w:p>
        </w:tc>
        <w:tc>
          <w:tcPr>
            <w:tcW w:w="1422" w:type="pct"/>
          </w:tcPr>
          <w:p w14:paraId="0AC2A196"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9,480</w:t>
            </w:r>
          </w:p>
        </w:tc>
        <w:tc>
          <w:tcPr>
            <w:tcW w:w="1484" w:type="pct"/>
          </w:tcPr>
          <w:p w14:paraId="67BDB2D5"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58.1</w:t>
            </w:r>
            <w:r>
              <w:rPr>
                <w:rFonts w:ascii="Calibri" w:hAnsi="Calibri"/>
                <w:bCs/>
                <w:sz w:val="20"/>
              </w:rPr>
              <w:t>%</w:t>
            </w:r>
          </w:p>
        </w:tc>
      </w:tr>
      <w:tr w:rsidR="008772FC" w:rsidRPr="004E50E7" w14:paraId="4B7EF4EC" w14:textId="77777777" w:rsidTr="008F2513">
        <w:tc>
          <w:tcPr>
            <w:tcW w:w="881" w:type="pct"/>
          </w:tcPr>
          <w:p w14:paraId="72E2501C"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1970</w:t>
            </w:r>
          </w:p>
        </w:tc>
        <w:tc>
          <w:tcPr>
            <w:tcW w:w="1213" w:type="pct"/>
          </w:tcPr>
          <w:p w14:paraId="6F2837E2"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29,748</w:t>
            </w:r>
          </w:p>
        </w:tc>
        <w:tc>
          <w:tcPr>
            <w:tcW w:w="1422" w:type="pct"/>
          </w:tcPr>
          <w:p w14:paraId="74F4C0B9"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3,955</w:t>
            </w:r>
          </w:p>
        </w:tc>
        <w:tc>
          <w:tcPr>
            <w:tcW w:w="1484" w:type="pct"/>
          </w:tcPr>
          <w:p w14:paraId="6C928180"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15.3</w:t>
            </w:r>
            <w:r>
              <w:rPr>
                <w:rFonts w:ascii="Calibri" w:hAnsi="Calibri"/>
                <w:bCs/>
                <w:sz w:val="20"/>
              </w:rPr>
              <w:t>%</w:t>
            </w:r>
          </w:p>
        </w:tc>
      </w:tr>
      <w:tr w:rsidR="008772FC" w:rsidRPr="004E50E7" w14:paraId="441B5E75" w14:textId="77777777" w:rsidTr="008F2513">
        <w:tc>
          <w:tcPr>
            <w:tcW w:w="881" w:type="pct"/>
          </w:tcPr>
          <w:p w14:paraId="6086F173"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1980</w:t>
            </w:r>
          </w:p>
        </w:tc>
        <w:tc>
          <w:tcPr>
            <w:tcW w:w="1213" w:type="pct"/>
          </w:tcPr>
          <w:p w14:paraId="33E9C250"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27,901</w:t>
            </w:r>
          </w:p>
        </w:tc>
        <w:tc>
          <w:tcPr>
            <w:tcW w:w="1422" w:type="pct"/>
          </w:tcPr>
          <w:p w14:paraId="29D0425E"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-1,847</w:t>
            </w:r>
          </w:p>
        </w:tc>
        <w:tc>
          <w:tcPr>
            <w:tcW w:w="1484" w:type="pct"/>
          </w:tcPr>
          <w:p w14:paraId="358ED8AE"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-6.2</w:t>
            </w:r>
            <w:r>
              <w:rPr>
                <w:rFonts w:ascii="Calibri" w:hAnsi="Calibri"/>
                <w:bCs/>
                <w:sz w:val="20"/>
              </w:rPr>
              <w:t>%</w:t>
            </w:r>
          </w:p>
        </w:tc>
      </w:tr>
      <w:tr w:rsidR="008772FC" w:rsidRPr="004E50E7" w14:paraId="219D0E46" w14:textId="77777777" w:rsidTr="008F2513">
        <w:tc>
          <w:tcPr>
            <w:tcW w:w="881" w:type="pct"/>
          </w:tcPr>
          <w:p w14:paraId="690380C6"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1990</w:t>
            </w:r>
          </w:p>
        </w:tc>
        <w:tc>
          <w:tcPr>
            <w:tcW w:w="1213" w:type="pct"/>
          </w:tcPr>
          <w:p w14:paraId="467016B4"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27,557</w:t>
            </w:r>
          </w:p>
        </w:tc>
        <w:tc>
          <w:tcPr>
            <w:tcW w:w="1422" w:type="pct"/>
          </w:tcPr>
          <w:p w14:paraId="5523CB02"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-344</w:t>
            </w:r>
          </w:p>
        </w:tc>
        <w:tc>
          <w:tcPr>
            <w:tcW w:w="1484" w:type="pct"/>
          </w:tcPr>
          <w:p w14:paraId="593000D7"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-1.2</w:t>
            </w:r>
            <w:r>
              <w:rPr>
                <w:rFonts w:ascii="Calibri" w:hAnsi="Calibri"/>
                <w:bCs/>
                <w:sz w:val="20"/>
              </w:rPr>
              <w:t>%</w:t>
            </w:r>
          </w:p>
        </w:tc>
      </w:tr>
      <w:tr w:rsidR="008772FC" w:rsidRPr="004E50E7" w14:paraId="1DDC7BA1" w14:textId="77777777" w:rsidTr="008F2513">
        <w:tc>
          <w:tcPr>
            <w:tcW w:w="881" w:type="pct"/>
          </w:tcPr>
          <w:p w14:paraId="213968ED"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2000</w:t>
            </w:r>
          </w:p>
        </w:tc>
        <w:tc>
          <w:tcPr>
            <w:tcW w:w="1213" w:type="pct"/>
          </w:tcPr>
          <w:p w14:paraId="327B093E" w14:textId="77777777" w:rsidR="008772FC" w:rsidRPr="004E50E7" w:rsidRDefault="00C829EA" w:rsidP="008F2513">
            <w:pPr>
              <w:pStyle w:val="BodyText"/>
              <w:spacing w:after="0"/>
              <w:jc w:val="center"/>
              <w:rPr>
                <w:rFonts w:ascii="Calibri" w:hAnsi="Calibri"/>
                <w:bCs/>
                <w:sz w:val="20"/>
              </w:rPr>
            </w:pPr>
            <w:r>
              <w:rPr>
                <w:rFonts w:ascii="Calibri" w:hAnsi="Calibri"/>
                <w:bCs/>
                <w:sz w:val="20"/>
              </w:rPr>
              <w:t>28,478</w:t>
            </w:r>
          </w:p>
        </w:tc>
        <w:tc>
          <w:tcPr>
            <w:tcW w:w="1422" w:type="pct"/>
          </w:tcPr>
          <w:p w14:paraId="351E4B64" w14:textId="77777777" w:rsidR="008772FC" w:rsidRPr="004E50E7" w:rsidRDefault="008703C3" w:rsidP="008F2513">
            <w:pPr>
              <w:pStyle w:val="BodyText"/>
              <w:spacing w:after="0"/>
              <w:jc w:val="center"/>
              <w:rPr>
                <w:rFonts w:ascii="Calibri" w:hAnsi="Calibri"/>
                <w:bCs/>
                <w:sz w:val="20"/>
              </w:rPr>
            </w:pPr>
            <w:r>
              <w:rPr>
                <w:rFonts w:ascii="Calibri" w:hAnsi="Calibri"/>
                <w:bCs/>
                <w:sz w:val="20"/>
              </w:rPr>
              <w:t>921</w:t>
            </w:r>
          </w:p>
        </w:tc>
        <w:tc>
          <w:tcPr>
            <w:tcW w:w="1484" w:type="pct"/>
          </w:tcPr>
          <w:p w14:paraId="663F1A2F" w14:textId="77777777" w:rsidR="008772FC" w:rsidRPr="004E50E7" w:rsidRDefault="008703C3" w:rsidP="008F2513">
            <w:pPr>
              <w:pStyle w:val="BodyText"/>
              <w:spacing w:after="0"/>
              <w:jc w:val="center"/>
              <w:rPr>
                <w:rFonts w:ascii="Calibri" w:hAnsi="Calibri"/>
                <w:bCs/>
                <w:sz w:val="20"/>
              </w:rPr>
            </w:pPr>
            <w:r>
              <w:rPr>
                <w:rFonts w:ascii="Calibri" w:hAnsi="Calibri"/>
                <w:bCs/>
                <w:sz w:val="20"/>
              </w:rPr>
              <w:t>3.3</w:t>
            </w:r>
            <w:r w:rsidR="008772FC">
              <w:rPr>
                <w:rFonts w:ascii="Calibri" w:hAnsi="Calibri"/>
                <w:bCs/>
                <w:sz w:val="20"/>
              </w:rPr>
              <w:t>%</w:t>
            </w:r>
          </w:p>
        </w:tc>
      </w:tr>
      <w:tr w:rsidR="008772FC" w:rsidRPr="004E50E7" w14:paraId="62FA139C" w14:textId="77777777" w:rsidTr="008F2513">
        <w:tc>
          <w:tcPr>
            <w:tcW w:w="881" w:type="pct"/>
          </w:tcPr>
          <w:p w14:paraId="2E7FA150"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2010</w:t>
            </w:r>
          </w:p>
        </w:tc>
        <w:tc>
          <w:tcPr>
            <w:tcW w:w="1213" w:type="pct"/>
          </w:tcPr>
          <w:p w14:paraId="715C3B06" w14:textId="77777777" w:rsidR="008772FC" w:rsidRPr="004E50E7" w:rsidRDefault="008772FC" w:rsidP="008F2513">
            <w:pPr>
              <w:pStyle w:val="BodyText"/>
              <w:spacing w:after="0"/>
              <w:jc w:val="center"/>
              <w:rPr>
                <w:rFonts w:ascii="Calibri" w:hAnsi="Calibri"/>
                <w:bCs/>
                <w:sz w:val="20"/>
              </w:rPr>
            </w:pPr>
            <w:r w:rsidRPr="004E50E7">
              <w:rPr>
                <w:rFonts w:ascii="Calibri" w:hAnsi="Calibri"/>
                <w:bCs/>
                <w:sz w:val="20"/>
              </w:rPr>
              <w:t>28,886</w:t>
            </w:r>
          </w:p>
        </w:tc>
        <w:tc>
          <w:tcPr>
            <w:tcW w:w="1422" w:type="pct"/>
          </w:tcPr>
          <w:p w14:paraId="7A514186" w14:textId="77777777" w:rsidR="008772FC" w:rsidRPr="004E50E7" w:rsidRDefault="008703C3" w:rsidP="008F2513">
            <w:pPr>
              <w:pStyle w:val="BodyText"/>
              <w:spacing w:after="0"/>
              <w:jc w:val="center"/>
              <w:rPr>
                <w:rFonts w:ascii="Calibri" w:hAnsi="Calibri"/>
                <w:bCs/>
                <w:sz w:val="20"/>
              </w:rPr>
            </w:pPr>
            <w:r>
              <w:rPr>
                <w:rFonts w:ascii="Calibri" w:hAnsi="Calibri"/>
                <w:bCs/>
                <w:sz w:val="20"/>
              </w:rPr>
              <w:t>408</w:t>
            </w:r>
          </w:p>
        </w:tc>
        <w:tc>
          <w:tcPr>
            <w:tcW w:w="1484" w:type="pct"/>
          </w:tcPr>
          <w:p w14:paraId="1A4BA4B2" w14:textId="1D3E0048" w:rsidR="008772FC" w:rsidRPr="004E50E7" w:rsidRDefault="008703C3" w:rsidP="008703C3">
            <w:pPr>
              <w:pStyle w:val="BodyText"/>
              <w:spacing w:after="0"/>
              <w:jc w:val="center"/>
              <w:rPr>
                <w:rFonts w:ascii="Calibri" w:hAnsi="Calibri"/>
                <w:bCs/>
                <w:sz w:val="20"/>
              </w:rPr>
            </w:pPr>
            <w:r>
              <w:rPr>
                <w:rFonts w:ascii="Calibri" w:hAnsi="Calibri"/>
                <w:bCs/>
                <w:sz w:val="20"/>
              </w:rPr>
              <w:t>1.4</w:t>
            </w:r>
            <w:r w:rsidR="008772FC">
              <w:rPr>
                <w:rFonts w:ascii="Calibri" w:hAnsi="Calibri"/>
                <w:bCs/>
                <w:sz w:val="20"/>
              </w:rPr>
              <w:t>%</w:t>
            </w:r>
          </w:p>
        </w:tc>
      </w:tr>
      <w:tr w:rsidR="008772FC" w:rsidRPr="004E50E7" w14:paraId="6A4B2F09" w14:textId="77777777" w:rsidTr="001638DE">
        <w:tc>
          <w:tcPr>
            <w:tcW w:w="881" w:type="pct"/>
            <w:tcBorders>
              <w:bottom w:val="single" w:sz="12" w:space="0" w:color="auto"/>
            </w:tcBorders>
          </w:tcPr>
          <w:p w14:paraId="2ECF246F" w14:textId="7F99965A" w:rsidR="008772FC" w:rsidRPr="004E50E7" w:rsidRDefault="0028670D" w:rsidP="008703C3">
            <w:pPr>
              <w:pStyle w:val="BodyText"/>
              <w:spacing w:after="0"/>
              <w:jc w:val="center"/>
              <w:rPr>
                <w:rFonts w:ascii="Calibri" w:hAnsi="Calibri"/>
                <w:bCs/>
                <w:sz w:val="20"/>
              </w:rPr>
            </w:pPr>
            <w:r>
              <w:rPr>
                <w:rFonts w:ascii="Calibri" w:hAnsi="Calibri"/>
                <w:bCs/>
                <w:sz w:val="20"/>
              </w:rPr>
              <w:t>2020</w:t>
            </w:r>
          </w:p>
        </w:tc>
        <w:tc>
          <w:tcPr>
            <w:tcW w:w="1213" w:type="pct"/>
            <w:tcBorders>
              <w:bottom w:val="single" w:sz="12" w:space="0" w:color="auto"/>
            </w:tcBorders>
          </w:tcPr>
          <w:p w14:paraId="5BB58B37" w14:textId="726CF8CA" w:rsidR="008772FC" w:rsidRPr="004E50E7" w:rsidRDefault="0028670D" w:rsidP="008F2513">
            <w:pPr>
              <w:pStyle w:val="BodyText"/>
              <w:spacing w:after="0"/>
              <w:jc w:val="center"/>
              <w:rPr>
                <w:rFonts w:ascii="Calibri" w:hAnsi="Calibri"/>
                <w:bCs/>
                <w:sz w:val="20"/>
              </w:rPr>
            </w:pPr>
            <w:r>
              <w:rPr>
                <w:rFonts w:ascii="Calibri" w:hAnsi="Calibri"/>
                <w:bCs/>
                <w:sz w:val="20"/>
              </w:rPr>
              <w:t>32,091</w:t>
            </w:r>
          </w:p>
        </w:tc>
        <w:tc>
          <w:tcPr>
            <w:tcW w:w="1422" w:type="pct"/>
            <w:tcBorders>
              <w:bottom w:val="single" w:sz="12" w:space="0" w:color="auto"/>
            </w:tcBorders>
          </w:tcPr>
          <w:p w14:paraId="5EAAB577" w14:textId="0B56E0AF" w:rsidR="008772FC" w:rsidRPr="004E50E7" w:rsidRDefault="0028670D" w:rsidP="008F2513">
            <w:pPr>
              <w:pStyle w:val="BodyText"/>
              <w:spacing w:after="0"/>
              <w:jc w:val="center"/>
              <w:rPr>
                <w:rFonts w:ascii="Calibri" w:hAnsi="Calibri"/>
                <w:bCs/>
                <w:sz w:val="20"/>
              </w:rPr>
            </w:pPr>
            <w:r>
              <w:rPr>
                <w:rFonts w:ascii="Calibri" w:hAnsi="Calibri"/>
                <w:bCs/>
                <w:sz w:val="20"/>
              </w:rPr>
              <w:t>3,205</w:t>
            </w:r>
          </w:p>
        </w:tc>
        <w:tc>
          <w:tcPr>
            <w:tcW w:w="1484" w:type="pct"/>
            <w:tcBorders>
              <w:bottom w:val="single" w:sz="12" w:space="0" w:color="auto"/>
            </w:tcBorders>
          </w:tcPr>
          <w:p w14:paraId="56007311" w14:textId="69AB1812" w:rsidR="008772FC" w:rsidRPr="004E50E7" w:rsidRDefault="0028670D" w:rsidP="008703C3">
            <w:pPr>
              <w:pStyle w:val="BodyText"/>
              <w:spacing w:after="0"/>
              <w:jc w:val="center"/>
              <w:rPr>
                <w:rFonts w:ascii="Calibri" w:hAnsi="Calibri"/>
                <w:bCs/>
                <w:sz w:val="20"/>
              </w:rPr>
            </w:pPr>
            <w:r>
              <w:rPr>
                <w:rFonts w:ascii="Calibri" w:hAnsi="Calibri"/>
                <w:bCs/>
                <w:sz w:val="20"/>
              </w:rPr>
              <w:t>11.1%</w:t>
            </w:r>
          </w:p>
        </w:tc>
      </w:tr>
      <w:tr w:rsidR="008703C3" w:rsidRPr="004E50E7" w14:paraId="3984A02F" w14:textId="77777777" w:rsidTr="001638DE">
        <w:tc>
          <w:tcPr>
            <w:tcW w:w="881" w:type="pct"/>
            <w:tcBorders>
              <w:top w:val="single" w:sz="12" w:space="0" w:color="auto"/>
            </w:tcBorders>
          </w:tcPr>
          <w:p w14:paraId="7F1D4D29" w14:textId="43798FAF" w:rsidR="008703C3" w:rsidRDefault="0028670D" w:rsidP="00A54045">
            <w:pPr>
              <w:pStyle w:val="BodyText"/>
              <w:spacing w:after="0"/>
              <w:jc w:val="center"/>
              <w:rPr>
                <w:rFonts w:ascii="Calibri" w:hAnsi="Calibri"/>
                <w:bCs/>
                <w:sz w:val="20"/>
              </w:rPr>
            </w:pPr>
            <w:r>
              <w:rPr>
                <w:rFonts w:ascii="Calibri" w:hAnsi="Calibri"/>
                <w:bCs/>
                <w:sz w:val="20"/>
              </w:rPr>
              <w:t>Town</w:t>
            </w:r>
            <w:r w:rsidR="005D1EB9">
              <w:rPr>
                <w:rFonts w:ascii="Calibri" w:hAnsi="Calibri"/>
                <w:bCs/>
                <w:sz w:val="20"/>
              </w:rPr>
              <w:t xml:space="preserve"> Records</w:t>
            </w:r>
          </w:p>
          <w:p w14:paraId="615860A2" w14:textId="1E95E1B3" w:rsidR="005D1EB9" w:rsidRDefault="005D1EB9" w:rsidP="00A54045">
            <w:pPr>
              <w:pStyle w:val="BodyText"/>
              <w:spacing w:after="0"/>
              <w:jc w:val="center"/>
              <w:rPr>
                <w:rFonts w:ascii="Calibri" w:hAnsi="Calibri"/>
                <w:bCs/>
                <w:sz w:val="20"/>
              </w:rPr>
            </w:pPr>
            <w:r>
              <w:rPr>
                <w:rFonts w:ascii="Calibri" w:hAnsi="Calibri"/>
                <w:bCs/>
                <w:sz w:val="20"/>
              </w:rPr>
              <w:t>As of</w:t>
            </w:r>
            <w:r w:rsidR="001638DE">
              <w:rPr>
                <w:rFonts w:ascii="Calibri" w:hAnsi="Calibri"/>
                <w:bCs/>
                <w:sz w:val="20"/>
              </w:rPr>
              <w:t xml:space="preserve"> 11/21</w:t>
            </w:r>
          </w:p>
        </w:tc>
        <w:tc>
          <w:tcPr>
            <w:tcW w:w="1213" w:type="pct"/>
            <w:tcBorders>
              <w:top w:val="single" w:sz="12" w:space="0" w:color="auto"/>
            </w:tcBorders>
          </w:tcPr>
          <w:p w14:paraId="16800411" w14:textId="1B03F179" w:rsidR="008703C3" w:rsidRDefault="001638DE" w:rsidP="008F2513">
            <w:pPr>
              <w:pStyle w:val="BodyText"/>
              <w:spacing w:after="0"/>
              <w:jc w:val="center"/>
              <w:rPr>
                <w:rFonts w:ascii="Calibri" w:hAnsi="Calibri"/>
                <w:bCs/>
                <w:sz w:val="20"/>
              </w:rPr>
            </w:pPr>
            <w:r>
              <w:rPr>
                <w:rFonts w:ascii="Calibri" w:hAnsi="Calibri"/>
                <w:bCs/>
                <w:sz w:val="20"/>
              </w:rPr>
              <w:t>32,899</w:t>
            </w:r>
          </w:p>
        </w:tc>
        <w:tc>
          <w:tcPr>
            <w:tcW w:w="1422" w:type="pct"/>
            <w:tcBorders>
              <w:top w:val="single" w:sz="12" w:space="0" w:color="auto"/>
            </w:tcBorders>
          </w:tcPr>
          <w:p w14:paraId="4828B227" w14:textId="25900BD0" w:rsidR="008703C3" w:rsidRDefault="001638DE" w:rsidP="008F2513">
            <w:pPr>
              <w:pStyle w:val="BodyText"/>
              <w:spacing w:after="0"/>
              <w:jc w:val="center"/>
              <w:rPr>
                <w:rFonts w:ascii="Calibri" w:hAnsi="Calibri"/>
                <w:bCs/>
                <w:sz w:val="20"/>
              </w:rPr>
            </w:pPr>
            <w:r>
              <w:rPr>
                <w:rFonts w:ascii="Calibri" w:hAnsi="Calibri"/>
                <w:bCs/>
                <w:sz w:val="20"/>
              </w:rPr>
              <w:t>--</w:t>
            </w:r>
          </w:p>
        </w:tc>
        <w:tc>
          <w:tcPr>
            <w:tcW w:w="1484" w:type="pct"/>
            <w:tcBorders>
              <w:top w:val="single" w:sz="12" w:space="0" w:color="auto"/>
            </w:tcBorders>
          </w:tcPr>
          <w:p w14:paraId="5C4761ED" w14:textId="0CF04207" w:rsidR="008703C3" w:rsidRDefault="001638DE" w:rsidP="008F2513">
            <w:pPr>
              <w:pStyle w:val="BodyText"/>
              <w:spacing w:after="0"/>
              <w:jc w:val="center"/>
              <w:rPr>
                <w:rFonts w:ascii="Calibri" w:hAnsi="Calibri"/>
                <w:bCs/>
                <w:sz w:val="20"/>
              </w:rPr>
            </w:pPr>
            <w:r>
              <w:rPr>
                <w:rFonts w:ascii="Calibri" w:hAnsi="Calibri"/>
                <w:bCs/>
                <w:sz w:val="20"/>
              </w:rPr>
              <w:t>--</w:t>
            </w:r>
          </w:p>
        </w:tc>
      </w:tr>
    </w:tbl>
    <w:p w14:paraId="3001F1CF" w14:textId="3D7C0499" w:rsidR="008772FC" w:rsidRDefault="008772FC" w:rsidP="008772FC">
      <w:pPr>
        <w:pStyle w:val="BodyText"/>
        <w:spacing w:after="0"/>
        <w:rPr>
          <w:rFonts w:ascii="Calibri" w:hAnsi="Calibri"/>
          <w:sz w:val="20"/>
        </w:rPr>
      </w:pPr>
      <w:r w:rsidRPr="004E50E7">
        <w:rPr>
          <w:rFonts w:ascii="Calibri" w:hAnsi="Calibri"/>
          <w:sz w:val="20"/>
        </w:rPr>
        <w:t xml:space="preserve">Sources:  U.S. Census Bureau, 2010 </w:t>
      </w:r>
      <w:r w:rsidR="001638DE">
        <w:rPr>
          <w:rFonts w:ascii="Calibri" w:hAnsi="Calibri"/>
          <w:sz w:val="20"/>
        </w:rPr>
        <w:t>and 2020</w:t>
      </w:r>
      <w:r>
        <w:rPr>
          <w:rFonts w:ascii="Calibri" w:hAnsi="Calibri"/>
          <w:sz w:val="20"/>
        </w:rPr>
        <w:t>;</w:t>
      </w:r>
      <w:r w:rsidRPr="004E50E7">
        <w:rPr>
          <w:rFonts w:ascii="Calibri" w:hAnsi="Calibri"/>
          <w:sz w:val="20"/>
        </w:rPr>
        <w:t xml:space="preserve"> University of Massachusetts Donahue Institute State Data Center</w:t>
      </w:r>
      <w:r w:rsidR="008703C3">
        <w:rPr>
          <w:rFonts w:ascii="Calibri" w:hAnsi="Calibri"/>
          <w:sz w:val="20"/>
        </w:rPr>
        <w:t>; Needham Town Clerk’s Office</w:t>
      </w:r>
      <w:r w:rsidRPr="004E50E7">
        <w:rPr>
          <w:rFonts w:ascii="Calibri" w:hAnsi="Calibri"/>
          <w:sz w:val="20"/>
        </w:rPr>
        <w:t>.</w:t>
      </w:r>
    </w:p>
    <w:p w14:paraId="697DB07B" w14:textId="77777777" w:rsidR="008772FC" w:rsidRPr="004E50E7" w:rsidRDefault="008772FC" w:rsidP="008772FC">
      <w:pPr>
        <w:pStyle w:val="BodyText"/>
        <w:spacing w:after="0"/>
        <w:rPr>
          <w:rFonts w:ascii="Calibri" w:hAnsi="Calibri"/>
          <w:bCs/>
          <w:sz w:val="20"/>
        </w:rPr>
      </w:pPr>
    </w:p>
    <w:p w14:paraId="13921DE5" w14:textId="31C075E8" w:rsidR="001638DE" w:rsidRPr="009420D5" w:rsidRDefault="0014167C" w:rsidP="000B3F50">
      <w:pPr>
        <w:jc w:val="both"/>
        <w:rPr>
          <w:rFonts w:asciiTheme="minorHAnsi" w:hAnsiTheme="minorHAnsi"/>
          <w:b/>
          <w:bCs/>
          <w:sz w:val="22"/>
          <w:szCs w:val="22"/>
        </w:rPr>
      </w:pPr>
      <w:r>
        <w:rPr>
          <w:noProof/>
        </w:rPr>
        <w:lastRenderedPageBreak/>
        <w:drawing>
          <wp:anchor distT="0" distB="0" distL="114300" distR="114300" simplePos="0" relativeHeight="251655680" behindDoc="1" locked="0" layoutInCell="1" allowOverlap="1" wp14:anchorId="28402AD4" wp14:editId="74C6D79A">
            <wp:simplePos x="0" y="0"/>
            <wp:positionH relativeFrom="column">
              <wp:posOffset>15240</wp:posOffset>
            </wp:positionH>
            <wp:positionV relativeFrom="paragraph">
              <wp:posOffset>15240</wp:posOffset>
            </wp:positionV>
            <wp:extent cx="4130040" cy="2293620"/>
            <wp:effectExtent l="0" t="0" r="3810" b="11430"/>
            <wp:wrapTight wrapText="bothSides">
              <wp:wrapPolygon edited="0">
                <wp:start x="0" y="0"/>
                <wp:lineTo x="0" y="21528"/>
                <wp:lineTo x="21520" y="21528"/>
                <wp:lineTo x="21520" y="0"/>
                <wp:lineTo x="0" y="0"/>
              </wp:wrapPolygon>
            </wp:wrapTight>
            <wp:docPr id="3" name="Chart 3">
              <a:extLst xmlns:a="http://schemas.openxmlformats.org/drawingml/2006/main">
                <a:ext uri="{FF2B5EF4-FFF2-40B4-BE49-F238E27FC236}">
                  <a16:creationId xmlns:a16="http://schemas.microsoft.com/office/drawing/2014/main" id="{C64305E5-E8EE-410C-A21D-91CCADF9D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84542">
        <w:rPr>
          <w:rFonts w:asciiTheme="minorHAnsi" w:hAnsiTheme="minorHAnsi"/>
          <w:sz w:val="22"/>
          <w:szCs w:val="22"/>
        </w:rPr>
        <w:t xml:space="preserve"> </w:t>
      </w:r>
      <w:r w:rsidR="00B84542" w:rsidRPr="00B84542">
        <w:rPr>
          <w:rFonts w:asciiTheme="minorHAnsi" w:hAnsiTheme="minorHAnsi"/>
          <w:sz w:val="22"/>
          <w:szCs w:val="22"/>
        </w:rPr>
        <w:t>There</w:t>
      </w:r>
      <w:r w:rsidR="00B84542">
        <w:rPr>
          <w:rFonts w:asciiTheme="minorHAnsi" w:hAnsiTheme="minorHAnsi"/>
          <w:sz w:val="22"/>
          <w:szCs w:val="22"/>
        </w:rPr>
        <w:t xml:space="preserve"> are a number of projections that have been calculated to forecast future demographic growth including those provided by the Metropolitan Area Planning Council (MAPC), State Data Center at the University of Massachusetts Donahue Institute, and Needham Public Schools, all of which are summarized below. </w:t>
      </w:r>
      <w:r w:rsidR="009420D5">
        <w:rPr>
          <w:rFonts w:asciiTheme="minorHAnsi" w:hAnsiTheme="minorHAnsi"/>
          <w:sz w:val="22"/>
          <w:szCs w:val="22"/>
        </w:rPr>
        <w:t xml:space="preserve"> </w:t>
      </w:r>
      <w:r w:rsidR="009420D5" w:rsidRPr="009420D5">
        <w:rPr>
          <w:rFonts w:asciiTheme="minorHAnsi" w:hAnsiTheme="minorHAnsi"/>
          <w:b/>
          <w:bCs/>
          <w:sz w:val="22"/>
          <w:szCs w:val="22"/>
        </w:rPr>
        <w:t>All</w:t>
      </w:r>
      <w:r w:rsidR="009420D5">
        <w:rPr>
          <w:rFonts w:asciiTheme="minorHAnsi" w:hAnsiTheme="minorHAnsi"/>
          <w:sz w:val="22"/>
          <w:szCs w:val="22"/>
        </w:rPr>
        <w:t xml:space="preserve"> t</w:t>
      </w:r>
      <w:r w:rsidR="000B3F50" w:rsidRPr="009420D5">
        <w:rPr>
          <w:rFonts w:asciiTheme="minorHAnsi" w:hAnsiTheme="minorHAnsi"/>
          <w:b/>
          <w:bCs/>
          <w:sz w:val="22"/>
          <w:szCs w:val="22"/>
        </w:rPr>
        <w:t xml:space="preserve">hese </w:t>
      </w:r>
      <w:r w:rsidR="009420D5">
        <w:rPr>
          <w:rFonts w:asciiTheme="minorHAnsi" w:hAnsiTheme="minorHAnsi"/>
          <w:b/>
          <w:bCs/>
          <w:sz w:val="22"/>
          <w:szCs w:val="22"/>
        </w:rPr>
        <w:t>projections calculate</w:t>
      </w:r>
      <w:r w:rsidR="002046B0">
        <w:rPr>
          <w:rFonts w:asciiTheme="minorHAnsi" w:hAnsiTheme="minorHAnsi"/>
          <w:b/>
          <w:bCs/>
          <w:sz w:val="22"/>
          <w:szCs w:val="22"/>
        </w:rPr>
        <w:t>d</w:t>
      </w:r>
      <w:r w:rsidR="009420D5">
        <w:rPr>
          <w:rFonts w:asciiTheme="minorHAnsi" w:hAnsiTheme="minorHAnsi"/>
          <w:b/>
          <w:bCs/>
          <w:sz w:val="22"/>
          <w:szCs w:val="22"/>
        </w:rPr>
        <w:t xml:space="preserve"> </w:t>
      </w:r>
      <w:r w:rsidR="000B3F50" w:rsidRPr="009420D5">
        <w:rPr>
          <w:rFonts w:asciiTheme="minorHAnsi" w:hAnsiTheme="minorHAnsi"/>
          <w:b/>
          <w:bCs/>
          <w:sz w:val="22"/>
          <w:szCs w:val="22"/>
        </w:rPr>
        <w:t xml:space="preserve">a total population of less than </w:t>
      </w:r>
      <w:r w:rsidR="00B6538C">
        <w:rPr>
          <w:rFonts w:asciiTheme="minorHAnsi" w:hAnsiTheme="minorHAnsi"/>
          <w:b/>
          <w:bCs/>
          <w:sz w:val="22"/>
          <w:szCs w:val="22"/>
        </w:rPr>
        <w:t xml:space="preserve">30,000 by 2020 and less than </w:t>
      </w:r>
      <w:r w:rsidR="000B3F50" w:rsidRPr="009420D5">
        <w:rPr>
          <w:rFonts w:asciiTheme="minorHAnsi" w:hAnsiTheme="minorHAnsi"/>
          <w:b/>
          <w:bCs/>
          <w:sz w:val="22"/>
          <w:szCs w:val="22"/>
        </w:rPr>
        <w:t>3</w:t>
      </w:r>
      <w:r w:rsidR="00C662BF" w:rsidRPr="009420D5">
        <w:rPr>
          <w:rFonts w:asciiTheme="minorHAnsi" w:hAnsiTheme="minorHAnsi"/>
          <w:b/>
          <w:bCs/>
          <w:sz w:val="22"/>
          <w:szCs w:val="22"/>
        </w:rPr>
        <w:t>1</w:t>
      </w:r>
      <w:r w:rsidR="000B3F50" w:rsidRPr="009420D5">
        <w:rPr>
          <w:rFonts w:asciiTheme="minorHAnsi" w:hAnsiTheme="minorHAnsi"/>
          <w:b/>
          <w:bCs/>
          <w:sz w:val="22"/>
          <w:szCs w:val="22"/>
        </w:rPr>
        <w:t xml:space="preserve">,000 by 2030, </w:t>
      </w:r>
      <w:r w:rsidR="001638DE" w:rsidRPr="009420D5">
        <w:rPr>
          <w:rFonts w:asciiTheme="minorHAnsi" w:hAnsiTheme="minorHAnsi"/>
          <w:b/>
          <w:bCs/>
          <w:sz w:val="22"/>
          <w:szCs w:val="22"/>
        </w:rPr>
        <w:t>less than the 32,091</w:t>
      </w:r>
      <w:r w:rsidR="009420D5">
        <w:rPr>
          <w:rFonts w:asciiTheme="minorHAnsi" w:hAnsiTheme="minorHAnsi"/>
          <w:b/>
          <w:bCs/>
          <w:sz w:val="22"/>
          <w:szCs w:val="22"/>
        </w:rPr>
        <w:t xml:space="preserve"> residents</w:t>
      </w:r>
      <w:r w:rsidR="001638DE" w:rsidRPr="009420D5">
        <w:rPr>
          <w:rFonts w:asciiTheme="minorHAnsi" w:hAnsiTheme="minorHAnsi"/>
          <w:b/>
          <w:bCs/>
          <w:sz w:val="22"/>
          <w:szCs w:val="22"/>
        </w:rPr>
        <w:t xml:space="preserve"> reported in the 2020 U.S. census.</w:t>
      </w:r>
    </w:p>
    <w:p w14:paraId="09FDF0A6" w14:textId="77777777" w:rsidR="00796936" w:rsidRDefault="00796936" w:rsidP="000B3F50">
      <w:pPr>
        <w:jc w:val="both"/>
        <w:rPr>
          <w:rFonts w:asciiTheme="minorHAnsi" w:hAnsiTheme="minorHAnsi"/>
          <w:sz w:val="22"/>
          <w:szCs w:val="22"/>
        </w:rPr>
      </w:pPr>
    </w:p>
    <w:p w14:paraId="6E05B47E" w14:textId="7BA85873" w:rsidR="00C662BF" w:rsidRDefault="00C662BF" w:rsidP="00C662BF">
      <w:pPr>
        <w:pStyle w:val="Footer"/>
        <w:jc w:val="both"/>
        <w:rPr>
          <w:rFonts w:ascii="Calibri" w:hAnsi="Calibri" w:cs="Lucida Sans Unicode"/>
          <w:sz w:val="22"/>
        </w:rPr>
      </w:pPr>
      <w:r>
        <w:rPr>
          <w:rFonts w:asciiTheme="minorHAnsi" w:hAnsiTheme="minorHAnsi"/>
          <w:sz w:val="22"/>
          <w:szCs w:val="22"/>
        </w:rPr>
        <w:t>The Metropolitan Area Planning Council (MAPC) provide</w:t>
      </w:r>
      <w:r w:rsidR="002046B0">
        <w:rPr>
          <w:rFonts w:asciiTheme="minorHAnsi" w:hAnsiTheme="minorHAnsi"/>
          <w:sz w:val="22"/>
          <w:szCs w:val="22"/>
        </w:rPr>
        <w:t>d</w:t>
      </w:r>
      <w:r>
        <w:rPr>
          <w:rFonts w:asciiTheme="minorHAnsi" w:hAnsiTheme="minorHAnsi"/>
          <w:sz w:val="22"/>
          <w:szCs w:val="22"/>
        </w:rPr>
        <w:t xml:space="preserve"> two different sets of projections based on varying assumptions.  The first is the Status Quo scenario </w:t>
      </w:r>
      <w:r>
        <w:rPr>
          <w:rFonts w:ascii="Calibri" w:hAnsi="Calibri" w:cs="Lucida Sans Unicode"/>
          <w:sz w:val="22"/>
        </w:rPr>
        <w:t>based on the continuation of existing rates of births, deaths, migration and housing occupancy.  The second is the Stronger Region alternative based on the following assumptions:</w:t>
      </w:r>
    </w:p>
    <w:p w14:paraId="6BEA3BB5" w14:textId="77777777" w:rsidR="00C662BF" w:rsidRDefault="00C662BF" w:rsidP="00C662BF">
      <w:pPr>
        <w:pStyle w:val="Footer"/>
        <w:jc w:val="both"/>
        <w:rPr>
          <w:rFonts w:ascii="Calibri" w:hAnsi="Calibri" w:cs="Lucida Sans Unicode"/>
          <w:sz w:val="22"/>
        </w:rPr>
      </w:pPr>
    </w:p>
    <w:p w14:paraId="14018B5D" w14:textId="6B1F9E46" w:rsidR="00C662BF" w:rsidRDefault="00C662BF" w:rsidP="005D3FC9">
      <w:pPr>
        <w:pStyle w:val="Footer"/>
        <w:numPr>
          <w:ilvl w:val="0"/>
          <w:numId w:val="9"/>
        </w:numPr>
        <w:tabs>
          <w:tab w:val="clear" w:pos="4680"/>
          <w:tab w:val="clear" w:pos="9360"/>
        </w:tabs>
        <w:jc w:val="both"/>
        <w:rPr>
          <w:rFonts w:ascii="Calibri" w:hAnsi="Calibri" w:cs="Lucida Sans Unicode"/>
          <w:sz w:val="22"/>
        </w:rPr>
      </w:pPr>
      <w:r>
        <w:rPr>
          <w:rFonts w:ascii="Calibri" w:hAnsi="Calibri" w:cs="Lucida Sans Unicode"/>
          <w:sz w:val="22"/>
        </w:rPr>
        <w:t>The region will attract more people than it does today, particularly young adults;</w:t>
      </w:r>
    </w:p>
    <w:p w14:paraId="1A4C24F6" w14:textId="77777777" w:rsidR="00C662BF" w:rsidRPr="00A52E6C" w:rsidRDefault="00C662BF" w:rsidP="005D3FC9">
      <w:pPr>
        <w:pStyle w:val="Footer"/>
        <w:numPr>
          <w:ilvl w:val="0"/>
          <w:numId w:val="9"/>
        </w:numPr>
        <w:tabs>
          <w:tab w:val="clear" w:pos="4680"/>
          <w:tab w:val="clear" w:pos="9360"/>
        </w:tabs>
        <w:jc w:val="both"/>
        <w:rPr>
          <w:rFonts w:ascii="Calibri" w:hAnsi="Calibri" w:cs="Lucida Sans Unicode"/>
          <w:sz w:val="22"/>
          <w:szCs w:val="22"/>
        </w:rPr>
      </w:pPr>
      <w:r w:rsidRPr="00A52E6C">
        <w:rPr>
          <w:rFonts w:ascii="Calibri" w:hAnsi="Calibri" w:cs="Lucida Sans Unicode"/>
          <w:sz w:val="22"/>
        </w:rPr>
        <w:t>Younger households born after 1980 will be more inclined to live in urban areas with less of an  inclination to live in single-family homes; and</w:t>
      </w:r>
    </w:p>
    <w:p w14:paraId="7632B15A" w14:textId="631D6E06" w:rsidR="00C662BF" w:rsidRDefault="00C662BF" w:rsidP="005D3FC9">
      <w:pPr>
        <w:pStyle w:val="Footer"/>
        <w:numPr>
          <w:ilvl w:val="0"/>
          <w:numId w:val="9"/>
        </w:numPr>
        <w:tabs>
          <w:tab w:val="clear" w:pos="4680"/>
          <w:tab w:val="clear" w:pos="9360"/>
        </w:tabs>
        <w:jc w:val="both"/>
        <w:rPr>
          <w:rFonts w:ascii="Calibri" w:hAnsi="Calibri" w:cs="Lucida Sans Unicode"/>
          <w:sz w:val="22"/>
        </w:rPr>
      </w:pPr>
      <w:r w:rsidRPr="00A52E6C">
        <w:rPr>
          <w:rFonts w:ascii="Calibri" w:hAnsi="Calibri" w:cs="Lucida Sans Unicode"/>
          <w:sz w:val="22"/>
        </w:rPr>
        <w:t>An increasing number of older adults will cho</w:t>
      </w:r>
      <w:r w:rsidR="00A3758C">
        <w:rPr>
          <w:rFonts w:ascii="Calibri" w:hAnsi="Calibri" w:cs="Lucida Sans Unicode"/>
          <w:sz w:val="22"/>
        </w:rPr>
        <w:t>o</w:t>
      </w:r>
      <w:r w:rsidRPr="00A52E6C">
        <w:rPr>
          <w:rFonts w:ascii="Calibri" w:hAnsi="Calibri" w:cs="Lucida Sans Unicode"/>
          <w:sz w:val="22"/>
        </w:rPr>
        <w:t>se to dow</w:t>
      </w:r>
      <w:r>
        <w:rPr>
          <w:rFonts w:ascii="Calibri" w:hAnsi="Calibri" w:cs="Lucida Sans Unicode"/>
          <w:sz w:val="22"/>
        </w:rPr>
        <w:t>nsize from their single-family homes to apartments or condominium</w:t>
      </w:r>
      <w:r w:rsidR="002046B0">
        <w:rPr>
          <w:rFonts w:ascii="Calibri" w:hAnsi="Calibri" w:cs="Lucida Sans Unicode"/>
          <w:sz w:val="22"/>
        </w:rPr>
        <w:t xml:space="preserve"> unit</w:t>
      </w:r>
      <w:r>
        <w:rPr>
          <w:rFonts w:ascii="Calibri" w:hAnsi="Calibri" w:cs="Lucida Sans Unicode"/>
          <w:sz w:val="22"/>
        </w:rPr>
        <w:t>s.</w:t>
      </w:r>
    </w:p>
    <w:p w14:paraId="11CACE8C" w14:textId="77777777" w:rsidR="00C662BF" w:rsidRDefault="00C662BF" w:rsidP="00C662BF">
      <w:pPr>
        <w:pStyle w:val="Footer"/>
        <w:jc w:val="both"/>
        <w:rPr>
          <w:rFonts w:ascii="Calibri" w:hAnsi="Calibri" w:cs="Lucida Sans Unicode"/>
          <w:sz w:val="22"/>
          <w:szCs w:val="22"/>
        </w:rPr>
      </w:pPr>
    </w:p>
    <w:p w14:paraId="2C628649" w14:textId="2DC81F2A" w:rsidR="000B3F50" w:rsidRDefault="000B3F50" w:rsidP="000B3F50">
      <w:pPr>
        <w:jc w:val="both"/>
        <w:rPr>
          <w:rFonts w:ascii="Calibri" w:hAnsi="Calibri"/>
          <w:bCs/>
          <w:iCs/>
          <w:sz w:val="22"/>
        </w:rPr>
      </w:pPr>
      <w:r w:rsidRPr="00B113F5">
        <w:rPr>
          <w:rFonts w:ascii="Calibri" w:hAnsi="Calibri"/>
          <w:bCs/>
          <w:iCs/>
          <w:sz w:val="22"/>
        </w:rPr>
        <w:t>The projections suggest</w:t>
      </w:r>
      <w:r w:rsidR="002046B0">
        <w:rPr>
          <w:rFonts w:ascii="Calibri" w:hAnsi="Calibri"/>
          <w:bCs/>
          <w:iCs/>
          <w:sz w:val="22"/>
        </w:rPr>
        <w:t>ed</w:t>
      </w:r>
      <w:r w:rsidRPr="00B113F5">
        <w:rPr>
          <w:rFonts w:ascii="Calibri" w:hAnsi="Calibri"/>
          <w:bCs/>
          <w:iCs/>
          <w:sz w:val="22"/>
        </w:rPr>
        <w:t xml:space="preserve"> </w:t>
      </w:r>
      <w:r>
        <w:rPr>
          <w:rFonts w:ascii="Calibri" w:hAnsi="Calibri"/>
          <w:bCs/>
          <w:iCs/>
          <w:sz w:val="22"/>
        </w:rPr>
        <w:t xml:space="preserve">very limited population growth over the next several decades with </w:t>
      </w:r>
      <w:r w:rsidRPr="00B113F5">
        <w:rPr>
          <w:rFonts w:ascii="Calibri" w:hAnsi="Calibri"/>
          <w:bCs/>
          <w:iCs/>
          <w:sz w:val="22"/>
        </w:rPr>
        <w:t>a total population of 2</w:t>
      </w:r>
      <w:r>
        <w:rPr>
          <w:rFonts w:ascii="Calibri" w:hAnsi="Calibri"/>
          <w:bCs/>
          <w:iCs/>
          <w:sz w:val="22"/>
        </w:rPr>
        <w:t xml:space="preserve">8,981 </w:t>
      </w:r>
      <w:r w:rsidRPr="00B113F5">
        <w:rPr>
          <w:rFonts w:ascii="Calibri" w:hAnsi="Calibri"/>
          <w:bCs/>
          <w:iCs/>
          <w:sz w:val="22"/>
        </w:rPr>
        <w:t>and 2</w:t>
      </w:r>
      <w:r>
        <w:rPr>
          <w:rFonts w:ascii="Calibri" w:hAnsi="Calibri"/>
          <w:bCs/>
          <w:iCs/>
          <w:sz w:val="22"/>
        </w:rPr>
        <w:t>9</w:t>
      </w:r>
      <w:r w:rsidRPr="00B113F5">
        <w:rPr>
          <w:rFonts w:ascii="Calibri" w:hAnsi="Calibri"/>
          <w:bCs/>
          <w:iCs/>
          <w:sz w:val="22"/>
        </w:rPr>
        <w:t>,4</w:t>
      </w:r>
      <w:r>
        <w:rPr>
          <w:rFonts w:ascii="Calibri" w:hAnsi="Calibri"/>
          <w:bCs/>
          <w:iCs/>
          <w:sz w:val="22"/>
        </w:rPr>
        <w:t>9</w:t>
      </w:r>
      <w:r w:rsidRPr="00B113F5">
        <w:rPr>
          <w:rFonts w:ascii="Calibri" w:hAnsi="Calibri"/>
          <w:bCs/>
          <w:iCs/>
          <w:sz w:val="22"/>
        </w:rPr>
        <w:t>1 by 2020 under the Status Quo and Strong</w:t>
      </w:r>
      <w:r w:rsidR="00990278">
        <w:rPr>
          <w:rFonts w:ascii="Calibri" w:hAnsi="Calibri"/>
          <w:bCs/>
          <w:iCs/>
          <w:sz w:val="22"/>
        </w:rPr>
        <w:t>er</w:t>
      </w:r>
      <w:r>
        <w:rPr>
          <w:rFonts w:ascii="Calibri" w:hAnsi="Calibri"/>
          <w:bCs/>
          <w:iCs/>
          <w:sz w:val="22"/>
        </w:rPr>
        <w:t xml:space="preserve"> Region scenarios, respectively</w:t>
      </w:r>
      <w:r w:rsidRPr="00B113F5">
        <w:rPr>
          <w:rFonts w:ascii="Calibri" w:hAnsi="Calibri"/>
          <w:bCs/>
          <w:iCs/>
          <w:sz w:val="22"/>
        </w:rPr>
        <w:t>.  By 2030, MAPC calculate</w:t>
      </w:r>
      <w:r w:rsidR="002046B0">
        <w:rPr>
          <w:rFonts w:ascii="Calibri" w:hAnsi="Calibri"/>
          <w:bCs/>
          <w:iCs/>
          <w:sz w:val="22"/>
        </w:rPr>
        <w:t>d</w:t>
      </w:r>
      <w:r w:rsidRPr="00B113F5">
        <w:rPr>
          <w:rFonts w:ascii="Calibri" w:hAnsi="Calibri"/>
          <w:bCs/>
          <w:iCs/>
          <w:sz w:val="22"/>
        </w:rPr>
        <w:t xml:space="preserve"> that </w:t>
      </w:r>
      <w:r>
        <w:rPr>
          <w:rFonts w:ascii="Calibri" w:hAnsi="Calibri"/>
          <w:bCs/>
          <w:iCs/>
          <w:sz w:val="22"/>
        </w:rPr>
        <w:t>Needham’</w:t>
      </w:r>
      <w:r w:rsidRPr="00B113F5">
        <w:rPr>
          <w:rFonts w:ascii="Calibri" w:hAnsi="Calibri"/>
          <w:bCs/>
          <w:iCs/>
          <w:sz w:val="22"/>
        </w:rPr>
        <w:t>s total population w</w:t>
      </w:r>
      <w:r w:rsidR="0012616B">
        <w:rPr>
          <w:rFonts w:ascii="Calibri" w:hAnsi="Calibri"/>
          <w:bCs/>
          <w:iCs/>
          <w:sz w:val="22"/>
        </w:rPr>
        <w:t>ould</w:t>
      </w:r>
      <w:r w:rsidRPr="00B113F5">
        <w:rPr>
          <w:rFonts w:ascii="Calibri" w:hAnsi="Calibri"/>
          <w:bCs/>
          <w:iCs/>
          <w:sz w:val="22"/>
        </w:rPr>
        <w:t xml:space="preserve"> be 2</w:t>
      </w:r>
      <w:r>
        <w:rPr>
          <w:rFonts w:ascii="Calibri" w:hAnsi="Calibri"/>
          <w:bCs/>
          <w:iCs/>
          <w:sz w:val="22"/>
        </w:rPr>
        <w:t>9,706</w:t>
      </w:r>
      <w:r w:rsidRPr="00B113F5">
        <w:rPr>
          <w:rFonts w:ascii="Calibri" w:hAnsi="Calibri"/>
          <w:bCs/>
          <w:iCs/>
          <w:sz w:val="22"/>
        </w:rPr>
        <w:t xml:space="preserve"> or </w:t>
      </w:r>
      <w:r>
        <w:rPr>
          <w:rFonts w:ascii="Calibri" w:hAnsi="Calibri"/>
          <w:bCs/>
          <w:iCs/>
          <w:sz w:val="22"/>
        </w:rPr>
        <w:t>30,746</w:t>
      </w:r>
      <w:r w:rsidRPr="00B113F5">
        <w:rPr>
          <w:rFonts w:ascii="Calibri" w:hAnsi="Calibri"/>
          <w:bCs/>
          <w:iCs/>
          <w:sz w:val="22"/>
        </w:rPr>
        <w:t xml:space="preserve"> </w:t>
      </w:r>
      <w:r w:rsidR="0012616B">
        <w:rPr>
          <w:rFonts w:ascii="Calibri" w:hAnsi="Calibri"/>
          <w:bCs/>
          <w:iCs/>
          <w:sz w:val="22"/>
        </w:rPr>
        <w:t xml:space="preserve">residents </w:t>
      </w:r>
      <w:r w:rsidRPr="00B113F5">
        <w:rPr>
          <w:rFonts w:ascii="Calibri" w:hAnsi="Calibri"/>
          <w:bCs/>
          <w:iCs/>
          <w:sz w:val="22"/>
        </w:rPr>
        <w:t xml:space="preserve">under the Status Quo and Strong Region scenarios, </w:t>
      </w:r>
      <w:r w:rsidR="004B3580">
        <w:rPr>
          <w:rFonts w:ascii="Calibri" w:hAnsi="Calibri"/>
          <w:bCs/>
          <w:iCs/>
          <w:sz w:val="22"/>
        </w:rPr>
        <w:t xml:space="preserve">also </w:t>
      </w:r>
      <w:r w:rsidRPr="00B113F5">
        <w:rPr>
          <w:rFonts w:ascii="Calibri" w:hAnsi="Calibri"/>
          <w:bCs/>
          <w:iCs/>
          <w:sz w:val="22"/>
        </w:rPr>
        <w:t xml:space="preserve">respectively. </w:t>
      </w:r>
      <w:r w:rsidR="00A05555">
        <w:rPr>
          <w:rFonts w:ascii="Calibri" w:hAnsi="Calibri"/>
          <w:bCs/>
          <w:iCs/>
          <w:sz w:val="22"/>
        </w:rPr>
        <w:t xml:space="preserve"> </w:t>
      </w:r>
    </w:p>
    <w:p w14:paraId="5AC6658D" w14:textId="77777777" w:rsidR="00A05555" w:rsidRDefault="00A05555" w:rsidP="000B3F50">
      <w:pPr>
        <w:jc w:val="both"/>
        <w:rPr>
          <w:rFonts w:ascii="Calibri" w:hAnsi="Calibri"/>
          <w:bCs/>
          <w:iCs/>
          <w:sz w:val="22"/>
        </w:rPr>
      </w:pPr>
    </w:p>
    <w:p w14:paraId="0832B38F" w14:textId="6F136F01" w:rsidR="00A05555" w:rsidRDefault="00A05555" w:rsidP="000B3F50">
      <w:pPr>
        <w:jc w:val="both"/>
        <w:rPr>
          <w:rFonts w:ascii="Calibri" w:hAnsi="Calibri"/>
          <w:bCs/>
          <w:iCs/>
          <w:sz w:val="22"/>
        </w:rPr>
      </w:pPr>
      <w:r>
        <w:rPr>
          <w:rFonts w:ascii="Calibri" w:hAnsi="Calibri"/>
          <w:bCs/>
          <w:iCs/>
          <w:sz w:val="22"/>
        </w:rPr>
        <w:t xml:space="preserve">Projections from the University of Massachusetts State Data Center </w:t>
      </w:r>
      <w:r w:rsidR="00C662BF">
        <w:rPr>
          <w:rFonts w:ascii="Calibri" w:hAnsi="Calibri"/>
          <w:bCs/>
          <w:iCs/>
          <w:sz w:val="22"/>
        </w:rPr>
        <w:t>forecast</w:t>
      </w:r>
      <w:r w:rsidR="002046B0">
        <w:rPr>
          <w:rFonts w:ascii="Calibri" w:hAnsi="Calibri"/>
          <w:bCs/>
          <w:iCs/>
          <w:sz w:val="22"/>
        </w:rPr>
        <w:t>ed</w:t>
      </w:r>
      <w:r>
        <w:rPr>
          <w:rFonts w:ascii="Calibri" w:hAnsi="Calibri"/>
          <w:bCs/>
          <w:iCs/>
          <w:sz w:val="22"/>
        </w:rPr>
        <w:t xml:space="preserve"> declining growth with a total population of 29,610 and 28,539 residents for 2020 and 2030</w:t>
      </w:r>
      <w:r w:rsidR="001638DE">
        <w:rPr>
          <w:rFonts w:ascii="Calibri" w:hAnsi="Calibri"/>
          <w:bCs/>
          <w:iCs/>
          <w:sz w:val="22"/>
        </w:rPr>
        <w:t>, respectively</w:t>
      </w:r>
      <w:r>
        <w:rPr>
          <w:rFonts w:ascii="Calibri" w:hAnsi="Calibri"/>
          <w:bCs/>
          <w:iCs/>
          <w:sz w:val="22"/>
        </w:rPr>
        <w:t>.  The Needham Public Schools forecast</w:t>
      </w:r>
      <w:r w:rsidR="002046B0">
        <w:rPr>
          <w:rFonts w:ascii="Calibri" w:hAnsi="Calibri"/>
          <w:bCs/>
          <w:iCs/>
          <w:sz w:val="22"/>
        </w:rPr>
        <w:t>ed</w:t>
      </w:r>
      <w:r>
        <w:rPr>
          <w:rFonts w:ascii="Calibri" w:hAnsi="Calibri"/>
          <w:bCs/>
          <w:iCs/>
          <w:sz w:val="22"/>
        </w:rPr>
        <w:t xml:space="preserve"> a comparable population to the 2010 level of 28,960</w:t>
      </w:r>
      <w:r w:rsidR="00B6538C">
        <w:rPr>
          <w:rFonts w:ascii="Calibri" w:hAnsi="Calibri"/>
          <w:bCs/>
          <w:iCs/>
          <w:sz w:val="22"/>
        </w:rPr>
        <w:t xml:space="preserve"> residents</w:t>
      </w:r>
      <w:r>
        <w:rPr>
          <w:rFonts w:ascii="Calibri" w:hAnsi="Calibri"/>
          <w:bCs/>
          <w:iCs/>
          <w:sz w:val="22"/>
        </w:rPr>
        <w:t xml:space="preserve"> for both 2020 and 2030. </w:t>
      </w:r>
    </w:p>
    <w:p w14:paraId="1C1F268E" w14:textId="249D3F9C" w:rsidR="00166169" w:rsidRDefault="00166169" w:rsidP="000B3F50">
      <w:pPr>
        <w:jc w:val="both"/>
        <w:rPr>
          <w:rFonts w:ascii="Calibri" w:hAnsi="Calibri"/>
          <w:bCs/>
          <w:iCs/>
          <w:sz w:val="22"/>
        </w:rPr>
      </w:pPr>
    </w:p>
    <w:p w14:paraId="3F9E0742" w14:textId="52D0F1BA" w:rsidR="009420D5" w:rsidRDefault="009420D5" w:rsidP="000B3F50">
      <w:pPr>
        <w:jc w:val="both"/>
        <w:rPr>
          <w:rFonts w:ascii="Calibri" w:hAnsi="Calibri"/>
          <w:bCs/>
          <w:iCs/>
          <w:sz w:val="22"/>
        </w:rPr>
      </w:pPr>
      <w:r>
        <w:rPr>
          <w:rFonts w:ascii="Calibri" w:hAnsi="Calibri"/>
          <w:bCs/>
          <w:iCs/>
          <w:sz w:val="22"/>
        </w:rPr>
        <w:t xml:space="preserve">The projected changes in the age distribution for all of these </w:t>
      </w:r>
      <w:r w:rsidR="002046B0">
        <w:rPr>
          <w:rFonts w:ascii="Calibri" w:hAnsi="Calibri"/>
          <w:bCs/>
          <w:iCs/>
          <w:sz w:val="22"/>
        </w:rPr>
        <w:t xml:space="preserve">population </w:t>
      </w:r>
      <w:r>
        <w:rPr>
          <w:rFonts w:ascii="Calibri" w:hAnsi="Calibri"/>
          <w:bCs/>
          <w:iCs/>
          <w:sz w:val="22"/>
        </w:rPr>
        <w:t>projections are included in Section III.A.3 below.</w:t>
      </w:r>
    </w:p>
    <w:p w14:paraId="20424E37" w14:textId="2953CC25" w:rsidR="008772FC" w:rsidRPr="00EB5D55" w:rsidRDefault="000B3F50" w:rsidP="008772FC">
      <w:pPr>
        <w:pStyle w:val="Heading3"/>
        <w:rPr>
          <w:rFonts w:asciiTheme="minorHAnsi" w:hAnsiTheme="minorHAnsi"/>
          <w:color w:val="1F497D" w:themeColor="text2"/>
        </w:rPr>
      </w:pPr>
      <w:bookmarkStart w:id="2" w:name="_Toc2252326"/>
      <w:r>
        <w:rPr>
          <w:rFonts w:asciiTheme="minorHAnsi" w:hAnsiTheme="minorHAnsi"/>
          <w:color w:val="1F497D" w:themeColor="text2"/>
        </w:rPr>
        <w:t>2</w:t>
      </w:r>
      <w:r w:rsidR="008772FC" w:rsidRPr="00EB5D55">
        <w:rPr>
          <w:rFonts w:asciiTheme="minorHAnsi" w:hAnsiTheme="minorHAnsi"/>
          <w:color w:val="1F497D" w:themeColor="text2"/>
        </w:rPr>
        <w:t>.</w:t>
      </w:r>
      <w:r w:rsidR="008772FC" w:rsidRPr="00EB5D55">
        <w:rPr>
          <w:rFonts w:asciiTheme="minorHAnsi" w:hAnsiTheme="minorHAnsi"/>
          <w:color w:val="1F497D" w:themeColor="text2"/>
        </w:rPr>
        <w:tab/>
        <w:t xml:space="preserve">Race – </w:t>
      </w:r>
      <w:bookmarkEnd w:id="2"/>
      <w:r w:rsidR="00772F1F">
        <w:rPr>
          <w:rFonts w:asciiTheme="minorHAnsi" w:hAnsiTheme="minorHAnsi"/>
          <w:color w:val="1F497D" w:themeColor="text2"/>
        </w:rPr>
        <w:t>G</w:t>
      </w:r>
      <w:r w:rsidR="0014167C">
        <w:rPr>
          <w:rFonts w:asciiTheme="minorHAnsi" w:hAnsiTheme="minorHAnsi"/>
          <w:color w:val="1F497D" w:themeColor="text2"/>
        </w:rPr>
        <w:t xml:space="preserve">ains in </w:t>
      </w:r>
      <w:r w:rsidR="00A973F1">
        <w:rPr>
          <w:rFonts w:asciiTheme="minorHAnsi" w:hAnsiTheme="minorHAnsi"/>
          <w:color w:val="1F497D" w:themeColor="text2"/>
        </w:rPr>
        <w:t>resident</w:t>
      </w:r>
      <w:r w:rsidR="0014167C">
        <w:rPr>
          <w:rFonts w:asciiTheme="minorHAnsi" w:hAnsiTheme="minorHAnsi"/>
          <w:color w:val="1F497D" w:themeColor="text2"/>
        </w:rPr>
        <w:t xml:space="preserve"> diversity</w:t>
      </w:r>
    </w:p>
    <w:p w14:paraId="077A8494" w14:textId="65CFB455" w:rsidR="00C34014" w:rsidRDefault="00804C9E" w:rsidP="00C34014">
      <w:pPr>
        <w:pStyle w:val="BodyText"/>
        <w:spacing w:after="0"/>
        <w:jc w:val="both"/>
        <w:rPr>
          <w:rFonts w:ascii="Calibri" w:hAnsi="Calibri"/>
          <w:sz w:val="22"/>
          <w:szCs w:val="22"/>
        </w:rPr>
      </w:pPr>
      <w:r>
        <w:rPr>
          <w:rFonts w:ascii="Calibri" w:hAnsi="Calibri"/>
          <w:sz w:val="22"/>
          <w:szCs w:val="22"/>
        </w:rPr>
        <w:t>Table III-2 provides a summary of the racial breakdowns of the population for 2000, 2010, and 2020, showing the increase in population diversity over these decades.</w:t>
      </w:r>
      <w:r w:rsidR="00772F1F">
        <w:rPr>
          <w:rFonts w:ascii="Calibri" w:hAnsi="Calibri"/>
          <w:sz w:val="22"/>
          <w:szCs w:val="22"/>
        </w:rPr>
        <w:t xml:space="preserve"> </w:t>
      </w:r>
      <w:r w:rsidR="00A973F1">
        <w:rPr>
          <w:rFonts w:ascii="Calibri" w:hAnsi="Calibri"/>
          <w:sz w:val="22"/>
          <w:szCs w:val="22"/>
        </w:rPr>
        <w:t>T</w:t>
      </w:r>
      <w:r w:rsidR="008772FC" w:rsidRPr="00445E74">
        <w:rPr>
          <w:rFonts w:ascii="Calibri" w:hAnsi="Calibri"/>
          <w:sz w:val="22"/>
          <w:szCs w:val="22"/>
        </w:rPr>
        <w:t xml:space="preserve">he population has remained predominantly White, </w:t>
      </w:r>
      <w:r w:rsidR="002046B0">
        <w:rPr>
          <w:rFonts w:ascii="Calibri" w:hAnsi="Calibri"/>
          <w:sz w:val="22"/>
          <w:szCs w:val="22"/>
        </w:rPr>
        <w:t>but Asian, Latinx and Black</w:t>
      </w:r>
      <w:r w:rsidR="008772FC" w:rsidRPr="00445E74">
        <w:rPr>
          <w:rFonts w:ascii="Calibri" w:hAnsi="Calibri"/>
          <w:sz w:val="22"/>
          <w:szCs w:val="22"/>
        </w:rPr>
        <w:t xml:space="preserve"> residents have been steadily growing in number and as a percentage of the total population, from 5% in 2000, </w:t>
      </w:r>
      <w:r w:rsidR="007979FE">
        <w:rPr>
          <w:rFonts w:ascii="Calibri" w:hAnsi="Calibri"/>
          <w:sz w:val="22"/>
          <w:szCs w:val="22"/>
        </w:rPr>
        <w:t>9</w:t>
      </w:r>
      <w:r w:rsidR="009420D5">
        <w:rPr>
          <w:rFonts w:ascii="Calibri" w:hAnsi="Calibri"/>
          <w:sz w:val="22"/>
          <w:szCs w:val="22"/>
        </w:rPr>
        <w:t>% in 2010, and up to 1</w:t>
      </w:r>
      <w:r w:rsidR="007979FE">
        <w:rPr>
          <w:rFonts w:ascii="Calibri" w:hAnsi="Calibri"/>
          <w:sz w:val="22"/>
          <w:szCs w:val="22"/>
        </w:rPr>
        <w:t>5</w:t>
      </w:r>
      <w:r w:rsidR="009420D5">
        <w:rPr>
          <w:rFonts w:ascii="Calibri" w:hAnsi="Calibri"/>
          <w:sz w:val="22"/>
          <w:szCs w:val="22"/>
        </w:rPr>
        <w:t>% according to the 2020 census.</w:t>
      </w:r>
      <w:r w:rsidR="008772FC" w:rsidRPr="00445E74">
        <w:rPr>
          <w:rFonts w:ascii="Calibri" w:hAnsi="Calibri"/>
          <w:sz w:val="22"/>
          <w:szCs w:val="22"/>
        </w:rPr>
        <w:t xml:space="preserve"> </w:t>
      </w:r>
      <w:r w:rsidR="00D80D30">
        <w:rPr>
          <w:rFonts w:ascii="Calibri" w:hAnsi="Calibri"/>
          <w:sz w:val="22"/>
          <w:szCs w:val="22"/>
        </w:rPr>
        <w:t xml:space="preserve"> </w:t>
      </w:r>
      <w:r w:rsidR="008772FC" w:rsidRPr="00445E74">
        <w:rPr>
          <w:rFonts w:ascii="Calibri" w:hAnsi="Calibri"/>
          <w:sz w:val="22"/>
          <w:szCs w:val="22"/>
        </w:rPr>
        <w:t xml:space="preserve">Asians comprised 3.5% of the population in 2000 and </w:t>
      </w:r>
      <w:r w:rsidR="009420D5">
        <w:rPr>
          <w:rFonts w:ascii="Calibri" w:hAnsi="Calibri"/>
          <w:sz w:val="22"/>
          <w:szCs w:val="22"/>
        </w:rPr>
        <w:t>9.4%</w:t>
      </w:r>
      <w:r w:rsidR="00B249B5">
        <w:rPr>
          <w:rFonts w:ascii="Calibri" w:hAnsi="Calibri"/>
          <w:sz w:val="22"/>
          <w:szCs w:val="22"/>
        </w:rPr>
        <w:t xml:space="preserve"> by 20</w:t>
      </w:r>
      <w:r w:rsidR="009420D5">
        <w:rPr>
          <w:rFonts w:ascii="Calibri" w:hAnsi="Calibri"/>
          <w:sz w:val="22"/>
          <w:szCs w:val="22"/>
        </w:rPr>
        <w:t>20</w:t>
      </w:r>
      <w:r w:rsidR="00B249B5">
        <w:rPr>
          <w:rFonts w:ascii="Calibri" w:hAnsi="Calibri"/>
          <w:sz w:val="22"/>
          <w:szCs w:val="22"/>
        </w:rPr>
        <w:t xml:space="preserve">, </w:t>
      </w:r>
      <w:r w:rsidR="009420D5">
        <w:rPr>
          <w:rFonts w:ascii="Calibri" w:hAnsi="Calibri"/>
          <w:sz w:val="22"/>
          <w:szCs w:val="22"/>
        </w:rPr>
        <w:t>representing half</w:t>
      </w:r>
      <w:r w:rsidR="00B249B5">
        <w:rPr>
          <w:rFonts w:ascii="Calibri" w:hAnsi="Calibri"/>
          <w:sz w:val="22"/>
          <w:szCs w:val="22"/>
        </w:rPr>
        <w:t xml:space="preserve"> of all minority residents. </w:t>
      </w:r>
      <w:r w:rsidR="008772FC" w:rsidRPr="00445E74">
        <w:rPr>
          <w:rFonts w:ascii="Calibri" w:hAnsi="Calibri"/>
          <w:sz w:val="22"/>
          <w:szCs w:val="22"/>
        </w:rPr>
        <w:t xml:space="preserve"> Black or African-American </w:t>
      </w:r>
      <w:r>
        <w:rPr>
          <w:rFonts w:ascii="Calibri" w:hAnsi="Calibri"/>
          <w:sz w:val="22"/>
          <w:szCs w:val="22"/>
        </w:rPr>
        <w:t>residents</w:t>
      </w:r>
      <w:r w:rsidR="0001506D">
        <w:rPr>
          <w:rFonts w:ascii="Calibri" w:hAnsi="Calibri"/>
          <w:sz w:val="22"/>
          <w:szCs w:val="22"/>
        </w:rPr>
        <w:t xml:space="preserve"> comprised only</w:t>
      </w:r>
      <w:r w:rsidR="008772FC" w:rsidRPr="00445E74">
        <w:rPr>
          <w:rFonts w:ascii="Calibri" w:hAnsi="Calibri"/>
          <w:sz w:val="22"/>
          <w:szCs w:val="22"/>
        </w:rPr>
        <w:t xml:space="preserve"> </w:t>
      </w:r>
      <w:r w:rsidR="009420D5">
        <w:rPr>
          <w:rFonts w:ascii="Calibri" w:hAnsi="Calibri"/>
          <w:sz w:val="22"/>
          <w:szCs w:val="22"/>
        </w:rPr>
        <w:t>1.4</w:t>
      </w:r>
      <w:r w:rsidR="008772FC" w:rsidRPr="00445E74">
        <w:rPr>
          <w:rFonts w:ascii="Calibri" w:hAnsi="Calibri"/>
          <w:sz w:val="22"/>
          <w:szCs w:val="22"/>
        </w:rPr>
        <w:t xml:space="preserve">% of </w:t>
      </w:r>
      <w:r w:rsidR="0001506D">
        <w:rPr>
          <w:rFonts w:ascii="Calibri" w:hAnsi="Calibri"/>
          <w:sz w:val="22"/>
          <w:szCs w:val="22"/>
        </w:rPr>
        <w:t xml:space="preserve">the population in </w:t>
      </w:r>
      <w:r w:rsidR="0001506D">
        <w:rPr>
          <w:rFonts w:ascii="Calibri" w:hAnsi="Calibri"/>
          <w:sz w:val="22"/>
          <w:szCs w:val="22"/>
        </w:rPr>
        <w:lastRenderedPageBreak/>
        <w:t>20</w:t>
      </w:r>
      <w:r w:rsidR="009420D5">
        <w:rPr>
          <w:rFonts w:ascii="Calibri" w:hAnsi="Calibri"/>
          <w:sz w:val="22"/>
          <w:szCs w:val="22"/>
        </w:rPr>
        <w:t>20</w:t>
      </w:r>
      <w:r>
        <w:rPr>
          <w:rFonts w:ascii="Calibri" w:hAnsi="Calibri"/>
          <w:sz w:val="22"/>
          <w:szCs w:val="22"/>
        </w:rPr>
        <w:t>.  Those claiming Hispanic or Latino heritage added another 1,223 residents in 2020, representing 3.8% of the population.</w:t>
      </w:r>
      <w:r w:rsidR="008772FC" w:rsidRPr="00445E74">
        <w:rPr>
          <w:rStyle w:val="FootnoteReference"/>
          <w:rFonts w:ascii="Calibri" w:hAnsi="Calibri"/>
          <w:sz w:val="22"/>
          <w:szCs w:val="22"/>
        </w:rPr>
        <w:footnoteReference w:id="11"/>
      </w:r>
      <w:r w:rsidR="008772FC" w:rsidRPr="00445E74">
        <w:rPr>
          <w:rFonts w:ascii="Calibri" w:hAnsi="Calibri"/>
          <w:sz w:val="22"/>
          <w:szCs w:val="22"/>
        </w:rPr>
        <w:t xml:space="preserve">  </w:t>
      </w:r>
    </w:p>
    <w:p w14:paraId="706C189C" w14:textId="2B388975" w:rsidR="00C34014" w:rsidRPr="00C34014" w:rsidRDefault="00C34014" w:rsidP="00C34014">
      <w:pPr>
        <w:pStyle w:val="BodyText"/>
        <w:spacing w:after="0"/>
        <w:jc w:val="center"/>
        <w:rPr>
          <w:rFonts w:ascii="Calibri" w:hAnsi="Calibri"/>
          <w:b/>
          <w:bCs/>
          <w:sz w:val="22"/>
          <w:szCs w:val="22"/>
        </w:rPr>
      </w:pPr>
      <w:r>
        <w:rPr>
          <w:rFonts w:ascii="Calibri" w:hAnsi="Calibri"/>
          <w:b/>
          <w:bCs/>
          <w:sz w:val="22"/>
          <w:szCs w:val="22"/>
        </w:rPr>
        <w:t>Table III-2: Racial Distribution, 2000, 2010, and 2020</w:t>
      </w:r>
    </w:p>
    <w:tbl>
      <w:tblPr>
        <w:tblStyle w:val="TableGrid"/>
        <w:tblW w:w="0" w:type="auto"/>
        <w:tblInd w:w="-95" w:type="dxa"/>
        <w:tblLook w:val="04A0" w:firstRow="1" w:lastRow="0" w:firstColumn="1" w:lastColumn="0" w:noHBand="0" w:noVBand="1"/>
      </w:tblPr>
      <w:tblGrid>
        <w:gridCol w:w="2432"/>
        <w:gridCol w:w="1116"/>
        <w:gridCol w:w="1221"/>
        <w:gridCol w:w="1128"/>
        <w:gridCol w:w="1210"/>
        <w:gridCol w:w="1176"/>
        <w:gridCol w:w="1162"/>
      </w:tblGrid>
      <w:tr w:rsidR="00C34014" w14:paraId="26D6D32A" w14:textId="77777777" w:rsidTr="007979FE">
        <w:tc>
          <w:tcPr>
            <w:tcW w:w="2432" w:type="dxa"/>
            <w:vMerge w:val="restart"/>
          </w:tcPr>
          <w:p w14:paraId="3CCF0467" w14:textId="6E6264F8" w:rsidR="00C34014" w:rsidRPr="00C34014" w:rsidRDefault="00C34014" w:rsidP="00C34014">
            <w:pPr>
              <w:pStyle w:val="BodyText"/>
              <w:spacing w:after="0"/>
              <w:jc w:val="both"/>
              <w:rPr>
                <w:rFonts w:ascii="Calibri" w:hAnsi="Calibri"/>
                <w:b/>
                <w:bCs/>
              </w:rPr>
            </w:pPr>
            <w:r w:rsidRPr="00C34014">
              <w:rPr>
                <w:rFonts w:ascii="Calibri" w:hAnsi="Calibri"/>
                <w:b/>
                <w:bCs/>
                <w:sz w:val="22"/>
                <w:szCs w:val="22"/>
              </w:rPr>
              <w:t>Race</w:t>
            </w:r>
            <w:r w:rsidR="001553E7">
              <w:rPr>
                <w:rFonts w:ascii="Calibri" w:hAnsi="Calibri"/>
                <w:b/>
                <w:bCs/>
                <w:sz w:val="22"/>
                <w:szCs w:val="22"/>
              </w:rPr>
              <w:t>/Ethnicity</w:t>
            </w:r>
          </w:p>
        </w:tc>
        <w:tc>
          <w:tcPr>
            <w:tcW w:w="2337" w:type="dxa"/>
            <w:gridSpan w:val="2"/>
          </w:tcPr>
          <w:p w14:paraId="6CE8A79A" w14:textId="2BCE5D8C" w:rsidR="00C34014" w:rsidRPr="00C34014" w:rsidRDefault="00C34014" w:rsidP="00C34014">
            <w:pPr>
              <w:pStyle w:val="BodyText"/>
              <w:spacing w:after="0"/>
              <w:jc w:val="center"/>
              <w:rPr>
                <w:rFonts w:ascii="Calibri" w:hAnsi="Calibri"/>
                <w:b/>
                <w:bCs/>
              </w:rPr>
            </w:pPr>
            <w:r>
              <w:rPr>
                <w:rFonts w:ascii="Calibri" w:hAnsi="Calibri"/>
                <w:b/>
                <w:bCs/>
                <w:sz w:val="22"/>
                <w:szCs w:val="22"/>
              </w:rPr>
              <w:t>2000</w:t>
            </w:r>
          </w:p>
        </w:tc>
        <w:tc>
          <w:tcPr>
            <w:tcW w:w="2338" w:type="dxa"/>
            <w:gridSpan w:val="2"/>
          </w:tcPr>
          <w:p w14:paraId="3472A406" w14:textId="0FAE4391" w:rsidR="00C34014" w:rsidRPr="00C34014" w:rsidRDefault="00C34014" w:rsidP="00C34014">
            <w:pPr>
              <w:pStyle w:val="BodyText"/>
              <w:spacing w:after="0"/>
              <w:jc w:val="center"/>
              <w:rPr>
                <w:rFonts w:ascii="Calibri" w:hAnsi="Calibri"/>
                <w:b/>
                <w:bCs/>
              </w:rPr>
            </w:pPr>
            <w:r>
              <w:rPr>
                <w:rFonts w:ascii="Calibri" w:hAnsi="Calibri"/>
                <w:b/>
                <w:bCs/>
                <w:sz w:val="22"/>
                <w:szCs w:val="22"/>
              </w:rPr>
              <w:t>2010</w:t>
            </w:r>
          </w:p>
        </w:tc>
        <w:tc>
          <w:tcPr>
            <w:tcW w:w="2338" w:type="dxa"/>
            <w:gridSpan w:val="2"/>
          </w:tcPr>
          <w:p w14:paraId="2D0B555E" w14:textId="7500AA7C" w:rsidR="00C34014" w:rsidRPr="00C34014" w:rsidRDefault="00C34014" w:rsidP="00C34014">
            <w:pPr>
              <w:pStyle w:val="BodyText"/>
              <w:spacing w:after="0"/>
              <w:jc w:val="center"/>
              <w:rPr>
                <w:rFonts w:ascii="Calibri" w:hAnsi="Calibri"/>
                <w:b/>
                <w:bCs/>
              </w:rPr>
            </w:pPr>
            <w:r>
              <w:rPr>
                <w:rFonts w:ascii="Calibri" w:hAnsi="Calibri"/>
                <w:b/>
                <w:bCs/>
                <w:sz w:val="22"/>
                <w:szCs w:val="22"/>
              </w:rPr>
              <w:t>2020</w:t>
            </w:r>
          </w:p>
        </w:tc>
      </w:tr>
      <w:tr w:rsidR="00C34014" w14:paraId="1040CF84" w14:textId="7FAFCB69" w:rsidTr="007979FE">
        <w:tc>
          <w:tcPr>
            <w:tcW w:w="2432" w:type="dxa"/>
            <w:vMerge/>
          </w:tcPr>
          <w:p w14:paraId="1A6FA7D6" w14:textId="77777777" w:rsidR="00C34014" w:rsidRPr="00C34014" w:rsidRDefault="00C34014" w:rsidP="00C34014">
            <w:pPr>
              <w:pStyle w:val="BodyText"/>
              <w:spacing w:after="0"/>
              <w:jc w:val="both"/>
              <w:rPr>
                <w:rFonts w:ascii="Calibri" w:hAnsi="Calibri"/>
                <w:b/>
                <w:bCs/>
              </w:rPr>
            </w:pPr>
          </w:p>
        </w:tc>
        <w:tc>
          <w:tcPr>
            <w:tcW w:w="1116" w:type="dxa"/>
          </w:tcPr>
          <w:p w14:paraId="48866B59" w14:textId="35994112"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c>
          <w:tcPr>
            <w:tcW w:w="1221" w:type="dxa"/>
          </w:tcPr>
          <w:p w14:paraId="6F0C4D2E" w14:textId="53622A47"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c>
          <w:tcPr>
            <w:tcW w:w="1128" w:type="dxa"/>
          </w:tcPr>
          <w:p w14:paraId="67D10E6B" w14:textId="77FCBE5B"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c>
          <w:tcPr>
            <w:tcW w:w="1210" w:type="dxa"/>
          </w:tcPr>
          <w:p w14:paraId="748ED8A1" w14:textId="361F9DB9"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c>
          <w:tcPr>
            <w:tcW w:w="1176" w:type="dxa"/>
          </w:tcPr>
          <w:p w14:paraId="5A231DF3" w14:textId="75F29500"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c>
          <w:tcPr>
            <w:tcW w:w="1162" w:type="dxa"/>
          </w:tcPr>
          <w:p w14:paraId="161B7A27" w14:textId="764B162F" w:rsidR="00C34014" w:rsidRPr="00C34014" w:rsidRDefault="00C34014" w:rsidP="00C34014">
            <w:pPr>
              <w:pStyle w:val="BodyText"/>
              <w:spacing w:after="0"/>
              <w:jc w:val="both"/>
              <w:rPr>
                <w:rFonts w:ascii="Calibri" w:hAnsi="Calibri"/>
                <w:b/>
                <w:bCs/>
              </w:rPr>
            </w:pPr>
            <w:r>
              <w:rPr>
                <w:rFonts w:ascii="Calibri" w:hAnsi="Calibri"/>
                <w:b/>
                <w:bCs/>
                <w:sz w:val="22"/>
                <w:szCs w:val="22"/>
              </w:rPr>
              <w:t>%</w:t>
            </w:r>
          </w:p>
        </w:tc>
      </w:tr>
      <w:tr w:rsidR="001553E7" w:rsidRPr="001553E7" w14:paraId="0B825942" w14:textId="77777777" w:rsidTr="007979FE">
        <w:tc>
          <w:tcPr>
            <w:tcW w:w="2432" w:type="dxa"/>
          </w:tcPr>
          <w:p w14:paraId="74A7D551" w14:textId="40AAEAD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Total Population</w:t>
            </w:r>
          </w:p>
        </w:tc>
        <w:tc>
          <w:tcPr>
            <w:tcW w:w="1116" w:type="dxa"/>
          </w:tcPr>
          <w:p w14:paraId="65AF7557" w14:textId="5F92CCB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28,911</w:t>
            </w:r>
          </w:p>
        </w:tc>
        <w:tc>
          <w:tcPr>
            <w:tcW w:w="1221" w:type="dxa"/>
          </w:tcPr>
          <w:p w14:paraId="1735809F" w14:textId="7544581B"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100.0</w:t>
            </w:r>
          </w:p>
        </w:tc>
        <w:tc>
          <w:tcPr>
            <w:tcW w:w="1128" w:type="dxa"/>
          </w:tcPr>
          <w:p w14:paraId="7A940A75" w14:textId="5B6C2BF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28,886</w:t>
            </w:r>
          </w:p>
        </w:tc>
        <w:tc>
          <w:tcPr>
            <w:tcW w:w="1210" w:type="dxa"/>
          </w:tcPr>
          <w:p w14:paraId="1C621B46" w14:textId="5FDF09B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100.0</w:t>
            </w:r>
          </w:p>
        </w:tc>
        <w:tc>
          <w:tcPr>
            <w:tcW w:w="1176" w:type="dxa"/>
          </w:tcPr>
          <w:p w14:paraId="7ABD0E23" w14:textId="227425B9"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32,091</w:t>
            </w:r>
          </w:p>
        </w:tc>
        <w:tc>
          <w:tcPr>
            <w:tcW w:w="1162" w:type="dxa"/>
          </w:tcPr>
          <w:p w14:paraId="41D46062" w14:textId="7D0B04A3"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100.0</w:t>
            </w:r>
          </w:p>
        </w:tc>
      </w:tr>
      <w:tr w:rsidR="001553E7" w:rsidRPr="001553E7" w14:paraId="15283ECA" w14:textId="731D2B43" w:rsidTr="007979FE">
        <w:tc>
          <w:tcPr>
            <w:tcW w:w="2432" w:type="dxa"/>
          </w:tcPr>
          <w:p w14:paraId="2165C56F" w14:textId="46A5136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White*</w:t>
            </w:r>
          </w:p>
        </w:tc>
        <w:tc>
          <w:tcPr>
            <w:tcW w:w="1116" w:type="dxa"/>
          </w:tcPr>
          <w:p w14:paraId="5853FBEE" w14:textId="469E4B03"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27,140</w:t>
            </w:r>
          </w:p>
        </w:tc>
        <w:tc>
          <w:tcPr>
            <w:tcW w:w="1221" w:type="dxa"/>
          </w:tcPr>
          <w:p w14:paraId="417F4D2B" w14:textId="0B408E2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93.9</w:t>
            </w:r>
          </w:p>
        </w:tc>
        <w:tc>
          <w:tcPr>
            <w:tcW w:w="1128" w:type="dxa"/>
          </w:tcPr>
          <w:p w14:paraId="28F4B3AD" w14:textId="1A664E82"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25,730</w:t>
            </w:r>
          </w:p>
        </w:tc>
        <w:tc>
          <w:tcPr>
            <w:tcW w:w="1210" w:type="dxa"/>
          </w:tcPr>
          <w:p w14:paraId="31DAF341" w14:textId="489E2BE0"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89.1</w:t>
            </w:r>
          </w:p>
        </w:tc>
        <w:tc>
          <w:tcPr>
            <w:tcW w:w="1176" w:type="dxa"/>
          </w:tcPr>
          <w:p w14:paraId="4E9DC1FF" w14:textId="069B0B82"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26,013</w:t>
            </w:r>
          </w:p>
        </w:tc>
        <w:tc>
          <w:tcPr>
            <w:tcW w:w="1162" w:type="dxa"/>
          </w:tcPr>
          <w:p w14:paraId="4111A45F" w14:textId="6FB02F1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81.1</w:t>
            </w:r>
          </w:p>
        </w:tc>
      </w:tr>
      <w:tr w:rsidR="001553E7" w:rsidRPr="001553E7" w14:paraId="2C28E636" w14:textId="246684C1" w:rsidTr="007979FE">
        <w:tc>
          <w:tcPr>
            <w:tcW w:w="2432" w:type="dxa"/>
          </w:tcPr>
          <w:p w14:paraId="43FD751E" w14:textId="45E5C7E2"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Black*</w:t>
            </w:r>
          </w:p>
        </w:tc>
        <w:tc>
          <w:tcPr>
            <w:tcW w:w="1116" w:type="dxa"/>
          </w:tcPr>
          <w:p w14:paraId="6D82E067" w14:textId="2B0CB29D"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187</w:t>
            </w:r>
          </w:p>
        </w:tc>
        <w:tc>
          <w:tcPr>
            <w:tcW w:w="1221" w:type="dxa"/>
          </w:tcPr>
          <w:p w14:paraId="3DFE6106" w14:textId="4FD968CC" w:rsidR="001553E7" w:rsidRPr="001553E7" w:rsidRDefault="007979FE" w:rsidP="001553E7">
            <w:pPr>
              <w:pStyle w:val="BodyText"/>
              <w:spacing w:after="0"/>
              <w:jc w:val="both"/>
              <w:rPr>
                <w:rFonts w:ascii="Calibri" w:hAnsi="Calibri"/>
                <w:sz w:val="20"/>
                <w:szCs w:val="20"/>
              </w:rPr>
            </w:pPr>
            <w:r>
              <w:rPr>
                <w:rFonts w:ascii="Calibri" w:hAnsi="Calibri"/>
                <w:sz w:val="20"/>
                <w:szCs w:val="20"/>
              </w:rPr>
              <w:t>0.6</w:t>
            </w:r>
          </w:p>
        </w:tc>
        <w:tc>
          <w:tcPr>
            <w:tcW w:w="1128" w:type="dxa"/>
          </w:tcPr>
          <w:p w14:paraId="50E7CDD2" w14:textId="44A66EB7"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275</w:t>
            </w:r>
          </w:p>
        </w:tc>
        <w:tc>
          <w:tcPr>
            <w:tcW w:w="1210" w:type="dxa"/>
          </w:tcPr>
          <w:p w14:paraId="1AB873E7" w14:textId="4AABB203" w:rsidR="001553E7" w:rsidRPr="001553E7" w:rsidRDefault="007979FE" w:rsidP="001553E7">
            <w:pPr>
              <w:pStyle w:val="BodyText"/>
              <w:spacing w:after="0"/>
              <w:jc w:val="both"/>
              <w:rPr>
                <w:rFonts w:ascii="Calibri" w:hAnsi="Calibri"/>
                <w:sz w:val="20"/>
                <w:szCs w:val="20"/>
              </w:rPr>
            </w:pPr>
            <w:r>
              <w:rPr>
                <w:rFonts w:ascii="Calibri" w:hAnsi="Calibri"/>
                <w:sz w:val="20"/>
                <w:szCs w:val="20"/>
              </w:rPr>
              <w:t>1.0</w:t>
            </w:r>
          </w:p>
        </w:tc>
        <w:tc>
          <w:tcPr>
            <w:tcW w:w="1176" w:type="dxa"/>
          </w:tcPr>
          <w:p w14:paraId="67CFDB9C" w14:textId="2DBE1623"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452</w:t>
            </w:r>
          </w:p>
        </w:tc>
        <w:tc>
          <w:tcPr>
            <w:tcW w:w="1162" w:type="dxa"/>
          </w:tcPr>
          <w:p w14:paraId="0BFFABDF" w14:textId="3EB0CC6C" w:rsidR="001553E7" w:rsidRPr="001553E7" w:rsidRDefault="007979FE" w:rsidP="001553E7">
            <w:pPr>
              <w:pStyle w:val="BodyText"/>
              <w:spacing w:after="0"/>
              <w:jc w:val="both"/>
              <w:rPr>
                <w:rFonts w:ascii="Calibri" w:hAnsi="Calibri"/>
                <w:sz w:val="20"/>
                <w:szCs w:val="20"/>
              </w:rPr>
            </w:pPr>
            <w:r>
              <w:rPr>
                <w:rFonts w:ascii="Calibri" w:hAnsi="Calibri"/>
                <w:sz w:val="20"/>
                <w:szCs w:val="20"/>
              </w:rPr>
              <w:t>1.4</w:t>
            </w:r>
          </w:p>
        </w:tc>
      </w:tr>
      <w:tr w:rsidR="001553E7" w:rsidRPr="001553E7" w14:paraId="3E22E774" w14:textId="7269297B" w:rsidTr="007979FE">
        <w:tc>
          <w:tcPr>
            <w:tcW w:w="2432" w:type="dxa"/>
          </w:tcPr>
          <w:p w14:paraId="381466BB" w14:textId="1B31F9CD"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Asian*</w:t>
            </w:r>
          </w:p>
        </w:tc>
        <w:tc>
          <w:tcPr>
            <w:tcW w:w="1116" w:type="dxa"/>
          </w:tcPr>
          <w:p w14:paraId="01B5E7DB" w14:textId="420BE6CC"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1,023</w:t>
            </w:r>
          </w:p>
        </w:tc>
        <w:tc>
          <w:tcPr>
            <w:tcW w:w="1221" w:type="dxa"/>
          </w:tcPr>
          <w:p w14:paraId="17B5214F" w14:textId="50384E19" w:rsidR="001553E7" w:rsidRPr="001553E7" w:rsidRDefault="007979FE" w:rsidP="001553E7">
            <w:pPr>
              <w:pStyle w:val="BodyText"/>
              <w:spacing w:after="0"/>
              <w:jc w:val="both"/>
              <w:rPr>
                <w:rFonts w:ascii="Calibri" w:hAnsi="Calibri"/>
                <w:sz w:val="20"/>
                <w:szCs w:val="20"/>
              </w:rPr>
            </w:pPr>
            <w:r>
              <w:rPr>
                <w:rFonts w:ascii="Calibri" w:hAnsi="Calibri"/>
                <w:sz w:val="20"/>
                <w:szCs w:val="20"/>
              </w:rPr>
              <w:t>3.5</w:t>
            </w:r>
          </w:p>
        </w:tc>
        <w:tc>
          <w:tcPr>
            <w:tcW w:w="1128" w:type="dxa"/>
          </w:tcPr>
          <w:p w14:paraId="3A8C80D2" w14:textId="6584D115"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1,753</w:t>
            </w:r>
          </w:p>
        </w:tc>
        <w:tc>
          <w:tcPr>
            <w:tcW w:w="1210" w:type="dxa"/>
          </w:tcPr>
          <w:p w14:paraId="6A27EB44" w14:textId="5757EAAE" w:rsidR="001553E7" w:rsidRPr="001553E7" w:rsidRDefault="007979FE" w:rsidP="001553E7">
            <w:pPr>
              <w:pStyle w:val="BodyText"/>
              <w:spacing w:after="0"/>
              <w:jc w:val="both"/>
              <w:rPr>
                <w:rFonts w:ascii="Calibri" w:hAnsi="Calibri"/>
                <w:sz w:val="20"/>
                <w:szCs w:val="20"/>
              </w:rPr>
            </w:pPr>
            <w:r>
              <w:rPr>
                <w:rFonts w:ascii="Calibri" w:hAnsi="Calibri"/>
                <w:sz w:val="20"/>
                <w:szCs w:val="20"/>
              </w:rPr>
              <w:t>6.1</w:t>
            </w:r>
          </w:p>
        </w:tc>
        <w:tc>
          <w:tcPr>
            <w:tcW w:w="1176" w:type="dxa"/>
          </w:tcPr>
          <w:p w14:paraId="3B36BDFA" w14:textId="2FC0626E"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3,033</w:t>
            </w:r>
          </w:p>
        </w:tc>
        <w:tc>
          <w:tcPr>
            <w:tcW w:w="1162" w:type="dxa"/>
          </w:tcPr>
          <w:p w14:paraId="47695409" w14:textId="5EFCFE9D" w:rsidR="001553E7" w:rsidRPr="001553E7" w:rsidRDefault="007979FE" w:rsidP="001553E7">
            <w:pPr>
              <w:pStyle w:val="BodyText"/>
              <w:spacing w:after="0"/>
              <w:jc w:val="both"/>
              <w:rPr>
                <w:rFonts w:ascii="Calibri" w:hAnsi="Calibri"/>
                <w:sz w:val="20"/>
                <w:szCs w:val="20"/>
              </w:rPr>
            </w:pPr>
            <w:r>
              <w:rPr>
                <w:rFonts w:ascii="Calibri" w:hAnsi="Calibri"/>
                <w:sz w:val="20"/>
                <w:szCs w:val="20"/>
              </w:rPr>
              <w:t>9.4</w:t>
            </w:r>
          </w:p>
        </w:tc>
      </w:tr>
      <w:tr w:rsidR="001553E7" w:rsidRPr="001553E7" w14:paraId="73E1B032" w14:textId="1230AF58" w:rsidTr="007979FE">
        <w:tc>
          <w:tcPr>
            <w:tcW w:w="2432" w:type="dxa"/>
          </w:tcPr>
          <w:p w14:paraId="5C16197E" w14:textId="6748F900"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Native American*</w:t>
            </w:r>
          </w:p>
        </w:tc>
        <w:tc>
          <w:tcPr>
            <w:tcW w:w="1116" w:type="dxa"/>
          </w:tcPr>
          <w:p w14:paraId="56DCD422" w14:textId="028CECA9"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7</w:t>
            </w:r>
          </w:p>
        </w:tc>
        <w:tc>
          <w:tcPr>
            <w:tcW w:w="1221" w:type="dxa"/>
          </w:tcPr>
          <w:p w14:paraId="14E3F950" w14:textId="11A58220" w:rsidR="001553E7" w:rsidRPr="001553E7" w:rsidRDefault="007979FE" w:rsidP="001553E7">
            <w:pPr>
              <w:pStyle w:val="BodyText"/>
              <w:spacing w:after="0"/>
              <w:jc w:val="both"/>
              <w:rPr>
                <w:rFonts w:ascii="Calibri" w:hAnsi="Calibri"/>
                <w:sz w:val="20"/>
                <w:szCs w:val="20"/>
              </w:rPr>
            </w:pPr>
            <w:r>
              <w:rPr>
                <w:rFonts w:ascii="Calibri" w:hAnsi="Calibri"/>
                <w:sz w:val="20"/>
                <w:szCs w:val="20"/>
              </w:rPr>
              <w:t>0.02</w:t>
            </w:r>
          </w:p>
        </w:tc>
        <w:tc>
          <w:tcPr>
            <w:tcW w:w="1128" w:type="dxa"/>
          </w:tcPr>
          <w:p w14:paraId="70C302A0" w14:textId="3A5F46B9"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w:t>
            </w:r>
          </w:p>
        </w:tc>
        <w:tc>
          <w:tcPr>
            <w:tcW w:w="1210" w:type="dxa"/>
          </w:tcPr>
          <w:p w14:paraId="670C0CC1" w14:textId="4DA650DE" w:rsidR="001553E7" w:rsidRPr="001553E7" w:rsidRDefault="007979FE" w:rsidP="001553E7">
            <w:pPr>
              <w:pStyle w:val="BodyText"/>
              <w:spacing w:after="0"/>
              <w:jc w:val="both"/>
              <w:rPr>
                <w:rFonts w:ascii="Calibri" w:hAnsi="Calibri"/>
                <w:sz w:val="20"/>
                <w:szCs w:val="20"/>
              </w:rPr>
            </w:pPr>
            <w:r>
              <w:rPr>
                <w:rFonts w:ascii="Calibri" w:hAnsi="Calibri"/>
                <w:sz w:val="20"/>
                <w:szCs w:val="20"/>
              </w:rPr>
              <w:t>0.03</w:t>
            </w:r>
          </w:p>
        </w:tc>
        <w:tc>
          <w:tcPr>
            <w:tcW w:w="1176" w:type="dxa"/>
          </w:tcPr>
          <w:p w14:paraId="0448B202" w14:textId="6395C0FA"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10</w:t>
            </w:r>
          </w:p>
        </w:tc>
        <w:tc>
          <w:tcPr>
            <w:tcW w:w="1162" w:type="dxa"/>
          </w:tcPr>
          <w:p w14:paraId="70C36CA0" w14:textId="42362FDB" w:rsidR="001553E7" w:rsidRPr="001553E7" w:rsidRDefault="007979FE" w:rsidP="001553E7">
            <w:pPr>
              <w:pStyle w:val="BodyText"/>
              <w:spacing w:after="0"/>
              <w:jc w:val="both"/>
              <w:rPr>
                <w:rFonts w:ascii="Calibri" w:hAnsi="Calibri"/>
                <w:sz w:val="20"/>
                <w:szCs w:val="20"/>
              </w:rPr>
            </w:pPr>
            <w:r>
              <w:rPr>
                <w:rFonts w:ascii="Calibri" w:hAnsi="Calibri"/>
                <w:sz w:val="20"/>
                <w:szCs w:val="20"/>
              </w:rPr>
              <w:t>0.03</w:t>
            </w:r>
          </w:p>
        </w:tc>
      </w:tr>
      <w:tr w:rsidR="001553E7" w:rsidRPr="001553E7" w14:paraId="682A4010" w14:textId="37C06801" w:rsidTr="007979FE">
        <w:tc>
          <w:tcPr>
            <w:tcW w:w="2432" w:type="dxa"/>
          </w:tcPr>
          <w:p w14:paraId="34315438" w14:textId="415078F3"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Some Other Race*</w:t>
            </w:r>
          </w:p>
        </w:tc>
        <w:tc>
          <w:tcPr>
            <w:tcW w:w="1116" w:type="dxa"/>
          </w:tcPr>
          <w:p w14:paraId="6378AB1A" w14:textId="78F93781"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34</w:t>
            </w:r>
          </w:p>
        </w:tc>
        <w:tc>
          <w:tcPr>
            <w:tcW w:w="1221" w:type="dxa"/>
          </w:tcPr>
          <w:p w14:paraId="7B51B8D5" w14:textId="161C7037" w:rsidR="001553E7" w:rsidRPr="001553E7" w:rsidRDefault="007979FE" w:rsidP="001553E7">
            <w:pPr>
              <w:pStyle w:val="BodyText"/>
              <w:spacing w:after="0"/>
              <w:jc w:val="both"/>
              <w:rPr>
                <w:rFonts w:ascii="Calibri" w:hAnsi="Calibri"/>
                <w:sz w:val="20"/>
                <w:szCs w:val="20"/>
              </w:rPr>
            </w:pPr>
            <w:r>
              <w:rPr>
                <w:rFonts w:ascii="Calibri" w:hAnsi="Calibri"/>
                <w:sz w:val="20"/>
                <w:szCs w:val="20"/>
              </w:rPr>
              <w:t>0.1</w:t>
            </w:r>
          </w:p>
        </w:tc>
        <w:tc>
          <w:tcPr>
            <w:tcW w:w="1128" w:type="dxa"/>
          </w:tcPr>
          <w:p w14:paraId="2748FE95" w14:textId="43DECE6C"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64</w:t>
            </w:r>
          </w:p>
        </w:tc>
        <w:tc>
          <w:tcPr>
            <w:tcW w:w="1210" w:type="dxa"/>
          </w:tcPr>
          <w:p w14:paraId="36D89036" w14:textId="7E4609F2" w:rsidR="001553E7" w:rsidRPr="001553E7" w:rsidRDefault="007979FE" w:rsidP="001553E7">
            <w:pPr>
              <w:pStyle w:val="BodyText"/>
              <w:spacing w:after="0"/>
              <w:jc w:val="both"/>
              <w:rPr>
                <w:rFonts w:ascii="Calibri" w:hAnsi="Calibri"/>
                <w:sz w:val="20"/>
                <w:szCs w:val="20"/>
              </w:rPr>
            </w:pPr>
            <w:r>
              <w:rPr>
                <w:rFonts w:ascii="Calibri" w:hAnsi="Calibri"/>
                <w:sz w:val="20"/>
                <w:szCs w:val="20"/>
              </w:rPr>
              <w:t>0.2</w:t>
            </w:r>
          </w:p>
        </w:tc>
        <w:tc>
          <w:tcPr>
            <w:tcW w:w="1176" w:type="dxa"/>
          </w:tcPr>
          <w:p w14:paraId="365B5074" w14:textId="79B57084"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195</w:t>
            </w:r>
          </w:p>
        </w:tc>
        <w:tc>
          <w:tcPr>
            <w:tcW w:w="1162" w:type="dxa"/>
          </w:tcPr>
          <w:p w14:paraId="6B62BC83" w14:textId="3DCC160D" w:rsidR="001553E7" w:rsidRPr="001553E7" w:rsidRDefault="007979FE" w:rsidP="001553E7">
            <w:pPr>
              <w:pStyle w:val="BodyText"/>
              <w:spacing w:after="0"/>
              <w:jc w:val="both"/>
              <w:rPr>
                <w:rFonts w:ascii="Calibri" w:hAnsi="Calibri"/>
                <w:sz w:val="20"/>
                <w:szCs w:val="20"/>
              </w:rPr>
            </w:pPr>
            <w:r>
              <w:rPr>
                <w:rFonts w:ascii="Calibri" w:hAnsi="Calibri"/>
                <w:sz w:val="20"/>
                <w:szCs w:val="20"/>
              </w:rPr>
              <w:t>0.6</w:t>
            </w:r>
          </w:p>
        </w:tc>
      </w:tr>
      <w:tr w:rsidR="001553E7" w:rsidRPr="001553E7" w14:paraId="4469F21F" w14:textId="02755826" w:rsidTr="007979FE">
        <w:tc>
          <w:tcPr>
            <w:tcW w:w="2432" w:type="dxa"/>
          </w:tcPr>
          <w:p w14:paraId="37E8A26B" w14:textId="29D5B9F7"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Two or More Races*</w:t>
            </w:r>
          </w:p>
        </w:tc>
        <w:tc>
          <w:tcPr>
            <w:tcW w:w="1116" w:type="dxa"/>
          </w:tcPr>
          <w:p w14:paraId="72ABBF54" w14:textId="30D850C8"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179</w:t>
            </w:r>
          </w:p>
        </w:tc>
        <w:tc>
          <w:tcPr>
            <w:tcW w:w="1221" w:type="dxa"/>
          </w:tcPr>
          <w:p w14:paraId="11A5E127" w14:textId="255650A8" w:rsidR="001553E7" w:rsidRPr="001553E7" w:rsidRDefault="007979FE" w:rsidP="001553E7">
            <w:pPr>
              <w:pStyle w:val="BodyText"/>
              <w:spacing w:after="0"/>
              <w:jc w:val="both"/>
              <w:rPr>
                <w:rFonts w:ascii="Calibri" w:hAnsi="Calibri"/>
                <w:sz w:val="20"/>
                <w:szCs w:val="20"/>
              </w:rPr>
            </w:pPr>
            <w:r>
              <w:rPr>
                <w:rFonts w:ascii="Calibri" w:hAnsi="Calibri"/>
                <w:sz w:val="20"/>
                <w:szCs w:val="20"/>
              </w:rPr>
              <w:t>0.6</w:t>
            </w:r>
          </w:p>
        </w:tc>
        <w:tc>
          <w:tcPr>
            <w:tcW w:w="1128" w:type="dxa"/>
          </w:tcPr>
          <w:p w14:paraId="41D7FF43" w14:textId="2EC697AD"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436</w:t>
            </w:r>
          </w:p>
        </w:tc>
        <w:tc>
          <w:tcPr>
            <w:tcW w:w="1210" w:type="dxa"/>
          </w:tcPr>
          <w:p w14:paraId="47178562" w14:textId="26F31396" w:rsidR="001553E7" w:rsidRPr="001553E7" w:rsidRDefault="007979FE" w:rsidP="001553E7">
            <w:pPr>
              <w:pStyle w:val="BodyText"/>
              <w:spacing w:after="0"/>
              <w:jc w:val="both"/>
              <w:rPr>
                <w:rFonts w:ascii="Calibri" w:hAnsi="Calibri"/>
                <w:sz w:val="20"/>
                <w:szCs w:val="20"/>
              </w:rPr>
            </w:pPr>
            <w:r>
              <w:rPr>
                <w:rFonts w:ascii="Calibri" w:hAnsi="Calibri"/>
                <w:sz w:val="20"/>
                <w:szCs w:val="20"/>
              </w:rPr>
              <w:t>1.5</w:t>
            </w:r>
          </w:p>
        </w:tc>
        <w:tc>
          <w:tcPr>
            <w:tcW w:w="1176" w:type="dxa"/>
          </w:tcPr>
          <w:p w14:paraId="16689006" w14:textId="3314805C"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1,165</w:t>
            </w:r>
          </w:p>
        </w:tc>
        <w:tc>
          <w:tcPr>
            <w:tcW w:w="1162" w:type="dxa"/>
          </w:tcPr>
          <w:p w14:paraId="6AC36BF7" w14:textId="26E8E720" w:rsidR="001553E7" w:rsidRPr="001553E7" w:rsidRDefault="007979FE" w:rsidP="001553E7">
            <w:pPr>
              <w:pStyle w:val="BodyText"/>
              <w:spacing w:after="0"/>
              <w:jc w:val="both"/>
              <w:rPr>
                <w:rFonts w:ascii="Calibri" w:hAnsi="Calibri"/>
                <w:sz w:val="20"/>
                <w:szCs w:val="20"/>
              </w:rPr>
            </w:pPr>
            <w:r>
              <w:rPr>
                <w:rFonts w:ascii="Calibri" w:hAnsi="Calibri"/>
                <w:sz w:val="20"/>
                <w:szCs w:val="20"/>
              </w:rPr>
              <w:t>3.6</w:t>
            </w:r>
          </w:p>
        </w:tc>
      </w:tr>
      <w:tr w:rsidR="007979FE" w:rsidRPr="001553E7" w14:paraId="3391A4A2" w14:textId="77777777" w:rsidTr="007979FE">
        <w:tc>
          <w:tcPr>
            <w:tcW w:w="2432" w:type="dxa"/>
          </w:tcPr>
          <w:p w14:paraId="2C429BEC" w14:textId="6F9433A9" w:rsidR="007979FE" w:rsidRPr="001553E7" w:rsidRDefault="007979FE" w:rsidP="001553E7">
            <w:pPr>
              <w:pStyle w:val="BodyText"/>
              <w:spacing w:after="0"/>
              <w:jc w:val="both"/>
              <w:rPr>
                <w:rFonts w:ascii="Calibri" w:hAnsi="Calibri"/>
                <w:sz w:val="20"/>
                <w:szCs w:val="20"/>
              </w:rPr>
            </w:pPr>
            <w:r>
              <w:rPr>
                <w:rFonts w:ascii="Calibri" w:hAnsi="Calibri"/>
                <w:sz w:val="20"/>
                <w:szCs w:val="20"/>
              </w:rPr>
              <w:t>Non-White, Non-Hispanic/ Non-Latino</w:t>
            </w:r>
          </w:p>
        </w:tc>
        <w:tc>
          <w:tcPr>
            <w:tcW w:w="1116" w:type="dxa"/>
          </w:tcPr>
          <w:p w14:paraId="12648A79" w14:textId="44D8A874" w:rsidR="007979FE" w:rsidRPr="001553E7" w:rsidRDefault="007979FE" w:rsidP="001553E7">
            <w:pPr>
              <w:pStyle w:val="BodyText"/>
              <w:spacing w:after="0"/>
              <w:jc w:val="both"/>
              <w:rPr>
                <w:rFonts w:ascii="Calibri" w:hAnsi="Calibri"/>
                <w:sz w:val="20"/>
                <w:szCs w:val="20"/>
              </w:rPr>
            </w:pPr>
            <w:r>
              <w:rPr>
                <w:rFonts w:ascii="Calibri" w:hAnsi="Calibri"/>
                <w:sz w:val="20"/>
                <w:szCs w:val="20"/>
              </w:rPr>
              <w:t>1,430</w:t>
            </w:r>
          </w:p>
        </w:tc>
        <w:tc>
          <w:tcPr>
            <w:tcW w:w="1221" w:type="dxa"/>
          </w:tcPr>
          <w:p w14:paraId="3621005A" w14:textId="2D7B1ED8" w:rsidR="007979FE" w:rsidRDefault="007979FE" w:rsidP="001553E7">
            <w:pPr>
              <w:pStyle w:val="BodyText"/>
              <w:spacing w:after="0"/>
              <w:jc w:val="both"/>
              <w:rPr>
                <w:rFonts w:ascii="Calibri" w:hAnsi="Calibri"/>
                <w:sz w:val="20"/>
                <w:szCs w:val="20"/>
              </w:rPr>
            </w:pPr>
            <w:r>
              <w:rPr>
                <w:rFonts w:ascii="Calibri" w:hAnsi="Calibri"/>
                <w:sz w:val="20"/>
                <w:szCs w:val="20"/>
              </w:rPr>
              <w:t>5.0</w:t>
            </w:r>
          </w:p>
        </w:tc>
        <w:tc>
          <w:tcPr>
            <w:tcW w:w="1128" w:type="dxa"/>
          </w:tcPr>
          <w:p w14:paraId="2B173F9C" w14:textId="296A1E00" w:rsidR="007979FE" w:rsidRPr="001553E7" w:rsidRDefault="007979FE" w:rsidP="001553E7">
            <w:pPr>
              <w:pStyle w:val="BodyText"/>
              <w:spacing w:after="0"/>
              <w:jc w:val="both"/>
              <w:rPr>
                <w:rFonts w:ascii="Calibri" w:hAnsi="Calibri"/>
                <w:sz w:val="20"/>
                <w:szCs w:val="20"/>
              </w:rPr>
            </w:pPr>
            <w:r>
              <w:rPr>
                <w:rFonts w:ascii="Calibri" w:hAnsi="Calibri"/>
                <w:sz w:val="20"/>
                <w:szCs w:val="20"/>
              </w:rPr>
              <w:t>2,538</w:t>
            </w:r>
          </w:p>
        </w:tc>
        <w:tc>
          <w:tcPr>
            <w:tcW w:w="1210" w:type="dxa"/>
          </w:tcPr>
          <w:p w14:paraId="35EFFF04" w14:textId="7A53072F" w:rsidR="007979FE" w:rsidRDefault="007979FE" w:rsidP="001553E7">
            <w:pPr>
              <w:pStyle w:val="BodyText"/>
              <w:spacing w:after="0"/>
              <w:jc w:val="both"/>
              <w:rPr>
                <w:rFonts w:ascii="Calibri" w:hAnsi="Calibri"/>
                <w:sz w:val="20"/>
                <w:szCs w:val="20"/>
              </w:rPr>
            </w:pPr>
            <w:r>
              <w:rPr>
                <w:rFonts w:ascii="Calibri" w:hAnsi="Calibri"/>
                <w:sz w:val="20"/>
                <w:szCs w:val="20"/>
              </w:rPr>
              <w:t>8.8</w:t>
            </w:r>
          </w:p>
        </w:tc>
        <w:tc>
          <w:tcPr>
            <w:tcW w:w="1176" w:type="dxa"/>
          </w:tcPr>
          <w:p w14:paraId="531710E5" w14:textId="580FE29F" w:rsidR="007979FE" w:rsidRPr="001553E7" w:rsidRDefault="007979FE" w:rsidP="001553E7">
            <w:pPr>
              <w:pStyle w:val="BodyText"/>
              <w:spacing w:after="0"/>
              <w:jc w:val="both"/>
              <w:rPr>
                <w:rFonts w:ascii="Calibri" w:hAnsi="Calibri"/>
                <w:sz w:val="20"/>
                <w:szCs w:val="20"/>
              </w:rPr>
            </w:pPr>
            <w:r>
              <w:rPr>
                <w:rFonts w:ascii="Calibri" w:hAnsi="Calibri"/>
                <w:sz w:val="20"/>
                <w:szCs w:val="20"/>
              </w:rPr>
              <w:t>4,855</w:t>
            </w:r>
          </w:p>
        </w:tc>
        <w:tc>
          <w:tcPr>
            <w:tcW w:w="1162" w:type="dxa"/>
          </w:tcPr>
          <w:p w14:paraId="36F0163B" w14:textId="00056BAD" w:rsidR="007979FE" w:rsidRDefault="007979FE" w:rsidP="001553E7">
            <w:pPr>
              <w:pStyle w:val="BodyText"/>
              <w:spacing w:after="0"/>
              <w:jc w:val="both"/>
              <w:rPr>
                <w:rFonts w:ascii="Calibri" w:hAnsi="Calibri"/>
                <w:sz w:val="20"/>
                <w:szCs w:val="20"/>
              </w:rPr>
            </w:pPr>
            <w:r>
              <w:rPr>
                <w:rFonts w:ascii="Calibri" w:hAnsi="Calibri"/>
                <w:sz w:val="20"/>
                <w:szCs w:val="20"/>
              </w:rPr>
              <w:t>15.1</w:t>
            </w:r>
          </w:p>
        </w:tc>
      </w:tr>
      <w:tr w:rsidR="001553E7" w:rsidRPr="001553E7" w14:paraId="2C2F6BB5" w14:textId="77777777" w:rsidTr="007979FE">
        <w:tc>
          <w:tcPr>
            <w:tcW w:w="2432" w:type="dxa"/>
          </w:tcPr>
          <w:p w14:paraId="50A78E7F" w14:textId="69DAF07F"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Hispanic or Latino**</w:t>
            </w:r>
          </w:p>
        </w:tc>
        <w:tc>
          <w:tcPr>
            <w:tcW w:w="1116" w:type="dxa"/>
          </w:tcPr>
          <w:p w14:paraId="47128D68" w14:textId="351982B0"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341</w:t>
            </w:r>
          </w:p>
        </w:tc>
        <w:tc>
          <w:tcPr>
            <w:tcW w:w="1221" w:type="dxa"/>
          </w:tcPr>
          <w:p w14:paraId="2DC79E82" w14:textId="43BE659E" w:rsidR="001553E7" w:rsidRPr="001553E7" w:rsidRDefault="007979FE" w:rsidP="001553E7">
            <w:pPr>
              <w:pStyle w:val="BodyText"/>
              <w:spacing w:after="0"/>
              <w:jc w:val="both"/>
              <w:rPr>
                <w:rFonts w:ascii="Calibri" w:hAnsi="Calibri"/>
                <w:sz w:val="20"/>
                <w:szCs w:val="20"/>
              </w:rPr>
            </w:pPr>
            <w:r>
              <w:rPr>
                <w:rFonts w:ascii="Calibri" w:hAnsi="Calibri"/>
                <w:sz w:val="20"/>
                <w:szCs w:val="20"/>
              </w:rPr>
              <w:t>1.2</w:t>
            </w:r>
          </w:p>
        </w:tc>
        <w:tc>
          <w:tcPr>
            <w:tcW w:w="1128" w:type="dxa"/>
          </w:tcPr>
          <w:p w14:paraId="5E189EE4" w14:textId="13D4A629"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618</w:t>
            </w:r>
          </w:p>
        </w:tc>
        <w:tc>
          <w:tcPr>
            <w:tcW w:w="1210" w:type="dxa"/>
          </w:tcPr>
          <w:p w14:paraId="71947D79" w14:textId="1D2A3A5C" w:rsidR="001553E7" w:rsidRPr="001553E7" w:rsidRDefault="007979FE" w:rsidP="001553E7">
            <w:pPr>
              <w:pStyle w:val="BodyText"/>
              <w:spacing w:after="0"/>
              <w:jc w:val="both"/>
              <w:rPr>
                <w:rFonts w:ascii="Calibri" w:hAnsi="Calibri"/>
                <w:sz w:val="20"/>
                <w:szCs w:val="20"/>
              </w:rPr>
            </w:pPr>
            <w:r>
              <w:rPr>
                <w:rFonts w:ascii="Calibri" w:hAnsi="Calibri"/>
                <w:sz w:val="20"/>
                <w:szCs w:val="20"/>
              </w:rPr>
              <w:t>2.1</w:t>
            </w:r>
          </w:p>
        </w:tc>
        <w:tc>
          <w:tcPr>
            <w:tcW w:w="1176" w:type="dxa"/>
          </w:tcPr>
          <w:p w14:paraId="689E7354" w14:textId="69316656" w:rsidR="001553E7" w:rsidRPr="001553E7" w:rsidRDefault="001553E7" w:rsidP="001553E7">
            <w:pPr>
              <w:pStyle w:val="BodyText"/>
              <w:spacing w:after="0"/>
              <w:jc w:val="both"/>
              <w:rPr>
                <w:rFonts w:ascii="Calibri" w:hAnsi="Calibri"/>
                <w:sz w:val="20"/>
                <w:szCs w:val="20"/>
              </w:rPr>
            </w:pPr>
            <w:r w:rsidRPr="001553E7">
              <w:rPr>
                <w:rFonts w:ascii="Calibri" w:hAnsi="Calibri"/>
                <w:sz w:val="20"/>
                <w:szCs w:val="20"/>
              </w:rPr>
              <w:t>1,223</w:t>
            </w:r>
          </w:p>
        </w:tc>
        <w:tc>
          <w:tcPr>
            <w:tcW w:w="1162" w:type="dxa"/>
          </w:tcPr>
          <w:p w14:paraId="21BB5EC5" w14:textId="72FE88DF" w:rsidR="001553E7" w:rsidRPr="001553E7" w:rsidRDefault="007979FE" w:rsidP="001553E7">
            <w:pPr>
              <w:pStyle w:val="BodyText"/>
              <w:spacing w:after="0"/>
              <w:jc w:val="both"/>
              <w:rPr>
                <w:rFonts w:ascii="Calibri" w:hAnsi="Calibri"/>
                <w:sz w:val="20"/>
                <w:szCs w:val="20"/>
              </w:rPr>
            </w:pPr>
            <w:r>
              <w:rPr>
                <w:rFonts w:ascii="Calibri" w:hAnsi="Calibri"/>
                <w:sz w:val="20"/>
                <w:szCs w:val="20"/>
              </w:rPr>
              <w:t>3.8</w:t>
            </w:r>
          </w:p>
        </w:tc>
      </w:tr>
    </w:tbl>
    <w:p w14:paraId="2D929DA1" w14:textId="3C423D61" w:rsidR="001553E7" w:rsidRPr="001553E7" w:rsidRDefault="001553E7" w:rsidP="00C34014">
      <w:pPr>
        <w:pStyle w:val="BodyText"/>
        <w:spacing w:after="0"/>
        <w:jc w:val="both"/>
        <w:rPr>
          <w:rFonts w:ascii="Calibri" w:hAnsi="Calibri"/>
          <w:sz w:val="20"/>
          <w:szCs w:val="20"/>
        </w:rPr>
      </w:pPr>
      <w:r w:rsidRPr="001553E7">
        <w:rPr>
          <w:rFonts w:ascii="Calibri" w:hAnsi="Calibri"/>
          <w:sz w:val="20"/>
          <w:szCs w:val="20"/>
        </w:rPr>
        <w:t>Source:  U.S. Census Bureau, 2020</w:t>
      </w:r>
      <w:r w:rsidR="00DB7A89">
        <w:rPr>
          <w:rFonts w:ascii="Calibri" w:hAnsi="Calibri"/>
          <w:sz w:val="20"/>
          <w:szCs w:val="20"/>
        </w:rPr>
        <w:t xml:space="preserve"> </w:t>
      </w:r>
      <w:r w:rsidRPr="001553E7">
        <w:rPr>
          <w:rFonts w:ascii="Calibri" w:hAnsi="Calibri"/>
          <w:sz w:val="20"/>
          <w:szCs w:val="20"/>
        </w:rPr>
        <w:t>* Includes race alone, non-Hispanic.</w:t>
      </w:r>
      <w:r w:rsidR="00DB7A89">
        <w:rPr>
          <w:rFonts w:ascii="Calibri" w:hAnsi="Calibri"/>
          <w:sz w:val="20"/>
          <w:szCs w:val="20"/>
        </w:rPr>
        <w:t xml:space="preserve"> </w:t>
      </w:r>
      <w:r w:rsidRPr="001553E7">
        <w:rPr>
          <w:rFonts w:ascii="Calibri" w:hAnsi="Calibri"/>
          <w:sz w:val="20"/>
          <w:szCs w:val="20"/>
        </w:rPr>
        <w:t>** Includes all racial groups</w:t>
      </w:r>
      <w:r w:rsidR="007979FE">
        <w:rPr>
          <w:rFonts w:ascii="Calibri" w:hAnsi="Calibri"/>
          <w:sz w:val="20"/>
          <w:szCs w:val="20"/>
        </w:rPr>
        <w:t>.</w:t>
      </w:r>
    </w:p>
    <w:p w14:paraId="0B4CC0D5" w14:textId="2E170F24" w:rsidR="008772FC" w:rsidRPr="00EB5D55" w:rsidRDefault="008772FC" w:rsidP="008772FC">
      <w:pPr>
        <w:pStyle w:val="Heading3"/>
        <w:rPr>
          <w:rFonts w:asciiTheme="minorHAnsi" w:hAnsiTheme="minorHAnsi"/>
          <w:color w:val="1F497D" w:themeColor="text2"/>
        </w:rPr>
      </w:pPr>
      <w:bookmarkStart w:id="3" w:name="_Toc2252327"/>
      <w:r w:rsidRPr="00EB5D55">
        <w:rPr>
          <w:rFonts w:asciiTheme="minorHAnsi" w:hAnsiTheme="minorHAnsi"/>
          <w:color w:val="1F497D" w:themeColor="text2"/>
        </w:rPr>
        <w:t>3.</w:t>
      </w:r>
      <w:r w:rsidRPr="00EB5D55">
        <w:rPr>
          <w:rFonts w:asciiTheme="minorHAnsi" w:hAnsiTheme="minorHAnsi"/>
          <w:color w:val="1F497D" w:themeColor="text2"/>
        </w:rPr>
        <w:tab/>
        <w:t>Age Distribution – Increasing number</w:t>
      </w:r>
      <w:r w:rsidR="00A973F1">
        <w:rPr>
          <w:rFonts w:asciiTheme="minorHAnsi" w:hAnsiTheme="minorHAnsi"/>
          <w:color w:val="1F497D" w:themeColor="text2"/>
        </w:rPr>
        <w:t>s</w:t>
      </w:r>
      <w:r w:rsidRPr="00EB5D55">
        <w:rPr>
          <w:rFonts w:asciiTheme="minorHAnsi" w:hAnsiTheme="minorHAnsi"/>
          <w:color w:val="1F497D" w:themeColor="text2"/>
        </w:rPr>
        <w:t xml:space="preserve"> of children</w:t>
      </w:r>
      <w:r w:rsidR="00EA39A1">
        <w:rPr>
          <w:rFonts w:asciiTheme="minorHAnsi" w:hAnsiTheme="minorHAnsi"/>
          <w:color w:val="1F497D" w:themeColor="text2"/>
        </w:rPr>
        <w:t xml:space="preserve"> despite proportional declines with losses in younger adults and </w:t>
      </w:r>
      <w:r w:rsidR="002046B0">
        <w:rPr>
          <w:rFonts w:asciiTheme="minorHAnsi" w:hAnsiTheme="minorHAnsi"/>
          <w:color w:val="1F497D" w:themeColor="text2"/>
        </w:rPr>
        <w:t>significant</w:t>
      </w:r>
      <w:r w:rsidRPr="00EB5D55">
        <w:rPr>
          <w:rFonts w:asciiTheme="minorHAnsi" w:hAnsiTheme="minorHAnsi"/>
          <w:color w:val="1F497D" w:themeColor="text2"/>
        </w:rPr>
        <w:t xml:space="preserve"> </w:t>
      </w:r>
      <w:bookmarkEnd w:id="3"/>
      <w:r w:rsidR="00EA39A1">
        <w:rPr>
          <w:rFonts w:asciiTheme="minorHAnsi" w:hAnsiTheme="minorHAnsi"/>
          <w:color w:val="1F497D" w:themeColor="text2"/>
        </w:rPr>
        <w:t>gains in</w:t>
      </w:r>
      <w:r w:rsidR="00CB3E23">
        <w:rPr>
          <w:rFonts w:asciiTheme="minorHAnsi" w:hAnsiTheme="minorHAnsi"/>
          <w:color w:val="1F497D" w:themeColor="text2"/>
        </w:rPr>
        <w:t xml:space="preserve"> older residents</w:t>
      </w:r>
      <w:r w:rsidR="000070A9">
        <w:rPr>
          <w:rFonts w:asciiTheme="minorHAnsi" w:hAnsiTheme="minorHAnsi"/>
          <w:color w:val="1F497D" w:themeColor="text2"/>
        </w:rPr>
        <w:t xml:space="preserve"> </w:t>
      </w:r>
    </w:p>
    <w:p w14:paraId="153A206B" w14:textId="4409245A" w:rsidR="0086490C" w:rsidRDefault="009A776F" w:rsidP="00D61770">
      <w:pPr>
        <w:jc w:val="both"/>
        <w:rPr>
          <w:rFonts w:ascii="Calibri" w:hAnsi="Calibri" w:cs="Lucida Sans Unicode"/>
          <w:sz w:val="22"/>
        </w:rPr>
      </w:pPr>
      <w:r>
        <w:rPr>
          <w:rFonts w:ascii="Calibri" w:hAnsi="Calibri" w:cs="Lucida Sans Unicode"/>
          <w:sz w:val="22"/>
        </w:rPr>
        <w:t>C</w:t>
      </w:r>
      <w:r w:rsidR="008772FC" w:rsidRPr="004E50E7">
        <w:rPr>
          <w:rFonts w:ascii="Calibri" w:hAnsi="Calibri" w:cs="Lucida Sans Unicode"/>
          <w:sz w:val="22"/>
        </w:rPr>
        <w:t>ensus data regarding changes in the age distribution from 1990 to 20</w:t>
      </w:r>
      <w:r w:rsidR="00C32CE3">
        <w:rPr>
          <w:rFonts w:ascii="Calibri" w:hAnsi="Calibri" w:cs="Lucida Sans Unicode"/>
          <w:sz w:val="22"/>
        </w:rPr>
        <w:t>20</w:t>
      </w:r>
      <w:r w:rsidR="008772FC">
        <w:rPr>
          <w:rFonts w:ascii="Calibri" w:hAnsi="Calibri" w:cs="Lucida Sans Unicode"/>
          <w:sz w:val="22"/>
        </w:rPr>
        <w:t xml:space="preserve"> is pr</w:t>
      </w:r>
      <w:r w:rsidR="008772FC" w:rsidRPr="004E50E7">
        <w:rPr>
          <w:rFonts w:ascii="Calibri" w:hAnsi="Calibri" w:cs="Lucida Sans Unicode"/>
          <w:sz w:val="22"/>
        </w:rPr>
        <w:t xml:space="preserve">ovided in Table </w:t>
      </w:r>
      <w:r w:rsidR="0086490C">
        <w:rPr>
          <w:rFonts w:ascii="Calibri" w:hAnsi="Calibri" w:cs="Lucida Sans Unicode"/>
          <w:sz w:val="22"/>
        </w:rPr>
        <w:t>III-3</w:t>
      </w:r>
      <w:r w:rsidR="008772FC" w:rsidRPr="004E50E7">
        <w:rPr>
          <w:rFonts w:ascii="Calibri" w:hAnsi="Calibri" w:cs="Lucida Sans Unicode"/>
          <w:sz w:val="22"/>
        </w:rPr>
        <w:t xml:space="preserve"> and visually presented in Figure</w:t>
      </w:r>
      <w:r w:rsidR="0086490C">
        <w:rPr>
          <w:rFonts w:ascii="Calibri" w:hAnsi="Calibri" w:cs="Lucida Sans Unicode"/>
          <w:sz w:val="22"/>
        </w:rPr>
        <w:t xml:space="preserve"> III-</w:t>
      </w:r>
      <w:r w:rsidR="00E535C9">
        <w:rPr>
          <w:rFonts w:ascii="Calibri" w:hAnsi="Calibri" w:cs="Lucida Sans Unicode"/>
          <w:sz w:val="22"/>
        </w:rPr>
        <w:t>2</w:t>
      </w:r>
      <w:r w:rsidR="008772FC" w:rsidRPr="004E50E7">
        <w:rPr>
          <w:rFonts w:ascii="Calibri" w:hAnsi="Calibri" w:cs="Lucida Sans Unicode"/>
          <w:sz w:val="22"/>
        </w:rPr>
        <w:t>.</w:t>
      </w:r>
      <w:r>
        <w:rPr>
          <w:rFonts w:ascii="Calibri" w:hAnsi="Calibri" w:cs="Lucida Sans Unicode"/>
          <w:sz w:val="22"/>
        </w:rPr>
        <w:t xml:space="preserve"> </w:t>
      </w:r>
      <w:r w:rsidR="007313FD">
        <w:rPr>
          <w:rFonts w:ascii="Calibri" w:hAnsi="Calibri" w:cs="Lucida Sans Unicode"/>
          <w:sz w:val="22"/>
        </w:rPr>
        <w:t>The</w:t>
      </w:r>
      <w:r>
        <w:rPr>
          <w:rFonts w:ascii="Calibri" w:hAnsi="Calibri" w:cs="Lucida Sans Unicode"/>
          <w:sz w:val="22"/>
        </w:rPr>
        <w:t xml:space="preserve"> 2020 census data </w:t>
      </w:r>
      <w:r w:rsidR="007313FD">
        <w:rPr>
          <w:rFonts w:ascii="Calibri" w:hAnsi="Calibri" w:cs="Lucida Sans Unicode"/>
          <w:sz w:val="22"/>
        </w:rPr>
        <w:t>identified a</w:t>
      </w:r>
      <w:r w:rsidR="00E67B23">
        <w:rPr>
          <w:rFonts w:ascii="Calibri" w:hAnsi="Calibri" w:cs="Lucida Sans Unicode"/>
          <w:sz w:val="22"/>
        </w:rPr>
        <w:t xml:space="preserve"> total population figure of 32,091 residents,</w:t>
      </w:r>
      <w:r w:rsidR="007313FD">
        <w:rPr>
          <w:rFonts w:ascii="Calibri" w:hAnsi="Calibri" w:cs="Lucida Sans Unicode"/>
          <w:sz w:val="22"/>
        </w:rPr>
        <w:t xml:space="preserve"> including</w:t>
      </w:r>
      <w:r w:rsidR="00E67B23">
        <w:rPr>
          <w:rFonts w:ascii="Calibri" w:hAnsi="Calibri" w:cs="Lucida Sans Unicode"/>
          <w:sz w:val="22"/>
        </w:rPr>
        <w:t xml:space="preserve"> 8,439</w:t>
      </w:r>
      <w:r w:rsidR="00DB7A89">
        <w:rPr>
          <w:rFonts w:ascii="Calibri" w:hAnsi="Calibri" w:cs="Lucida Sans Unicode"/>
          <w:sz w:val="22"/>
        </w:rPr>
        <w:t xml:space="preserve"> residents</w:t>
      </w:r>
      <w:r w:rsidR="00E67B23">
        <w:rPr>
          <w:rFonts w:ascii="Calibri" w:hAnsi="Calibri" w:cs="Lucida Sans Unicode"/>
          <w:sz w:val="22"/>
        </w:rPr>
        <w:t xml:space="preserve"> as being under age 18</w:t>
      </w:r>
      <w:r w:rsidR="001B78D3">
        <w:rPr>
          <w:rFonts w:ascii="Calibri" w:hAnsi="Calibri" w:cs="Lucida Sans Unicode"/>
          <w:sz w:val="22"/>
        </w:rPr>
        <w:t>,</w:t>
      </w:r>
      <w:r w:rsidR="00E67B23">
        <w:rPr>
          <w:rFonts w:ascii="Calibri" w:hAnsi="Calibri" w:cs="Lucida Sans Unicode"/>
          <w:sz w:val="22"/>
        </w:rPr>
        <w:t xml:space="preserve"> </w:t>
      </w:r>
      <w:r w:rsidR="00C32CE3">
        <w:rPr>
          <w:rFonts w:ascii="Calibri" w:hAnsi="Calibri" w:cs="Lucida Sans Unicode"/>
          <w:sz w:val="22"/>
        </w:rPr>
        <w:t>close to</w:t>
      </w:r>
      <w:r w:rsidR="00E67B23">
        <w:rPr>
          <w:rFonts w:ascii="Calibri" w:hAnsi="Calibri" w:cs="Lucida Sans Unicode"/>
          <w:sz w:val="22"/>
        </w:rPr>
        <w:t xml:space="preserve"> the 8,</w:t>
      </w:r>
      <w:r w:rsidR="00C32CE3">
        <w:rPr>
          <w:rFonts w:ascii="Calibri" w:hAnsi="Calibri" w:cs="Lucida Sans Unicode"/>
          <w:sz w:val="22"/>
        </w:rPr>
        <w:t>496</w:t>
      </w:r>
      <w:r w:rsidR="00E67B23">
        <w:rPr>
          <w:rFonts w:ascii="Calibri" w:hAnsi="Calibri" w:cs="Lucida Sans Unicode"/>
          <w:sz w:val="22"/>
        </w:rPr>
        <w:t xml:space="preserve"> children indicated in the 20</w:t>
      </w:r>
      <w:r w:rsidR="00C32CE3">
        <w:rPr>
          <w:rFonts w:ascii="Calibri" w:hAnsi="Calibri" w:cs="Lucida Sans Unicode"/>
          <w:sz w:val="22"/>
        </w:rPr>
        <w:t>20</w:t>
      </w:r>
      <w:r w:rsidR="00E67B23">
        <w:rPr>
          <w:rFonts w:ascii="Calibri" w:hAnsi="Calibri" w:cs="Lucida Sans Unicode"/>
          <w:sz w:val="22"/>
        </w:rPr>
        <w:t xml:space="preserve"> census estimates</w:t>
      </w:r>
      <w:r w:rsidR="00C32CE3">
        <w:rPr>
          <w:rFonts w:ascii="Calibri" w:hAnsi="Calibri" w:cs="Lucida Sans Unicode"/>
          <w:sz w:val="22"/>
        </w:rPr>
        <w:t xml:space="preserve"> based on survey data</w:t>
      </w:r>
      <w:r w:rsidR="00E67B23">
        <w:rPr>
          <w:rFonts w:ascii="Calibri" w:hAnsi="Calibri" w:cs="Lucida Sans Unicode"/>
          <w:sz w:val="22"/>
        </w:rPr>
        <w:t xml:space="preserve">. </w:t>
      </w:r>
      <w:r w:rsidR="008772FC">
        <w:rPr>
          <w:rFonts w:ascii="Calibri" w:hAnsi="Calibri" w:cs="Lucida Sans Unicode"/>
          <w:sz w:val="22"/>
        </w:rPr>
        <w:t>I</w:t>
      </w:r>
      <w:r w:rsidR="008772FC" w:rsidRPr="004E50E7">
        <w:rPr>
          <w:rFonts w:ascii="Calibri" w:hAnsi="Calibri" w:cs="Lucida Sans Unicode"/>
          <w:sz w:val="22"/>
        </w:rPr>
        <w:t>n general</w:t>
      </w:r>
      <w:r w:rsidR="008772FC">
        <w:rPr>
          <w:rFonts w:ascii="Calibri" w:hAnsi="Calibri" w:cs="Lucida Sans Unicode"/>
          <w:sz w:val="22"/>
        </w:rPr>
        <w:t>,</w:t>
      </w:r>
      <w:r w:rsidR="008772FC" w:rsidRPr="004E50E7">
        <w:rPr>
          <w:rFonts w:ascii="Calibri" w:hAnsi="Calibri" w:cs="Lucida Sans Unicode"/>
          <w:sz w:val="22"/>
        </w:rPr>
        <w:t xml:space="preserve"> </w:t>
      </w:r>
      <w:r w:rsidR="008772FC">
        <w:rPr>
          <w:rFonts w:ascii="Calibri" w:hAnsi="Calibri" w:cs="Lucida Sans Unicode"/>
          <w:sz w:val="22"/>
        </w:rPr>
        <w:t xml:space="preserve">trends show </w:t>
      </w:r>
      <w:r w:rsidR="0001506D">
        <w:rPr>
          <w:rFonts w:ascii="Calibri" w:hAnsi="Calibri" w:cs="Lucida Sans Unicode"/>
          <w:sz w:val="22"/>
        </w:rPr>
        <w:t xml:space="preserve">an </w:t>
      </w:r>
      <w:r w:rsidR="008772FC">
        <w:rPr>
          <w:rFonts w:ascii="Calibri" w:hAnsi="Calibri" w:cs="Lucida Sans Unicode"/>
          <w:sz w:val="22"/>
        </w:rPr>
        <w:t>overall</w:t>
      </w:r>
      <w:r w:rsidR="008772FC" w:rsidRPr="004E50E7">
        <w:rPr>
          <w:rFonts w:ascii="Calibri" w:hAnsi="Calibri" w:cs="Lucida Sans Unicode"/>
          <w:sz w:val="22"/>
        </w:rPr>
        <w:t xml:space="preserve"> increase in </w:t>
      </w:r>
      <w:r w:rsidR="00EA39A1">
        <w:rPr>
          <w:rFonts w:ascii="Calibri" w:hAnsi="Calibri" w:cs="Lucida Sans Unicode"/>
          <w:sz w:val="22"/>
        </w:rPr>
        <w:t>children accompanied</w:t>
      </w:r>
      <w:r w:rsidR="00462979">
        <w:rPr>
          <w:rFonts w:ascii="Calibri" w:hAnsi="Calibri" w:cs="Lucida Sans Unicode"/>
          <w:sz w:val="22"/>
        </w:rPr>
        <w:t xml:space="preserve"> </w:t>
      </w:r>
      <w:r w:rsidR="00EA39A1">
        <w:rPr>
          <w:rFonts w:ascii="Calibri" w:hAnsi="Calibri" w:cs="Lucida Sans Unicode"/>
          <w:sz w:val="22"/>
        </w:rPr>
        <w:t xml:space="preserve">by decreases in </w:t>
      </w:r>
      <w:r w:rsidR="00462979">
        <w:rPr>
          <w:rFonts w:ascii="Calibri" w:hAnsi="Calibri" w:cs="Lucida Sans Unicode"/>
          <w:sz w:val="22"/>
        </w:rPr>
        <w:t>younger and middle-aged residents</w:t>
      </w:r>
      <w:r w:rsidR="00E67B23">
        <w:rPr>
          <w:rFonts w:ascii="Calibri" w:hAnsi="Calibri" w:cs="Lucida Sans Unicode"/>
          <w:sz w:val="22"/>
        </w:rPr>
        <w:t xml:space="preserve"> and gains in older </w:t>
      </w:r>
      <w:r w:rsidR="00462979">
        <w:rPr>
          <w:rFonts w:ascii="Calibri" w:hAnsi="Calibri" w:cs="Lucida Sans Unicode"/>
          <w:sz w:val="22"/>
        </w:rPr>
        <w:t>adults</w:t>
      </w:r>
      <w:r w:rsidR="00E67B23">
        <w:rPr>
          <w:rFonts w:ascii="Calibri" w:hAnsi="Calibri" w:cs="Lucida Sans Unicode"/>
          <w:sz w:val="22"/>
        </w:rPr>
        <w:t xml:space="preserve">. </w:t>
      </w:r>
      <w:r w:rsidR="00EA39A1">
        <w:rPr>
          <w:rFonts w:ascii="Calibri" w:hAnsi="Calibri" w:cs="Lucida Sans Unicode"/>
          <w:sz w:val="22"/>
        </w:rPr>
        <w:t>The aging of the population is also reflected in t</w:t>
      </w:r>
      <w:r w:rsidR="00EA39A1" w:rsidRPr="004E50E7">
        <w:rPr>
          <w:rFonts w:ascii="Calibri" w:hAnsi="Calibri" w:cs="Lucida Sans Unicode"/>
          <w:sz w:val="22"/>
        </w:rPr>
        <w:t xml:space="preserve">he median age </w:t>
      </w:r>
      <w:r w:rsidR="00EA39A1">
        <w:rPr>
          <w:rFonts w:ascii="Calibri" w:hAnsi="Calibri" w:cs="Lucida Sans Unicode"/>
          <w:sz w:val="22"/>
        </w:rPr>
        <w:t>which climbed</w:t>
      </w:r>
      <w:r w:rsidR="00EA39A1" w:rsidRPr="004E50E7">
        <w:rPr>
          <w:rFonts w:ascii="Calibri" w:hAnsi="Calibri" w:cs="Lucida Sans Unicode"/>
          <w:sz w:val="22"/>
        </w:rPr>
        <w:t xml:space="preserve"> from 38.9</w:t>
      </w:r>
      <w:r w:rsidR="00EA39A1">
        <w:rPr>
          <w:rFonts w:ascii="Calibri" w:hAnsi="Calibri" w:cs="Lucida Sans Unicode"/>
          <w:sz w:val="22"/>
        </w:rPr>
        <w:t xml:space="preserve"> years in 1990</w:t>
      </w:r>
      <w:r w:rsidR="00EA39A1" w:rsidRPr="004E50E7">
        <w:rPr>
          <w:rFonts w:ascii="Calibri" w:hAnsi="Calibri" w:cs="Lucida Sans Unicode"/>
          <w:sz w:val="22"/>
        </w:rPr>
        <w:t xml:space="preserve"> to 43.0 by 2010,</w:t>
      </w:r>
      <w:r w:rsidR="00EA39A1">
        <w:rPr>
          <w:rFonts w:ascii="Calibri" w:hAnsi="Calibri" w:cs="Lucida Sans Unicode"/>
          <w:sz w:val="22"/>
        </w:rPr>
        <w:t xml:space="preserve"> </w:t>
      </w:r>
      <w:r w:rsidR="00A973F1">
        <w:rPr>
          <w:rFonts w:ascii="Calibri" w:hAnsi="Calibri" w:cs="Lucida Sans Unicode"/>
          <w:sz w:val="22"/>
        </w:rPr>
        <w:t>and then</w:t>
      </w:r>
      <w:r w:rsidR="00EA39A1">
        <w:rPr>
          <w:rFonts w:ascii="Calibri" w:hAnsi="Calibri" w:cs="Lucida Sans Unicode"/>
          <w:sz w:val="22"/>
        </w:rPr>
        <w:t xml:space="preserve"> to 43.</w:t>
      </w:r>
      <w:r w:rsidR="00C32CE3">
        <w:rPr>
          <w:rFonts w:ascii="Calibri" w:hAnsi="Calibri" w:cs="Lucida Sans Unicode"/>
          <w:sz w:val="22"/>
        </w:rPr>
        <w:t>9</w:t>
      </w:r>
      <w:r w:rsidR="00EA39A1">
        <w:rPr>
          <w:rFonts w:ascii="Calibri" w:hAnsi="Calibri" w:cs="Lucida Sans Unicode"/>
          <w:sz w:val="22"/>
        </w:rPr>
        <w:t xml:space="preserve"> years in 20</w:t>
      </w:r>
      <w:r w:rsidR="00C32CE3">
        <w:rPr>
          <w:rFonts w:ascii="Calibri" w:hAnsi="Calibri" w:cs="Lucida Sans Unicode"/>
          <w:sz w:val="22"/>
        </w:rPr>
        <w:t>20</w:t>
      </w:r>
      <w:r w:rsidR="00EA39A1">
        <w:rPr>
          <w:rFonts w:ascii="Calibri" w:hAnsi="Calibri" w:cs="Lucida Sans Unicode"/>
          <w:sz w:val="22"/>
        </w:rPr>
        <w:t>, largely reflective of overall</w:t>
      </w:r>
      <w:r w:rsidR="00EA39A1" w:rsidRPr="004E50E7">
        <w:rPr>
          <w:rFonts w:ascii="Calibri" w:hAnsi="Calibri" w:cs="Lucida Sans Unicode"/>
          <w:sz w:val="22"/>
        </w:rPr>
        <w:t xml:space="preserve"> increase</w:t>
      </w:r>
      <w:r w:rsidR="00EA39A1">
        <w:rPr>
          <w:rFonts w:ascii="Calibri" w:hAnsi="Calibri" w:cs="Lucida Sans Unicode"/>
          <w:sz w:val="22"/>
        </w:rPr>
        <w:t>s</w:t>
      </w:r>
      <w:r w:rsidR="00EA39A1" w:rsidRPr="004E50E7">
        <w:rPr>
          <w:rFonts w:ascii="Calibri" w:hAnsi="Calibri" w:cs="Lucida Sans Unicode"/>
          <w:sz w:val="22"/>
        </w:rPr>
        <w:t xml:space="preserve"> in the </w:t>
      </w:r>
      <w:r w:rsidR="004A6AA9">
        <w:rPr>
          <w:rFonts w:ascii="Calibri" w:hAnsi="Calibri" w:cs="Lucida Sans Unicode"/>
          <w:sz w:val="22"/>
        </w:rPr>
        <w:t>6</w:t>
      </w:r>
      <w:r w:rsidR="00EA39A1" w:rsidRPr="004E50E7">
        <w:rPr>
          <w:rFonts w:ascii="Calibri" w:hAnsi="Calibri" w:cs="Lucida Sans Unicode"/>
          <w:sz w:val="22"/>
        </w:rPr>
        <w:t xml:space="preserve">5 to </w:t>
      </w:r>
      <w:r w:rsidR="00C32CE3">
        <w:rPr>
          <w:rFonts w:ascii="Calibri" w:hAnsi="Calibri" w:cs="Lucida Sans Unicode"/>
          <w:sz w:val="22"/>
        </w:rPr>
        <w:t>7</w:t>
      </w:r>
      <w:r w:rsidR="00EA39A1" w:rsidRPr="004E50E7">
        <w:rPr>
          <w:rFonts w:ascii="Calibri" w:hAnsi="Calibri" w:cs="Lucida Sans Unicode"/>
          <w:sz w:val="22"/>
        </w:rPr>
        <w:t xml:space="preserve">4 age range.  The </w:t>
      </w:r>
      <w:r w:rsidR="00EA39A1">
        <w:rPr>
          <w:rFonts w:ascii="Calibri" w:hAnsi="Calibri" w:cs="Lucida Sans Unicode"/>
          <w:sz w:val="22"/>
        </w:rPr>
        <w:t>20</w:t>
      </w:r>
      <w:r w:rsidR="00C32CE3">
        <w:rPr>
          <w:rFonts w:ascii="Calibri" w:hAnsi="Calibri" w:cs="Lucida Sans Unicode"/>
          <w:sz w:val="22"/>
        </w:rPr>
        <w:t>20</w:t>
      </w:r>
      <w:r w:rsidR="00EA39A1">
        <w:rPr>
          <w:rFonts w:ascii="Calibri" w:hAnsi="Calibri" w:cs="Lucida Sans Unicode"/>
          <w:sz w:val="22"/>
        </w:rPr>
        <w:t xml:space="preserve"> </w:t>
      </w:r>
      <w:r w:rsidR="00EA39A1" w:rsidRPr="004E50E7">
        <w:rPr>
          <w:rFonts w:ascii="Calibri" w:hAnsi="Calibri" w:cs="Lucida Sans Unicode"/>
          <w:sz w:val="22"/>
        </w:rPr>
        <w:t>median age</w:t>
      </w:r>
      <w:r w:rsidR="00EA39A1">
        <w:rPr>
          <w:rFonts w:ascii="Calibri" w:hAnsi="Calibri" w:cs="Lucida Sans Unicode"/>
          <w:sz w:val="22"/>
        </w:rPr>
        <w:t xml:space="preserve"> of 43.5 years</w:t>
      </w:r>
      <w:r w:rsidR="00EA39A1" w:rsidRPr="004E50E7">
        <w:rPr>
          <w:rFonts w:ascii="Calibri" w:hAnsi="Calibri" w:cs="Lucida Sans Unicode"/>
          <w:sz w:val="22"/>
        </w:rPr>
        <w:t xml:space="preserve"> is higher than that of </w:t>
      </w:r>
      <w:r w:rsidR="007313FD">
        <w:rPr>
          <w:rFonts w:ascii="Calibri" w:hAnsi="Calibri" w:cs="Lucida Sans Unicode"/>
          <w:sz w:val="22"/>
        </w:rPr>
        <w:t xml:space="preserve"> Norfolk C</w:t>
      </w:r>
      <w:r w:rsidR="00EA39A1" w:rsidRPr="004E50E7">
        <w:rPr>
          <w:rFonts w:ascii="Calibri" w:hAnsi="Calibri" w:cs="Lucida Sans Unicode"/>
          <w:sz w:val="22"/>
        </w:rPr>
        <w:t xml:space="preserve">ounty at </w:t>
      </w:r>
      <w:r w:rsidR="00DB7A89">
        <w:rPr>
          <w:rFonts w:ascii="Calibri" w:hAnsi="Calibri" w:cs="Lucida Sans Unicode"/>
          <w:sz w:val="22"/>
        </w:rPr>
        <w:t>40.</w:t>
      </w:r>
      <w:r w:rsidR="00771CEA">
        <w:rPr>
          <w:rFonts w:ascii="Calibri" w:hAnsi="Calibri" w:cs="Lucida Sans Unicode"/>
          <w:sz w:val="22"/>
        </w:rPr>
        <w:t>9</w:t>
      </w:r>
      <w:r w:rsidR="00EA39A1" w:rsidRPr="004E50E7">
        <w:rPr>
          <w:rFonts w:ascii="Calibri" w:hAnsi="Calibri" w:cs="Lucida Sans Unicode"/>
          <w:sz w:val="22"/>
        </w:rPr>
        <w:t xml:space="preserve"> years</w:t>
      </w:r>
      <w:r w:rsidR="00EA39A1">
        <w:rPr>
          <w:rFonts w:ascii="Calibri" w:hAnsi="Calibri" w:cs="Lucida Sans Unicode"/>
          <w:sz w:val="22"/>
        </w:rPr>
        <w:t xml:space="preserve"> or the state at </w:t>
      </w:r>
      <w:r w:rsidR="00DB7A89">
        <w:rPr>
          <w:rFonts w:ascii="Calibri" w:hAnsi="Calibri" w:cs="Lucida Sans Unicode"/>
          <w:sz w:val="22"/>
        </w:rPr>
        <w:t>39.</w:t>
      </w:r>
      <w:r w:rsidR="0051220A">
        <w:rPr>
          <w:rFonts w:ascii="Calibri" w:hAnsi="Calibri" w:cs="Lucida Sans Unicode"/>
          <w:sz w:val="22"/>
        </w:rPr>
        <w:t>6</w:t>
      </w:r>
      <w:r w:rsidR="00EA39A1">
        <w:rPr>
          <w:rFonts w:ascii="Calibri" w:hAnsi="Calibri" w:cs="Lucida Sans Unicode"/>
          <w:sz w:val="22"/>
        </w:rPr>
        <w:t xml:space="preserve"> years.</w:t>
      </w:r>
      <w:r w:rsidR="00EA39A1" w:rsidRPr="004E50E7">
        <w:rPr>
          <w:rFonts w:ascii="Calibri" w:hAnsi="Calibri" w:cs="Lucida Sans Unicode"/>
          <w:sz w:val="22"/>
        </w:rPr>
        <w:t xml:space="preserve">   </w:t>
      </w:r>
    </w:p>
    <w:p w14:paraId="6351BA47" w14:textId="77777777" w:rsidR="004A6AA9" w:rsidRDefault="004A6AA9" w:rsidP="008772FC">
      <w:pPr>
        <w:jc w:val="center"/>
        <w:rPr>
          <w:rFonts w:ascii="Calibri" w:hAnsi="Calibri" w:cs="Lucida Sans Unicode"/>
          <w:b/>
          <w:bCs/>
          <w:sz w:val="22"/>
        </w:rPr>
      </w:pPr>
    </w:p>
    <w:p w14:paraId="4CAEDEE2" w14:textId="2DC46B36" w:rsidR="008772FC" w:rsidRPr="004E50E7" w:rsidRDefault="008772FC" w:rsidP="008772FC">
      <w:pPr>
        <w:jc w:val="center"/>
        <w:rPr>
          <w:rFonts w:ascii="Calibri" w:hAnsi="Calibri" w:cs="Lucida Sans Unicode"/>
          <w:b/>
          <w:bCs/>
          <w:sz w:val="22"/>
        </w:rPr>
      </w:pPr>
      <w:r>
        <w:rPr>
          <w:rFonts w:ascii="Calibri" w:hAnsi="Calibri" w:cs="Lucida Sans Unicode"/>
          <w:b/>
          <w:bCs/>
          <w:sz w:val="22"/>
        </w:rPr>
        <w:t>T</w:t>
      </w:r>
      <w:r w:rsidRPr="004E50E7">
        <w:rPr>
          <w:rFonts w:ascii="Calibri" w:hAnsi="Calibri" w:cs="Lucida Sans Unicode"/>
          <w:b/>
          <w:bCs/>
          <w:sz w:val="22"/>
        </w:rPr>
        <w:t>able</w:t>
      </w:r>
      <w:r w:rsidR="0086490C">
        <w:rPr>
          <w:rFonts w:ascii="Calibri" w:hAnsi="Calibri" w:cs="Lucida Sans Unicode"/>
          <w:b/>
          <w:bCs/>
          <w:sz w:val="22"/>
        </w:rPr>
        <w:t xml:space="preserve"> III-3</w:t>
      </w:r>
      <w:r>
        <w:rPr>
          <w:rFonts w:ascii="Calibri" w:hAnsi="Calibri" w:cs="Lucida Sans Unicode"/>
          <w:b/>
          <w:bCs/>
          <w:sz w:val="22"/>
        </w:rPr>
        <w:t xml:space="preserve">: </w:t>
      </w:r>
      <w:r w:rsidRPr="004E50E7">
        <w:rPr>
          <w:rFonts w:ascii="Calibri" w:hAnsi="Calibri" w:cs="Lucida Sans Unicode"/>
          <w:b/>
          <w:bCs/>
          <w:sz w:val="22"/>
        </w:rPr>
        <w:t>Age Distribution, 1990 to 20</w:t>
      </w:r>
      <w:r w:rsidR="001079FA">
        <w:rPr>
          <w:rFonts w:ascii="Calibri" w:hAnsi="Calibri" w:cs="Lucida Sans Unicode"/>
          <w:b/>
          <w:bCs/>
          <w:sz w:val="22"/>
        </w:rPr>
        <w:t>20</w:t>
      </w:r>
    </w:p>
    <w:tbl>
      <w:tblPr>
        <w:tblW w:w="9090" w:type="dxa"/>
        <w:tblInd w:w="284" w:type="dxa"/>
        <w:tblLook w:val="0000" w:firstRow="0" w:lastRow="0" w:firstColumn="0" w:lastColumn="0" w:noHBand="0" w:noVBand="0"/>
      </w:tblPr>
      <w:tblGrid>
        <w:gridCol w:w="1422"/>
        <w:gridCol w:w="985"/>
        <w:gridCol w:w="895"/>
        <w:gridCol w:w="979"/>
        <w:gridCol w:w="979"/>
        <w:gridCol w:w="950"/>
        <w:gridCol w:w="934"/>
        <w:gridCol w:w="956"/>
        <w:gridCol w:w="990"/>
      </w:tblGrid>
      <w:tr w:rsidR="008772FC" w:rsidRPr="004E50E7" w14:paraId="46C5F263" w14:textId="77777777" w:rsidTr="003533DF">
        <w:trPr>
          <w:cantSplit/>
        </w:trPr>
        <w:tc>
          <w:tcPr>
            <w:tcW w:w="1422" w:type="dxa"/>
            <w:vMerge w:val="restart"/>
            <w:tcBorders>
              <w:top w:val="single" w:sz="6" w:space="0" w:color="auto"/>
              <w:left w:val="single" w:sz="6" w:space="0" w:color="auto"/>
              <w:right w:val="single" w:sz="6" w:space="0" w:color="auto"/>
            </w:tcBorders>
          </w:tcPr>
          <w:p w14:paraId="6BA95A0B" w14:textId="77777777" w:rsidR="008772FC" w:rsidRPr="00E535C9" w:rsidRDefault="008772FC" w:rsidP="008F2513">
            <w:pPr>
              <w:pStyle w:val="Heading8"/>
              <w:rPr>
                <w:rFonts w:ascii="Calibri" w:hAnsi="Calibri" w:cs="Lucida Sans Unicode"/>
                <w:b/>
                <w:bCs/>
                <w:sz w:val="22"/>
                <w:szCs w:val="22"/>
              </w:rPr>
            </w:pPr>
            <w:r w:rsidRPr="00E535C9">
              <w:rPr>
                <w:rFonts w:ascii="Calibri" w:hAnsi="Calibri" w:cs="Lucida Sans Unicode"/>
                <w:b/>
                <w:bCs/>
                <w:sz w:val="22"/>
                <w:szCs w:val="22"/>
              </w:rPr>
              <w:t>Age Range</w:t>
            </w:r>
          </w:p>
        </w:tc>
        <w:tc>
          <w:tcPr>
            <w:tcW w:w="1880" w:type="dxa"/>
            <w:gridSpan w:val="2"/>
            <w:tcBorders>
              <w:top w:val="single" w:sz="6" w:space="0" w:color="auto"/>
              <w:left w:val="single" w:sz="6" w:space="0" w:color="auto"/>
              <w:bottom w:val="single" w:sz="6" w:space="0" w:color="auto"/>
              <w:right w:val="single" w:sz="6" w:space="0" w:color="auto"/>
            </w:tcBorders>
          </w:tcPr>
          <w:p w14:paraId="5AF03EF2" w14:textId="77777777" w:rsidR="008772FC" w:rsidRPr="004E50E7" w:rsidRDefault="008772FC" w:rsidP="008F2513">
            <w:pPr>
              <w:ind w:right="-720"/>
              <w:jc w:val="center"/>
              <w:rPr>
                <w:rFonts w:ascii="Calibri" w:hAnsi="Calibri" w:cs="Lucida Sans Unicode"/>
                <w:b/>
                <w:bCs/>
              </w:rPr>
            </w:pPr>
            <w:r w:rsidRPr="004E50E7">
              <w:rPr>
                <w:rFonts w:ascii="Calibri" w:hAnsi="Calibri" w:cs="Lucida Sans Unicode"/>
                <w:b/>
                <w:bCs/>
                <w:sz w:val="22"/>
                <w:szCs w:val="22"/>
              </w:rPr>
              <w:t>1990</w:t>
            </w:r>
          </w:p>
        </w:tc>
        <w:tc>
          <w:tcPr>
            <w:tcW w:w="1958" w:type="dxa"/>
            <w:gridSpan w:val="2"/>
            <w:tcBorders>
              <w:top w:val="single" w:sz="6" w:space="0" w:color="auto"/>
              <w:left w:val="single" w:sz="6" w:space="0" w:color="auto"/>
              <w:bottom w:val="single" w:sz="6" w:space="0" w:color="auto"/>
              <w:right w:val="single" w:sz="6" w:space="0" w:color="auto"/>
            </w:tcBorders>
          </w:tcPr>
          <w:p w14:paraId="4DABB9EE" w14:textId="77777777" w:rsidR="008772FC" w:rsidRPr="004E50E7" w:rsidRDefault="008772FC" w:rsidP="008F2513">
            <w:pPr>
              <w:ind w:right="-720"/>
              <w:jc w:val="center"/>
              <w:rPr>
                <w:rFonts w:ascii="Calibri" w:hAnsi="Calibri" w:cs="Lucida Sans Unicode"/>
                <w:b/>
                <w:bCs/>
              </w:rPr>
            </w:pPr>
            <w:r w:rsidRPr="004E50E7">
              <w:rPr>
                <w:rFonts w:ascii="Calibri" w:hAnsi="Calibri" w:cs="Lucida Sans Unicode"/>
                <w:b/>
                <w:bCs/>
                <w:sz w:val="22"/>
                <w:szCs w:val="22"/>
              </w:rPr>
              <w:t>2000</w:t>
            </w:r>
          </w:p>
        </w:tc>
        <w:tc>
          <w:tcPr>
            <w:tcW w:w="1884" w:type="dxa"/>
            <w:gridSpan w:val="2"/>
            <w:tcBorders>
              <w:top w:val="single" w:sz="4" w:space="0" w:color="auto"/>
              <w:bottom w:val="single" w:sz="4" w:space="0" w:color="auto"/>
              <w:right w:val="single" w:sz="4" w:space="0" w:color="auto"/>
            </w:tcBorders>
            <w:shd w:val="clear" w:color="auto" w:fill="auto"/>
          </w:tcPr>
          <w:p w14:paraId="5008CE81" w14:textId="77777777" w:rsidR="008772FC" w:rsidRPr="003B38D6" w:rsidRDefault="008772FC" w:rsidP="008F2513">
            <w:pPr>
              <w:jc w:val="center"/>
              <w:rPr>
                <w:rFonts w:ascii="Calibri" w:hAnsi="Calibri" w:cs="Lucida Sans Unicode"/>
                <w:b/>
                <w:bCs/>
              </w:rPr>
            </w:pPr>
            <w:r w:rsidRPr="003B38D6">
              <w:rPr>
                <w:rFonts w:ascii="Calibri" w:hAnsi="Calibri" w:cs="Lucida Sans Unicode"/>
                <w:b/>
                <w:bCs/>
                <w:sz w:val="22"/>
                <w:szCs w:val="22"/>
              </w:rPr>
              <w:t>2010</w:t>
            </w:r>
          </w:p>
        </w:tc>
        <w:tc>
          <w:tcPr>
            <w:tcW w:w="1946" w:type="dxa"/>
            <w:gridSpan w:val="2"/>
            <w:tcBorders>
              <w:top w:val="single" w:sz="4" w:space="0" w:color="auto"/>
              <w:bottom w:val="single" w:sz="4" w:space="0" w:color="auto"/>
              <w:right w:val="single" w:sz="4" w:space="0" w:color="auto"/>
            </w:tcBorders>
            <w:shd w:val="clear" w:color="auto" w:fill="auto"/>
          </w:tcPr>
          <w:p w14:paraId="7CE70C0B" w14:textId="4E31A605" w:rsidR="008772FC" w:rsidRPr="003B38D6" w:rsidRDefault="0086490C" w:rsidP="00CD48ED">
            <w:pPr>
              <w:jc w:val="center"/>
              <w:rPr>
                <w:rFonts w:ascii="Calibri" w:hAnsi="Calibri" w:cs="Lucida Sans Unicode"/>
                <w:b/>
                <w:bCs/>
              </w:rPr>
            </w:pPr>
            <w:r>
              <w:rPr>
                <w:rFonts w:ascii="Calibri" w:hAnsi="Calibri" w:cs="Lucida Sans Unicode"/>
                <w:b/>
                <w:bCs/>
                <w:sz w:val="22"/>
                <w:szCs w:val="22"/>
              </w:rPr>
              <w:t>20</w:t>
            </w:r>
            <w:r w:rsidR="001079FA">
              <w:rPr>
                <w:rFonts w:ascii="Calibri" w:hAnsi="Calibri" w:cs="Lucida Sans Unicode"/>
                <w:b/>
                <w:bCs/>
                <w:sz w:val="22"/>
                <w:szCs w:val="22"/>
              </w:rPr>
              <w:t>20</w:t>
            </w:r>
          </w:p>
        </w:tc>
      </w:tr>
      <w:tr w:rsidR="008772FC" w:rsidRPr="004E50E7" w14:paraId="4BE63E75" w14:textId="77777777" w:rsidTr="003533DF">
        <w:trPr>
          <w:cantSplit/>
        </w:trPr>
        <w:tc>
          <w:tcPr>
            <w:tcW w:w="1422" w:type="dxa"/>
            <w:vMerge/>
            <w:tcBorders>
              <w:left w:val="single" w:sz="6" w:space="0" w:color="auto"/>
              <w:bottom w:val="single" w:sz="6" w:space="0" w:color="auto"/>
              <w:right w:val="single" w:sz="6" w:space="0" w:color="auto"/>
            </w:tcBorders>
            <w:vAlign w:val="center"/>
          </w:tcPr>
          <w:p w14:paraId="32F0AB7D" w14:textId="77777777" w:rsidR="008772FC" w:rsidRPr="004E50E7" w:rsidRDefault="008772FC" w:rsidP="008F2513">
            <w:pPr>
              <w:ind w:right="-720"/>
              <w:rPr>
                <w:rFonts w:ascii="Calibri" w:hAnsi="Calibri" w:cs="Lucida Sans Unicode"/>
                <w:b/>
                <w:bCs/>
              </w:rPr>
            </w:pPr>
          </w:p>
        </w:tc>
        <w:tc>
          <w:tcPr>
            <w:tcW w:w="985" w:type="dxa"/>
            <w:tcBorders>
              <w:top w:val="single" w:sz="6" w:space="0" w:color="auto"/>
              <w:left w:val="single" w:sz="6" w:space="0" w:color="auto"/>
              <w:bottom w:val="single" w:sz="6" w:space="0" w:color="auto"/>
              <w:right w:val="single" w:sz="6" w:space="0" w:color="auto"/>
            </w:tcBorders>
          </w:tcPr>
          <w:p w14:paraId="55EFA6FC" w14:textId="77777777" w:rsidR="008772FC" w:rsidRPr="004E50E7" w:rsidRDefault="008772FC" w:rsidP="008F2513">
            <w:pPr>
              <w:ind w:right="-720"/>
              <w:rPr>
                <w:rFonts w:ascii="Calibri" w:hAnsi="Calibri" w:cs="Lucida Sans Unicode"/>
                <w:b/>
                <w:bCs/>
              </w:rPr>
            </w:pPr>
            <w:r w:rsidRPr="004E50E7">
              <w:rPr>
                <w:rFonts w:ascii="Calibri" w:hAnsi="Calibri" w:cs="Lucida Sans Unicode"/>
                <w:b/>
                <w:bCs/>
                <w:sz w:val="22"/>
                <w:szCs w:val="22"/>
              </w:rPr>
              <w:t>#</w:t>
            </w:r>
          </w:p>
        </w:tc>
        <w:tc>
          <w:tcPr>
            <w:tcW w:w="895" w:type="dxa"/>
            <w:tcBorders>
              <w:top w:val="single" w:sz="6" w:space="0" w:color="auto"/>
              <w:left w:val="single" w:sz="6" w:space="0" w:color="auto"/>
              <w:bottom w:val="single" w:sz="6" w:space="0" w:color="auto"/>
              <w:right w:val="single" w:sz="6" w:space="0" w:color="auto"/>
            </w:tcBorders>
          </w:tcPr>
          <w:p w14:paraId="65E603CF" w14:textId="77777777" w:rsidR="008772FC" w:rsidRPr="004E50E7" w:rsidRDefault="008772FC" w:rsidP="008F2513">
            <w:pPr>
              <w:ind w:right="-720"/>
              <w:rPr>
                <w:rFonts w:ascii="Calibri" w:hAnsi="Calibri" w:cs="Lucida Sans Unicode"/>
                <w:b/>
                <w:bCs/>
              </w:rPr>
            </w:pPr>
            <w:r w:rsidRPr="004E50E7">
              <w:rPr>
                <w:rFonts w:ascii="Calibri" w:hAnsi="Calibri" w:cs="Lucida Sans Unicode"/>
                <w:b/>
                <w:bCs/>
                <w:sz w:val="22"/>
                <w:szCs w:val="22"/>
              </w:rPr>
              <w:t>%</w:t>
            </w:r>
          </w:p>
        </w:tc>
        <w:tc>
          <w:tcPr>
            <w:tcW w:w="979" w:type="dxa"/>
            <w:tcBorders>
              <w:top w:val="single" w:sz="6" w:space="0" w:color="auto"/>
              <w:left w:val="single" w:sz="6" w:space="0" w:color="auto"/>
              <w:bottom w:val="single" w:sz="6" w:space="0" w:color="auto"/>
              <w:right w:val="single" w:sz="6" w:space="0" w:color="auto"/>
            </w:tcBorders>
          </w:tcPr>
          <w:p w14:paraId="442D1C7A" w14:textId="77777777" w:rsidR="008772FC" w:rsidRPr="004E50E7" w:rsidRDefault="008772FC" w:rsidP="008F2513">
            <w:pPr>
              <w:ind w:right="-720"/>
              <w:rPr>
                <w:rFonts w:ascii="Calibri" w:hAnsi="Calibri" w:cs="Lucida Sans Unicode"/>
                <w:b/>
                <w:bCs/>
              </w:rPr>
            </w:pPr>
            <w:r w:rsidRPr="004E50E7">
              <w:rPr>
                <w:rFonts w:ascii="Calibri" w:hAnsi="Calibri" w:cs="Lucida Sans Unicode"/>
                <w:b/>
                <w:bCs/>
                <w:sz w:val="22"/>
                <w:szCs w:val="22"/>
              </w:rPr>
              <w:t>#</w:t>
            </w:r>
          </w:p>
        </w:tc>
        <w:tc>
          <w:tcPr>
            <w:tcW w:w="979" w:type="dxa"/>
            <w:tcBorders>
              <w:top w:val="single" w:sz="6" w:space="0" w:color="auto"/>
              <w:left w:val="single" w:sz="6" w:space="0" w:color="auto"/>
              <w:bottom w:val="single" w:sz="6" w:space="0" w:color="auto"/>
              <w:right w:val="single" w:sz="6" w:space="0" w:color="auto"/>
            </w:tcBorders>
          </w:tcPr>
          <w:p w14:paraId="11AA4CF7" w14:textId="77777777" w:rsidR="008772FC" w:rsidRPr="004E50E7" w:rsidRDefault="008772FC" w:rsidP="008F2513">
            <w:pPr>
              <w:ind w:right="-720"/>
              <w:rPr>
                <w:rFonts w:ascii="Calibri" w:hAnsi="Calibri" w:cs="Lucida Sans Unicode"/>
                <w:b/>
                <w:bCs/>
              </w:rPr>
            </w:pPr>
            <w:r w:rsidRPr="004E50E7">
              <w:rPr>
                <w:rFonts w:ascii="Calibri" w:hAnsi="Calibri" w:cs="Lucida Sans Unicode"/>
                <w:b/>
                <w:bCs/>
                <w:sz w:val="22"/>
                <w:szCs w:val="22"/>
              </w:rPr>
              <w:t>%</w:t>
            </w:r>
          </w:p>
        </w:tc>
        <w:tc>
          <w:tcPr>
            <w:tcW w:w="950" w:type="dxa"/>
            <w:tcBorders>
              <w:top w:val="single" w:sz="4" w:space="0" w:color="auto"/>
              <w:bottom w:val="single" w:sz="4" w:space="0" w:color="auto"/>
              <w:right w:val="single" w:sz="4" w:space="0" w:color="auto"/>
            </w:tcBorders>
            <w:shd w:val="clear" w:color="auto" w:fill="auto"/>
          </w:tcPr>
          <w:p w14:paraId="4D574EA3" w14:textId="77777777" w:rsidR="008772FC" w:rsidRPr="003B38D6" w:rsidRDefault="008772FC" w:rsidP="008F2513">
            <w:pPr>
              <w:rPr>
                <w:rFonts w:ascii="Calibri" w:hAnsi="Calibri" w:cs="Lucida Sans Unicode"/>
                <w:b/>
                <w:bCs/>
              </w:rPr>
            </w:pPr>
            <w:r w:rsidRPr="003B38D6">
              <w:rPr>
                <w:rFonts w:ascii="Calibri" w:hAnsi="Calibri" w:cs="Lucida Sans Unicode"/>
                <w:b/>
                <w:bCs/>
                <w:sz w:val="22"/>
                <w:szCs w:val="22"/>
              </w:rPr>
              <w:t>#</w:t>
            </w:r>
          </w:p>
        </w:tc>
        <w:tc>
          <w:tcPr>
            <w:tcW w:w="934" w:type="dxa"/>
            <w:tcBorders>
              <w:top w:val="single" w:sz="4" w:space="0" w:color="auto"/>
              <w:bottom w:val="single" w:sz="4" w:space="0" w:color="auto"/>
              <w:right w:val="single" w:sz="4" w:space="0" w:color="auto"/>
            </w:tcBorders>
            <w:shd w:val="clear" w:color="auto" w:fill="auto"/>
          </w:tcPr>
          <w:p w14:paraId="297091D1" w14:textId="77777777" w:rsidR="008772FC" w:rsidRPr="003B38D6" w:rsidRDefault="008772FC" w:rsidP="008F2513">
            <w:pPr>
              <w:rPr>
                <w:rFonts w:ascii="Calibri" w:hAnsi="Calibri" w:cs="Lucida Sans Unicode"/>
                <w:b/>
                <w:bCs/>
              </w:rPr>
            </w:pPr>
            <w:r w:rsidRPr="003B38D6">
              <w:rPr>
                <w:rFonts w:ascii="Calibri" w:hAnsi="Calibri" w:cs="Lucida Sans Unicode"/>
                <w:b/>
                <w:bCs/>
                <w:sz w:val="22"/>
                <w:szCs w:val="22"/>
              </w:rPr>
              <w:t>%</w:t>
            </w:r>
          </w:p>
        </w:tc>
        <w:tc>
          <w:tcPr>
            <w:tcW w:w="956" w:type="dxa"/>
            <w:tcBorders>
              <w:top w:val="single" w:sz="4" w:space="0" w:color="auto"/>
              <w:bottom w:val="single" w:sz="4" w:space="0" w:color="auto"/>
              <w:right w:val="single" w:sz="4" w:space="0" w:color="auto"/>
            </w:tcBorders>
            <w:shd w:val="clear" w:color="auto" w:fill="auto"/>
          </w:tcPr>
          <w:p w14:paraId="5E96C728" w14:textId="77777777" w:rsidR="008772FC" w:rsidRPr="003B38D6" w:rsidRDefault="008772FC" w:rsidP="008F2513">
            <w:pPr>
              <w:rPr>
                <w:rFonts w:ascii="Calibri" w:hAnsi="Calibri" w:cs="Lucida Sans Unicode"/>
                <w:b/>
                <w:bCs/>
              </w:rPr>
            </w:pPr>
            <w:r w:rsidRPr="003B38D6">
              <w:rPr>
                <w:rFonts w:ascii="Calibri" w:hAnsi="Calibri" w:cs="Lucida Sans Unicode"/>
                <w:b/>
                <w:bCs/>
                <w:sz w:val="22"/>
                <w:szCs w:val="22"/>
              </w:rPr>
              <w:t>#</w:t>
            </w:r>
          </w:p>
        </w:tc>
        <w:tc>
          <w:tcPr>
            <w:tcW w:w="990" w:type="dxa"/>
            <w:tcBorders>
              <w:top w:val="single" w:sz="4" w:space="0" w:color="auto"/>
              <w:bottom w:val="single" w:sz="4" w:space="0" w:color="auto"/>
              <w:right w:val="single" w:sz="4" w:space="0" w:color="auto"/>
            </w:tcBorders>
            <w:shd w:val="clear" w:color="auto" w:fill="auto"/>
          </w:tcPr>
          <w:p w14:paraId="59632744" w14:textId="77777777" w:rsidR="008772FC" w:rsidRPr="003B38D6" w:rsidRDefault="008772FC" w:rsidP="008F2513">
            <w:pPr>
              <w:rPr>
                <w:rFonts w:ascii="Calibri" w:hAnsi="Calibri" w:cs="Lucida Sans Unicode"/>
                <w:b/>
                <w:bCs/>
              </w:rPr>
            </w:pPr>
            <w:r w:rsidRPr="003B38D6">
              <w:rPr>
                <w:rFonts w:ascii="Calibri" w:hAnsi="Calibri" w:cs="Lucida Sans Unicode"/>
                <w:b/>
                <w:bCs/>
                <w:sz w:val="22"/>
                <w:szCs w:val="22"/>
              </w:rPr>
              <w:t>%</w:t>
            </w:r>
          </w:p>
        </w:tc>
      </w:tr>
      <w:tr w:rsidR="008772FC" w:rsidRPr="004E50E7" w14:paraId="518EFB78"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5AF6F7C7"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Under 5 Years</w:t>
            </w:r>
          </w:p>
        </w:tc>
        <w:tc>
          <w:tcPr>
            <w:tcW w:w="985" w:type="dxa"/>
            <w:tcBorders>
              <w:top w:val="single" w:sz="6" w:space="0" w:color="auto"/>
              <w:left w:val="single" w:sz="6" w:space="0" w:color="auto"/>
              <w:bottom w:val="single" w:sz="6" w:space="0" w:color="auto"/>
              <w:right w:val="single" w:sz="6" w:space="0" w:color="auto"/>
            </w:tcBorders>
          </w:tcPr>
          <w:p w14:paraId="4F8C6F00"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1,860</w:t>
            </w:r>
          </w:p>
        </w:tc>
        <w:tc>
          <w:tcPr>
            <w:tcW w:w="895" w:type="dxa"/>
            <w:tcBorders>
              <w:top w:val="single" w:sz="6" w:space="0" w:color="auto"/>
              <w:left w:val="single" w:sz="6" w:space="0" w:color="auto"/>
              <w:bottom w:val="single" w:sz="6" w:space="0" w:color="auto"/>
              <w:right w:val="single" w:sz="6" w:space="0" w:color="auto"/>
            </w:tcBorders>
          </w:tcPr>
          <w:p w14:paraId="598B2771"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6.7</w:t>
            </w:r>
          </w:p>
        </w:tc>
        <w:tc>
          <w:tcPr>
            <w:tcW w:w="979" w:type="dxa"/>
            <w:tcBorders>
              <w:top w:val="single" w:sz="6" w:space="0" w:color="auto"/>
              <w:left w:val="single" w:sz="6" w:space="0" w:color="auto"/>
              <w:bottom w:val="single" w:sz="6" w:space="0" w:color="auto"/>
              <w:right w:val="single" w:sz="6" w:space="0" w:color="auto"/>
            </w:tcBorders>
          </w:tcPr>
          <w:p w14:paraId="4A750F17"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2,153</w:t>
            </w:r>
          </w:p>
        </w:tc>
        <w:tc>
          <w:tcPr>
            <w:tcW w:w="979" w:type="dxa"/>
            <w:tcBorders>
              <w:top w:val="single" w:sz="6" w:space="0" w:color="auto"/>
              <w:left w:val="single" w:sz="6" w:space="0" w:color="auto"/>
              <w:bottom w:val="single" w:sz="6" w:space="0" w:color="auto"/>
              <w:right w:val="single" w:sz="6" w:space="0" w:color="auto"/>
            </w:tcBorders>
          </w:tcPr>
          <w:p w14:paraId="07D0B48F"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7.4</w:t>
            </w:r>
          </w:p>
        </w:tc>
        <w:tc>
          <w:tcPr>
            <w:tcW w:w="950" w:type="dxa"/>
            <w:tcBorders>
              <w:top w:val="single" w:sz="4" w:space="0" w:color="auto"/>
              <w:bottom w:val="single" w:sz="4" w:space="0" w:color="auto"/>
              <w:right w:val="single" w:sz="4" w:space="0" w:color="auto"/>
            </w:tcBorders>
            <w:shd w:val="clear" w:color="auto" w:fill="auto"/>
          </w:tcPr>
          <w:p w14:paraId="6CAB8533"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1,869</w:t>
            </w:r>
          </w:p>
        </w:tc>
        <w:tc>
          <w:tcPr>
            <w:tcW w:w="934" w:type="dxa"/>
            <w:tcBorders>
              <w:top w:val="single" w:sz="4" w:space="0" w:color="auto"/>
              <w:bottom w:val="single" w:sz="4" w:space="0" w:color="auto"/>
              <w:right w:val="single" w:sz="4" w:space="0" w:color="auto"/>
            </w:tcBorders>
            <w:shd w:val="clear" w:color="auto" w:fill="auto"/>
          </w:tcPr>
          <w:p w14:paraId="0B21D8A9" w14:textId="77777777" w:rsidR="008772FC" w:rsidRPr="003B38D6" w:rsidRDefault="008772FC" w:rsidP="008F2513">
            <w:pPr>
              <w:pStyle w:val="BalloonText"/>
              <w:rPr>
                <w:rFonts w:ascii="Calibri" w:hAnsi="Calibri" w:cs="Lucida Sans Unicode"/>
                <w:sz w:val="20"/>
                <w:szCs w:val="22"/>
              </w:rPr>
            </w:pPr>
            <w:r w:rsidRPr="003B38D6">
              <w:rPr>
                <w:rFonts w:ascii="Calibri" w:hAnsi="Calibri" w:cs="Lucida Sans Unicode"/>
                <w:sz w:val="20"/>
                <w:szCs w:val="22"/>
              </w:rPr>
              <w:t>6.5</w:t>
            </w:r>
          </w:p>
        </w:tc>
        <w:tc>
          <w:tcPr>
            <w:tcW w:w="956" w:type="dxa"/>
            <w:tcBorders>
              <w:top w:val="single" w:sz="4" w:space="0" w:color="auto"/>
              <w:bottom w:val="single" w:sz="4" w:space="0" w:color="auto"/>
              <w:right w:val="single" w:sz="4" w:space="0" w:color="auto"/>
            </w:tcBorders>
            <w:shd w:val="clear" w:color="auto" w:fill="auto"/>
          </w:tcPr>
          <w:p w14:paraId="2C818ADC" w14:textId="7011F17E" w:rsidR="008772FC" w:rsidRPr="003B38D6" w:rsidRDefault="001079FA" w:rsidP="008F2513">
            <w:pPr>
              <w:pStyle w:val="BalloonText"/>
              <w:rPr>
                <w:rFonts w:ascii="Calibri" w:hAnsi="Calibri" w:cs="Lucida Sans Unicode"/>
                <w:sz w:val="20"/>
                <w:szCs w:val="22"/>
              </w:rPr>
            </w:pPr>
            <w:r>
              <w:rPr>
                <w:rFonts w:ascii="Calibri" w:hAnsi="Calibri" w:cs="Lucida Sans Unicode"/>
                <w:sz w:val="20"/>
                <w:szCs w:val="22"/>
              </w:rPr>
              <w:t>1,511</w:t>
            </w:r>
          </w:p>
        </w:tc>
        <w:tc>
          <w:tcPr>
            <w:tcW w:w="990" w:type="dxa"/>
            <w:tcBorders>
              <w:top w:val="single" w:sz="4" w:space="0" w:color="auto"/>
              <w:bottom w:val="single" w:sz="4" w:space="0" w:color="auto"/>
              <w:right w:val="single" w:sz="4" w:space="0" w:color="auto"/>
            </w:tcBorders>
            <w:shd w:val="clear" w:color="auto" w:fill="auto"/>
          </w:tcPr>
          <w:p w14:paraId="00B8EDFF" w14:textId="030560B1" w:rsidR="008772FC" w:rsidRPr="003B38D6" w:rsidRDefault="001079FA" w:rsidP="008F2513">
            <w:pPr>
              <w:pStyle w:val="BalloonText"/>
              <w:rPr>
                <w:rFonts w:ascii="Calibri" w:hAnsi="Calibri" w:cs="Lucida Sans Unicode"/>
                <w:sz w:val="20"/>
                <w:szCs w:val="22"/>
              </w:rPr>
            </w:pPr>
            <w:r>
              <w:rPr>
                <w:rFonts w:ascii="Calibri" w:hAnsi="Calibri" w:cs="Lucida Sans Unicode"/>
                <w:sz w:val="20"/>
                <w:szCs w:val="22"/>
              </w:rPr>
              <w:t>4.8</w:t>
            </w:r>
          </w:p>
        </w:tc>
      </w:tr>
      <w:tr w:rsidR="008772FC" w:rsidRPr="004E50E7" w14:paraId="03CE6311"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75520E65"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5 – 17 Years</w:t>
            </w:r>
          </w:p>
        </w:tc>
        <w:tc>
          <w:tcPr>
            <w:tcW w:w="985" w:type="dxa"/>
            <w:tcBorders>
              <w:top w:val="single" w:sz="6" w:space="0" w:color="auto"/>
              <w:left w:val="single" w:sz="6" w:space="0" w:color="auto"/>
              <w:bottom w:val="single" w:sz="6" w:space="0" w:color="auto"/>
              <w:right w:val="single" w:sz="6" w:space="0" w:color="auto"/>
            </w:tcBorders>
          </w:tcPr>
          <w:p w14:paraId="67FF424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4,402</w:t>
            </w:r>
          </w:p>
        </w:tc>
        <w:tc>
          <w:tcPr>
            <w:tcW w:w="895" w:type="dxa"/>
            <w:tcBorders>
              <w:top w:val="single" w:sz="6" w:space="0" w:color="auto"/>
              <w:left w:val="single" w:sz="6" w:space="0" w:color="auto"/>
              <w:bottom w:val="single" w:sz="6" w:space="0" w:color="auto"/>
              <w:right w:val="single" w:sz="6" w:space="0" w:color="auto"/>
            </w:tcBorders>
          </w:tcPr>
          <w:p w14:paraId="469DCAB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16.0</w:t>
            </w:r>
          </w:p>
        </w:tc>
        <w:tc>
          <w:tcPr>
            <w:tcW w:w="979" w:type="dxa"/>
            <w:tcBorders>
              <w:top w:val="single" w:sz="6" w:space="0" w:color="auto"/>
              <w:left w:val="single" w:sz="6" w:space="0" w:color="auto"/>
              <w:bottom w:val="single" w:sz="6" w:space="0" w:color="auto"/>
              <w:right w:val="single" w:sz="6" w:space="0" w:color="auto"/>
            </w:tcBorders>
          </w:tcPr>
          <w:p w14:paraId="2E75FE0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5,423</w:t>
            </w:r>
          </w:p>
        </w:tc>
        <w:tc>
          <w:tcPr>
            <w:tcW w:w="979" w:type="dxa"/>
            <w:tcBorders>
              <w:top w:val="single" w:sz="6" w:space="0" w:color="auto"/>
              <w:left w:val="single" w:sz="6" w:space="0" w:color="auto"/>
              <w:bottom w:val="single" w:sz="6" w:space="0" w:color="auto"/>
              <w:right w:val="single" w:sz="6" w:space="0" w:color="auto"/>
            </w:tcBorders>
          </w:tcPr>
          <w:p w14:paraId="7F9E696A"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18.8</w:t>
            </w:r>
          </w:p>
        </w:tc>
        <w:tc>
          <w:tcPr>
            <w:tcW w:w="950" w:type="dxa"/>
            <w:tcBorders>
              <w:top w:val="single" w:sz="4" w:space="0" w:color="auto"/>
              <w:bottom w:val="single" w:sz="4" w:space="0" w:color="auto"/>
              <w:right w:val="single" w:sz="4" w:space="0" w:color="auto"/>
            </w:tcBorders>
            <w:shd w:val="clear" w:color="auto" w:fill="auto"/>
          </w:tcPr>
          <w:p w14:paraId="7B3F0DC7"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6,270</w:t>
            </w:r>
          </w:p>
        </w:tc>
        <w:tc>
          <w:tcPr>
            <w:tcW w:w="934" w:type="dxa"/>
            <w:tcBorders>
              <w:top w:val="single" w:sz="4" w:space="0" w:color="auto"/>
              <w:bottom w:val="single" w:sz="4" w:space="0" w:color="auto"/>
              <w:right w:val="single" w:sz="4" w:space="0" w:color="auto"/>
            </w:tcBorders>
            <w:shd w:val="clear" w:color="auto" w:fill="auto"/>
          </w:tcPr>
          <w:p w14:paraId="3D007850"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21.7</w:t>
            </w:r>
          </w:p>
        </w:tc>
        <w:tc>
          <w:tcPr>
            <w:tcW w:w="956" w:type="dxa"/>
            <w:tcBorders>
              <w:top w:val="single" w:sz="4" w:space="0" w:color="auto"/>
              <w:bottom w:val="single" w:sz="4" w:space="0" w:color="auto"/>
              <w:right w:val="single" w:sz="4" w:space="0" w:color="auto"/>
            </w:tcBorders>
            <w:shd w:val="clear" w:color="auto" w:fill="auto"/>
          </w:tcPr>
          <w:p w14:paraId="561479FD" w14:textId="470A15FE" w:rsidR="008772FC" w:rsidRPr="003B38D6" w:rsidRDefault="001079FA" w:rsidP="008F2513">
            <w:pPr>
              <w:rPr>
                <w:rFonts w:ascii="Calibri" w:hAnsi="Calibri" w:cs="Lucida Sans Unicode"/>
                <w:sz w:val="20"/>
              </w:rPr>
            </w:pPr>
            <w:r>
              <w:rPr>
                <w:rFonts w:ascii="Calibri" w:hAnsi="Calibri" w:cs="Lucida Sans Unicode"/>
                <w:sz w:val="20"/>
                <w:szCs w:val="22"/>
              </w:rPr>
              <w:t>6,985</w:t>
            </w:r>
          </w:p>
        </w:tc>
        <w:tc>
          <w:tcPr>
            <w:tcW w:w="990" w:type="dxa"/>
            <w:tcBorders>
              <w:top w:val="single" w:sz="4" w:space="0" w:color="auto"/>
              <w:bottom w:val="single" w:sz="4" w:space="0" w:color="auto"/>
              <w:right w:val="single" w:sz="4" w:space="0" w:color="auto"/>
            </w:tcBorders>
            <w:shd w:val="clear" w:color="auto" w:fill="auto"/>
          </w:tcPr>
          <w:p w14:paraId="6A98D273" w14:textId="1B0243CE" w:rsidR="008772FC" w:rsidRPr="003B38D6" w:rsidRDefault="00E94B1F" w:rsidP="008F2513">
            <w:pPr>
              <w:rPr>
                <w:rFonts w:ascii="Calibri" w:hAnsi="Calibri" w:cs="Lucida Sans Unicode"/>
                <w:sz w:val="20"/>
              </w:rPr>
            </w:pPr>
            <w:r>
              <w:rPr>
                <w:rFonts w:ascii="Calibri" w:hAnsi="Calibri" w:cs="Lucida Sans Unicode"/>
                <w:sz w:val="20"/>
                <w:szCs w:val="22"/>
              </w:rPr>
              <w:t>22.4</w:t>
            </w:r>
          </w:p>
        </w:tc>
      </w:tr>
      <w:tr w:rsidR="008772FC" w:rsidRPr="004E50E7" w14:paraId="52A53E23" w14:textId="77777777" w:rsidTr="003D13E8">
        <w:trPr>
          <w:cantSplit/>
          <w:trHeight w:val="255"/>
        </w:trPr>
        <w:tc>
          <w:tcPr>
            <w:tcW w:w="1422" w:type="dxa"/>
            <w:tcBorders>
              <w:top w:val="single" w:sz="6" w:space="0" w:color="auto"/>
              <w:left w:val="single" w:sz="6" w:space="0" w:color="auto"/>
              <w:bottom w:val="single" w:sz="6" w:space="0" w:color="auto"/>
              <w:right w:val="single" w:sz="6" w:space="0" w:color="auto"/>
            </w:tcBorders>
          </w:tcPr>
          <w:p w14:paraId="1FBB3C20" w14:textId="77777777" w:rsidR="008772FC" w:rsidRPr="004E50E7" w:rsidRDefault="008772FC" w:rsidP="00A14B3F">
            <w:pPr>
              <w:ind w:right="-720"/>
              <w:rPr>
                <w:rFonts w:ascii="Calibri" w:hAnsi="Calibri" w:cs="Lucida Sans Unicode"/>
                <w:sz w:val="20"/>
              </w:rPr>
            </w:pPr>
            <w:r w:rsidRPr="004E50E7">
              <w:rPr>
                <w:rFonts w:ascii="Calibri" w:hAnsi="Calibri" w:cs="Lucida Sans Unicode"/>
                <w:sz w:val="20"/>
                <w:szCs w:val="22"/>
              </w:rPr>
              <w:t xml:space="preserve">18 </w:t>
            </w:r>
            <w:r w:rsidRPr="00E94B1F">
              <w:rPr>
                <w:rFonts w:ascii="Calibri" w:hAnsi="Calibri" w:cs="Lucida Sans Unicode"/>
                <w:sz w:val="20"/>
                <w:szCs w:val="22"/>
              </w:rPr>
              <w:t xml:space="preserve">– </w:t>
            </w:r>
            <w:r w:rsidRPr="004E50E7">
              <w:rPr>
                <w:rFonts w:ascii="Calibri" w:hAnsi="Calibri" w:cs="Lucida Sans Unicode"/>
                <w:sz w:val="20"/>
                <w:szCs w:val="22"/>
              </w:rPr>
              <w:t>24 Years</w:t>
            </w:r>
          </w:p>
        </w:tc>
        <w:tc>
          <w:tcPr>
            <w:tcW w:w="985" w:type="dxa"/>
            <w:tcBorders>
              <w:top w:val="single" w:sz="6" w:space="0" w:color="auto"/>
              <w:left w:val="single" w:sz="6" w:space="0" w:color="auto"/>
              <w:bottom w:val="single" w:sz="6" w:space="0" w:color="auto"/>
              <w:right w:val="single" w:sz="6" w:space="0" w:color="auto"/>
            </w:tcBorders>
          </w:tcPr>
          <w:p w14:paraId="6CFE4CE6" w14:textId="77777777" w:rsidR="008772FC" w:rsidRPr="004E50E7" w:rsidRDefault="008772FC" w:rsidP="00A14B3F">
            <w:pPr>
              <w:ind w:right="-720"/>
              <w:rPr>
                <w:rFonts w:ascii="Calibri" w:hAnsi="Calibri" w:cs="Lucida Sans Unicode"/>
                <w:sz w:val="20"/>
              </w:rPr>
            </w:pPr>
            <w:r w:rsidRPr="004E50E7">
              <w:rPr>
                <w:rFonts w:ascii="Calibri" w:hAnsi="Calibri" w:cs="Lucida Sans Unicode"/>
                <w:sz w:val="20"/>
                <w:szCs w:val="22"/>
              </w:rPr>
              <w:t>2,088</w:t>
            </w:r>
          </w:p>
        </w:tc>
        <w:tc>
          <w:tcPr>
            <w:tcW w:w="895" w:type="dxa"/>
            <w:tcBorders>
              <w:top w:val="single" w:sz="6" w:space="0" w:color="auto"/>
              <w:left w:val="single" w:sz="6" w:space="0" w:color="auto"/>
              <w:bottom w:val="single" w:sz="6" w:space="0" w:color="auto"/>
              <w:right w:val="single" w:sz="6" w:space="0" w:color="auto"/>
            </w:tcBorders>
          </w:tcPr>
          <w:p w14:paraId="72D8F303" w14:textId="77777777" w:rsidR="008772FC" w:rsidRPr="004E50E7" w:rsidRDefault="008772FC" w:rsidP="00A14B3F">
            <w:pPr>
              <w:ind w:right="-720"/>
              <w:rPr>
                <w:rFonts w:ascii="Calibri" w:hAnsi="Calibri" w:cs="Lucida Sans Unicode"/>
                <w:sz w:val="20"/>
              </w:rPr>
            </w:pPr>
            <w:r w:rsidRPr="004E50E7">
              <w:rPr>
                <w:rFonts w:ascii="Calibri" w:hAnsi="Calibri" w:cs="Lucida Sans Unicode"/>
                <w:sz w:val="20"/>
                <w:szCs w:val="22"/>
              </w:rPr>
              <w:t>7.6</w:t>
            </w:r>
          </w:p>
        </w:tc>
        <w:tc>
          <w:tcPr>
            <w:tcW w:w="979" w:type="dxa"/>
            <w:tcBorders>
              <w:top w:val="single" w:sz="6" w:space="0" w:color="auto"/>
              <w:left w:val="single" w:sz="6" w:space="0" w:color="auto"/>
              <w:bottom w:val="single" w:sz="6" w:space="0" w:color="auto"/>
              <w:right w:val="single" w:sz="6" w:space="0" w:color="auto"/>
            </w:tcBorders>
          </w:tcPr>
          <w:p w14:paraId="07EFA3D1" w14:textId="77777777" w:rsidR="008772FC" w:rsidRPr="004E50E7" w:rsidRDefault="008772FC" w:rsidP="00A14B3F">
            <w:pPr>
              <w:ind w:right="-720"/>
              <w:rPr>
                <w:rFonts w:ascii="Calibri" w:hAnsi="Calibri" w:cs="Lucida Sans Unicode"/>
                <w:sz w:val="20"/>
              </w:rPr>
            </w:pPr>
            <w:r w:rsidRPr="004E50E7">
              <w:rPr>
                <w:rFonts w:ascii="Calibri" w:hAnsi="Calibri" w:cs="Lucida Sans Unicode"/>
                <w:sz w:val="20"/>
                <w:szCs w:val="22"/>
              </w:rPr>
              <w:t>1,540</w:t>
            </w:r>
          </w:p>
        </w:tc>
        <w:tc>
          <w:tcPr>
            <w:tcW w:w="979" w:type="dxa"/>
            <w:tcBorders>
              <w:top w:val="single" w:sz="6" w:space="0" w:color="auto"/>
              <w:left w:val="single" w:sz="6" w:space="0" w:color="auto"/>
              <w:bottom w:val="single" w:sz="6" w:space="0" w:color="auto"/>
              <w:right w:val="single" w:sz="6" w:space="0" w:color="auto"/>
            </w:tcBorders>
          </w:tcPr>
          <w:p w14:paraId="0F6C47CB" w14:textId="77777777" w:rsidR="008772FC" w:rsidRPr="004E50E7" w:rsidRDefault="008772FC" w:rsidP="00A14B3F">
            <w:pPr>
              <w:ind w:right="-720"/>
              <w:rPr>
                <w:rFonts w:ascii="Calibri" w:hAnsi="Calibri" w:cs="Lucida Sans Unicode"/>
                <w:sz w:val="20"/>
              </w:rPr>
            </w:pPr>
            <w:r w:rsidRPr="004E50E7">
              <w:rPr>
                <w:rFonts w:ascii="Calibri" w:hAnsi="Calibri" w:cs="Lucida Sans Unicode"/>
                <w:sz w:val="20"/>
                <w:szCs w:val="22"/>
              </w:rPr>
              <w:t>5.3</w:t>
            </w:r>
          </w:p>
        </w:tc>
        <w:tc>
          <w:tcPr>
            <w:tcW w:w="950" w:type="dxa"/>
            <w:tcBorders>
              <w:top w:val="single" w:sz="4" w:space="0" w:color="auto"/>
              <w:bottom w:val="single" w:sz="4" w:space="0" w:color="auto"/>
              <w:right w:val="single" w:sz="4" w:space="0" w:color="auto"/>
            </w:tcBorders>
            <w:shd w:val="clear" w:color="auto" w:fill="auto"/>
          </w:tcPr>
          <w:p w14:paraId="480AF96F" w14:textId="77777777" w:rsidR="008772FC" w:rsidRPr="003B38D6" w:rsidRDefault="008772FC" w:rsidP="00A14B3F">
            <w:pPr>
              <w:rPr>
                <w:rFonts w:ascii="Calibri" w:hAnsi="Calibri" w:cs="Lucida Sans Unicode"/>
                <w:sz w:val="20"/>
              </w:rPr>
            </w:pPr>
            <w:r w:rsidRPr="003B38D6">
              <w:rPr>
                <w:rFonts w:ascii="Calibri" w:hAnsi="Calibri" w:cs="Lucida Sans Unicode"/>
                <w:sz w:val="20"/>
                <w:szCs w:val="22"/>
              </w:rPr>
              <w:t>1,527</w:t>
            </w:r>
          </w:p>
        </w:tc>
        <w:tc>
          <w:tcPr>
            <w:tcW w:w="934" w:type="dxa"/>
            <w:tcBorders>
              <w:top w:val="single" w:sz="4" w:space="0" w:color="auto"/>
              <w:bottom w:val="single" w:sz="4" w:space="0" w:color="auto"/>
              <w:right w:val="single" w:sz="4" w:space="0" w:color="auto"/>
            </w:tcBorders>
            <w:shd w:val="clear" w:color="auto" w:fill="auto"/>
          </w:tcPr>
          <w:p w14:paraId="680FE420" w14:textId="77777777" w:rsidR="008772FC" w:rsidRPr="003B38D6" w:rsidRDefault="008772FC" w:rsidP="00A14B3F">
            <w:pPr>
              <w:rPr>
                <w:rFonts w:ascii="Calibri" w:hAnsi="Calibri" w:cs="Lucida Sans Unicode"/>
                <w:sz w:val="20"/>
              </w:rPr>
            </w:pPr>
            <w:r w:rsidRPr="003B38D6">
              <w:rPr>
                <w:rFonts w:ascii="Calibri" w:hAnsi="Calibri" w:cs="Lucida Sans Unicode"/>
                <w:sz w:val="20"/>
                <w:szCs w:val="22"/>
              </w:rPr>
              <w:t>5.3</w:t>
            </w:r>
          </w:p>
        </w:tc>
        <w:tc>
          <w:tcPr>
            <w:tcW w:w="956" w:type="dxa"/>
            <w:tcBorders>
              <w:top w:val="single" w:sz="4" w:space="0" w:color="auto"/>
              <w:bottom w:val="single" w:sz="4" w:space="0" w:color="auto"/>
              <w:right w:val="single" w:sz="4" w:space="0" w:color="auto"/>
            </w:tcBorders>
            <w:shd w:val="clear" w:color="auto" w:fill="auto"/>
          </w:tcPr>
          <w:p w14:paraId="44AF806F" w14:textId="62FE66EF" w:rsidR="008772FC" w:rsidRPr="003B38D6" w:rsidRDefault="00E94B1F" w:rsidP="00A14B3F">
            <w:pPr>
              <w:rPr>
                <w:rFonts w:ascii="Calibri" w:hAnsi="Calibri" w:cs="Lucida Sans Unicode"/>
                <w:sz w:val="20"/>
              </w:rPr>
            </w:pPr>
            <w:r>
              <w:rPr>
                <w:rFonts w:ascii="Calibri" w:hAnsi="Calibri" w:cs="Lucida Sans Unicode"/>
                <w:sz w:val="20"/>
                <w:szCs w:val="22"/>
              </w:rPr>
              <w:t>2,054</w:t>
            </w:r>
          </w:p>
        </w:tc>
        <w:tc>
          <w:tcPr>
            <w:tcW w:w="990" w:type="dxa"/>
            <w:tcBorders>
              <w:top w:val="single" w:sz="4" w:space="0" w:color="auto"/>
              <w:bottom w:val="single" w:sz="4" w:space="0" w:color="auto"/>
              <w:right w:val="single" w:sz="4" w:space="0" w:color="auto"/>
            </w:tcBorders>
            <w:shd w:val="clear" w:color="auto" w:fill="auto"/>
          </w:tcPr>
          <w:p w14:paraId="1BDEEFE1" w14:textId="03EC7AD2" w:rsidR="008772FC" w:rsidRPr="003B38D6" w:rsidRDefault="00E94B1F" w:rsidP="00A14B3F">
            <w:pPr>
              <w:rPr>
                <w:rFonts w:ascii="Calibri" w:hAnsi="Calibri" w:cs="Lucida Sans Unicode"/>
                <w:sz w:val="20"/>
              </w:rPr>
            </w:pPr>
            <w:r>
              <w:rPr>
                <w:rFonts w:ascii="Calibri" w:hAnsi="Calibri" w:cs="Lucida Sans Unicode"/>
                <w:sz w:val="20"/>
                <w:szCs w:val="22"/>
              </w:rPr>
              <w:t>6.6</w:t>
            </w:r>
          </w:p>
        </w:tc>
      </w:tr>
      <w:tr w:rsidR="008772FC" w:rsidRPr="004E50E7" w14:paraId="36ECAB64"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284DB5C9"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25 – 34 Years</w:t>
            </w:r>
          </w:p>
        </w:tc>
        <w:tc>
          <w:tcPr>
            <w:tcW w:w="985" w:type="dxa"/>
            <w:tcBorders>
              <w:top w:val="single" w:sz="6" w:space="0" w:color="auto"/>
              <w:left w:val="single" w:sz="6" w:space="0" w:color="auto"/>
              <w:bottom w:val="single" w:sz="4" w:space="0" w:color="auto"/>
              <w:right w:val="single" w:sz="6" w:space="0" w:color="auto"/>
            </w:tcBorders>
          </w:tcPr>
          <w:p w14:paraId="4843972B"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3,776</w:t>
            </w:r>
          </w:p>
        </w:tc>
        <w:tc>
          <w:tcPr>
            <w:tcW w:w="895" w:type="dxa"/>
            <w:tcBorders>
              <w:top w:val="single" w:sz="6" w:space="0" w:color="auto"/>
              <w:left w:val="single" w:sz="6" w:space="0" w:color="auto"/>
              <w:bottom w:val="single" w:sz="4" w:space="0" w:color="auto"/>
              <w:right w:val="single" w:sz="6" w:space="0" w:color="auto"/>
            </w:tcBorders>
          </w:tcPr>
          <w:p w14:paraId="640B1A78"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13.7</w:t>
            </w:r>
          </w:p>
        </w:tc>
        <w:tc>
          <w:tcPr>
            <w:tcW w:w="979" w:type="dxa"/>
            <w:tcBorders>
              <w:top w:val="single" w:sz="6" w:space="0" w:color="auto"/>
              <w:left w:val="single" w:sz="6" w:space="0" w:color="auto"/>
              <w:bottom w:val="single" w:sz="6" w:space="0" w:color="auto"/>
              <w:right w:val="single" w:sz="6" w:space="0" w:color="auto"/>
            </w:tcBorders>
          </w:tcPr>
          <w:p w14:paraId="1903633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2,514</w:t>
            </w:r>
          </w:p>
        </w:tc>
        <w:tc>
          <w:tcPr>
            <w:tcW w:w="979" w:type="dxa"/>
            <w:tcBorders>
              <w:top w:val="single" w:sz="6" w:space="0" w:color="auto"/>
              <w:left w:val="single" w:sz="6" w:space="0" w:color="auto"/>
              <w:bottom w:val="single" w:sz="6" w:space="0" w:color="auto"/>
              <w:right w:val="single" w:sz="6" w:space="0" w:color="auto"/>
            </w:tcBorders>
          </w:tcPr>
          <w:p w14:paraId="3202AF04"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8.7</w:t>
            </w:r>
          </w:p>
        </w:tc>
        <w:tc>
          <w:tcPr>
            <w:tcW w:w="950" w:type="dxa"/>
            <w:tcBorders>
              <w:top w:val="single" w:sz="4" w:space="0" w:color="auto"/>
              <w:bottom w:val="single" w:sz="4" w:space="0" w:color="auto"/>
              <w:right w:val="single" w:sz="4" w:space="0" w:color="auto"/>
            </w:tcBorders>
            <w:shd w:val="clear" w:color="auto" w:fill="auto"/>
          </w:tcPr>
          <w:p w14:paraId="2C010B77"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1,694</w:t>
            </w:r>
          </w:p>
        </w:tc>
        <w:tc>
          <w:tcPr>
            <w:tcW w:w="934" w:type="dxa"/>
            <w:tcBorders>
              <w:top w:val="single" w:sz="4" w:space="0" w:color="auto"/>
              <w:bottom w:val="single" w:sz="4" w:space="0" w:color="auto"/>
              <w:right w:val="single" w:sz="4" w:space="0" w:color="auto"/>
            </w:tcBorders>
            <w:shd w:val="clear" w:color="auto" w:fill="auto"/>
          </w:tcPr>
          <w:p w14:paraId="3F2193FF"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5.9</w:t>
            </w:r>
          </w:p>
        </w:tc>
        <w:tc>
          <w:tcPr>
            <w:tcW w:w="956" w:type="dxa"/>
            <w:tcBorders>
              <w:top w:val="single" w:sz="4" w:space="0" w:color="auto"/>
              <w:bottom w:val="single" w:sz="4" w:space="0" w:color="auto"/>
              <w:right w:val="single" w:sz="4" w:space="0" w:color="auto"/>
            </w:tcBorders>
            <w:shd w:val="clear" w:color="auto" w:fill="auto"/>
          </w:tcPr>
          <w:p w14:paraId="06376738" w14:textId="518D515C" w:rsidR="008772FC" w:rsidRPr="003B38D6" w:rsidRDefault="00E94B1F" w:rsidP="008F2513">
            <w:pPr>
              <w:rPr>
                <w:rFonts w:ascii="Calibri" w:hAnsi="Calibri" w:cs="Lucida Sans Unicode"/>
                <w:sz w:val="20"/>
              </w:rPr>
            </w:pPr>
            <w:r>
              <w:rPr>
                <w:rFonts w:ascii="Calibri" w:hAnsi="Calibri" w:cs="Lucida Sans Unicode"/>
                <w:sz w:val="20"/>
                <w:szCs w:val="22"/>
              </w:rPr>
              <w:t>1,535</w:t>
            </w:r>
          </w:p>
        </w:tc>
        <w:tc>
          <w:tcPr>
            <w:tcW w:w="990" w:type="dxa"/>
            <w:tcBorders>
              <w:top w:val="single" w:sz="4" w:space="0" w:color="auto"/>
              <w:bottom w:val="single" w:sz="4" w:space="0" w:color="auto"/>
              <w:right w:val="single" w:sz="4" w:space="0" w:color="auto"/>
            </w:tcBorders>
            <w:shd w:val="clear" w:color="auto" w:fill="auto"/>
          </w:tcPr>
          <w:p w14:paraId="167F910F" w14:textId="0AAF6590" w:rsidR="008772FC" w:rsidRPr="003B38D6" w:rsidRDefault="00E94B1F" w:rsidP="008F2513">
            <w:pPr>
              <w:rPr>
                <w:rFonts w:ascii="Calibri" w:hAnsi="Calibri" w:cs="Lucida Sans Unicode"/>
                <w:sz w:val="20"/>
              </w:rPr>
            </w:pPr>
            <w:r>
              <w:rPr>
                <w:rFonts w:ascii="Calibri" w:hAnsi="Calibri" w:cs="Lucida Sans Unicode"/>
                <w:sz w:val="20"/>
                <w:szCs w:val="22"/>
              </w:rPr>
              <w:t>4.9</w:t>
            </w:r>
          </w:p>
        </w:tc>
      </w:tr>
      <w:tr w:rsidR="008772FC" w:rsidRPr="004E50E7" w14:paraId="1F89486A"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3077E4F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35 – 44 Years</w:t>
            </w:r>
          </w:p>
        </w:tc>
        <w:tc>
          <w:tcPr>
            <w:tcW w:w="985" w:type="dxa"/>
            <w:tcBorders>
              <w:top w:val="single" w:sz="4" w:space="0" w:color="auto"/>
              <w:left w:val="single" w:sz="6" w:space="0" w:color="auto"/>
              <w:bottom w:val="single" w:sz="6" w:space="0" w:color="auto"/>
              <w:right w:val="single" w:sz="6" w:space="0" w:color="auto"/>
            </w:tcBorders>
            <w:vAlign w:val="center"/>
          </w:tcPr>
          <w:p w14:paraId="0298603B" w14:textId="77777777" w:rsidR="008772FC" w:rsidRPr="004E50E7" w:rsidRDefault="008772FC" w:rsidP="008F2513">
            <w:pPr>
              <w:rPr>
                <w:rFonts w:ascii="Calibri" w:hAnsi="Calibri" w:cs="Lucida Sans Unicode"/>
                <w:sz w:val="20"/>
              </w:rPr>
            </w:pPr>
            <w:r w:rsidRPr="004E50E7">
              <w:rPr>
                <w:rFonts w:ascii="Calibri" w:hAnsi="Calibri" w:cs="Lucida Sans Unicode"/>
                <w:sz w:val="20"/>
                <w:szCs w:val="22"/>
              </w:rPr>
              <w:t>4,619</w:t>
            </w:r>
          </w:p>
        </w:tc>
        <w:tc>
          <w:tcPr>
            <w:tcW w:w="895" w:type="dxa"/>
            <w:tcBorders>
              <w:top w:val="single" w:sz="4" w:space="0" w:color="auto"/>
              <w:left w:val="single" w:sz="6" w:space="0" w:color="auto"/>
              <w:bottom w:val="single" w:sz="6" w:space="0" w:color="auto"/>
              <w:right w:val="single" w:sz="6" w:space="0" w:color="auto"/>
            </w:tcBorders>
            <w:vAlign w:val="center"/>
          </w:tcPr>
          <w:p w14:paraId="2AB07241" w14:textId="77777777" w:rsidR="008772FC" w:rsidRPr="004E50E7" w:rsidRDefault="008772FC" w:rsidP="008F2513">
            <w:pPr>
              <w:rPr>
                <w:rFonts w:ascii="Calibri" w:hAnsi="Calibri" w:cs="Lucida Sans Unicode"/>
                <w:sz w:val="20"/>
              </w:rPr>
            </w:pPr>
            <w:r w:rsidRPr="004E50E7">
              <w:rPr>
                <w:rFonts w:ascii="Calibri" w:hAnsi="Calibri" w:cs="Lucida Sans Unicode"/>
                <w:sz w:val="20"/>
                <w:szCs w:val="22"/>
              </w:rPr>
              <w:t>16.8</w:t>
            </w:r>
          </w:p>
        </w:tc>
        <w:tc>
          <w:tcPr>
            <w:tcW w:w="979" w:type="dxa"/>
            <w:tcBorders>
              <w:top w:val="single" w:sz="6" w:space="0" w:color="auto"/>
              <w:left w:val="single" w:sz="6" w:space="0" w:color="auto"/>
              <w:bottom w:val="single" w:sz="6" w:space="0" w:color="auto"/>
              <w:right w:val="single" w:sz="6" w:space="0" w:color="auto"/>
            </w:tcBorders>
          </w:tcPr>
          <w:p w14:paraId="4E1BF1A5"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4,939</w:t>
            </w:r>
          </w:p>
        </w:tc>
        <w:tc>
          <w:tcPr>
            <w:tcW w:w="979" w:type="dxa"/>
            <w:tcBorders>
              <w:top w:val="single" w:sz="6" w:space="0" w:color="auto"/>
              <w:left w:val="single" w:sz="6" w:space="0" w:color="auto"/>
              <w:bottom w:val="single" w:sz="6" w:space="0" w:color="auto"/>
              <w:right w:val="single" w:sz="6" w:space="0" w:color="auto"/>
            </w:tcBorders>
          </w:tcPr>
          <w:p w14:paraId="2112231B"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17.1</w:t>
            </w:r>
          </w:p>
        </w:tc>
        <w:tc>
          <w:tcPr>
            <w:tcW w:w="950" w:type="dxa"/>
            <w:tcBorders>
              <w:top w:val="single" w:sz="4" w:space="0" w:color="auto"/>
              <w:bottom w:val="single" w:sz="4" w:space="0" w:color="auto"/>
              <w:right w:val="single" w:sz="4" w:space="0" w:color="auto"/>
            </w:tcBorders>
            <w:shd w:val="clear" w:color="auto" w:fill="auto"/>
          </w:tcPr>
          <w:p w14:paraId="4FD98651"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4,046</w:t>
            </w:r>
          </w:p>
        </w:tc>
        <w:tc>
          <w:tcPr>
            <w:tcW w:w="934" w:type="dxa"/>
            <w:tcBorders>
              <w:top w:val="single" w:sz="4" w:space="0" w:color="auto"/>
              <w:bottom w:val="single" w:sz="4" w:space="0" w:color="auto"/>
              <w:right w:val="single" w:sz="4" w:space="0" w:color="auto"/>
            </w:tcBorders>
            <w:shd w:val="clear" w:color="auto" w:fill="auto"/>
          </w:tcPr>
          <w:p w14:paraId="6702C483"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14.0</w:t>
            </w:r>
          </w:p>
        </w:tc>
        <w:tc>
          <w:tcPr>
            <w:tcW w:w="956" w:type="dxa"/>
            <w:tcBorders>
              <w:top w:val="single" w:sz="4" w:space="0" w:color="auto"/>
              <w:bottom w:val="single" w:sz="4" w:space="0" w:color="auto"/>
              <w:right w:val="single" w:sz="4" w:space="0" w:color="auto"/>
            </w:tcBorders>
            <w:shd w:val="clear" w:color="auto" w:fill="auto"/>
          </w:tcPr>
          <w:p w14:paraId="7039D5CA" w14:textId="08FA9572" w:rsidR="008772FC" w:rsidRPr="003B38D6" w:rsidRDefault="00E94B1F" w:rsidP="008F2513">
            <w:pPr>
              <w:rPr>
                <w:rFonts w:ascii="Calibri" w:hAnsi="Calibri" w:cs="Lucida Sans Unicode"/>
                <w:sz w:val="20"/>
              </w:rPr>
            </w:pPr>
            <w:r>
              <w:rPr>
                <w:rFonts w:ascii="Calibri" w:hAnsi="Calibri" w:cs="Lucida Sans Unicode"/>
                <w:sz w:val="20"/>
                <w:szCs w:val="22"/>
              </w:rPr>
              <w:t>2,090</w:t>
            </w:r>
          </w:p>
        </w:tc>
        <w:tc>
          <w:tcPr>
            <w:tcW w:w="990" w:type="dxa"/>
            <w:tcBorders>
              <w:top w:val="single" w:sz="4" w:space="0" w:color="auto"/>
              <w:bottom w:val="single" w:sz="4" w:space="0" w:color="auto"/>
              <w:right w:val="single" w:sz="4" w:space="0" w:color="auto"/>
            </w:tcBorders>
            <w:shd w:val="clear" w:color="auto" w:fill="auto"/>
          </w:tcPr>
          <w:p w14:paraId="75CB9E6A" w14:textId="3FB73498" w:rsidR="008772FC" w:rsidRPr="003B38D6" w:rsidRDefault="00E94B1F" w:rsidP="008F2513">
            <w:pPr>
              <w:rPr>
                <w:rFonts w:ascii="Calibri" w:hAnsi="Calibri" w:cs="Lucida Sans Unicode"/>
                <w:sz w:val="20"/>
              </w:rPr>
            </w:pPr>
            <w:r>
              <w:rPr>
                <w:rFonts w:ascii="Calibri" w:hAnsi="Calibri" w:cs="Lucida Sans Unicode"/>
                <w:sz w:val="20"/>
                <w:szCs w:val="22"/>
              </w:rPr>
              <w:t>6.7</w:t>
            </w:r>
          </w:p>
        </w:tc>
      </w:tr>
      <w:tr w:rsidR="008772FC" w:rsidRPr="004E50E7" w14:paraId="6D7B0BAC"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70ABC061"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45 – 54 Years</w:t>
            </w:r>
          </w:p>
        </w:tc>
        <w:tc>
          <w:tcPr>
            <w:tcW w:w="985" w:type="dxa"/>
            <w:tcBorders>
              <w:top w:val="single" w:sz="6" w:space="0" w:color="auto"/>
              <w:left w:val="single" w:sz="6" w:space="0" w:color="auto"/>
              <w:bottom w:val="single" w:sz="6" w:space="0" w:color="auto"/>
              <w:right w:val="single" w:sz="6" w:space="0" w:color="auto"/>
            </w:tcBorders>
          </w:tcPr>
          <w:p w14:paraId="08003A16"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3,223</w:t>
            </w:r>
          </w:p>
        </w:tc>
        <w:tc>
          <w:tcPr>
            <w:tcW w:w="895" w:type="dxa"/>
            <w:tcBorders>
              <w:top w:val="single" w:sz="6" w:space="0" w:color="auto"/>
              <w:left w:val="single" w:sz="6" w:space="0" w:color="auto"/>
              <w:bottom w:val="single" w:sz="6" w:space="0" w:color="auto"/>
              <w:right w:val="single" w:sz="6" w:space="0" w:color="auto"/>
            </w:tcBorders>
          </w:tcPr>
          <w:p w14:paraId="0BC1006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11.7</w:t>
            </w:r>
          </w:p>
        </w:tc>
        <w:tc>
          <w:tcPr>
            <w:tcW w:w="979" w:type="dxa"/>
            <w:tcBorders>
              <w:top w:val="single" w:sz="6" w:space="0" w:color="auto"/>
              <w:left w:val="single" w:sz="6" w:space="0" w:color="auto"/>
              <w:bottom w:val="single" w:sz="6" w:space="0" w:color="auto"/>
              <w:right w:val="single" w:sz="6" w:space="0" w:color="auto"/>
            </w:tcBorders>
          </w:tcPr>
          <w:p w14:paraId="063897C1"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4,490</w:t>
            </w:r>
          </w:p>
        </w:tc>
        <w:tc>
          <w:tcPr>
            <w:tcW w:w="979" w:type="dxa"/>
            <w:tcBorders>
              <w:top w:val="single" w:sz="6" w:space="0" w:color="auto"/>
              <w:left w:val="single" w:sz="6" w:space="0" w:color="auto"/>
              <w:bottom w:val="single" w:sz="6" w:space="0" w:color="auto"/>
              <w:right w:val="single" w:sz="6" w:space="0" w:color="auto"/>
            </w:tcBorders>
          </w:tcPr>
          <w:p w14:paraId="44228D05"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15.5</w:t>
            </w:r>
          </w:p>
        </w:tc>
        <w:tc>
          <w:tcPr>
            <w:tcW w:w="950" w:type="dxa"/>
            <w:tcBorders>
              <w:top w:val="single" w:sz="4" w:space="0" w:color="auto"/>
              <w:bottom w:val="single" w:sz="4" w:space="0" w:color="auto"/>
              <w:right w:val="single" w:sz="4" w:space="0" w:color="auto"/>
            </w:tcBorders>
            <w:shd w:val="clear" w:color="auto" w:fill="auto"/>
          </w:tcPr>
          <w:p w14:paraId="7C88E4B6"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 xml:space="preserve">4,940 </w:t>
            </w:r>
          </w:p>
        </w:tc>
        <w:tc>
          <w:tcPr>
            <w:tcW w:w="934" w:type="dxa"/>
            <w:tcBorders>
              <w:top w:val="single" w:sz="4" w:space="0" w:color="auto"/>
              <w:bottom w:val="single" w:sz="4" w:space="0" w:color="auto"/>
              <w:right w:val="single" w:sz="4" w:space="0" w:color="auto"/>
            </w:tcBorders>
            <w:shd w:val="clear" w:color="auto" w:fill="auto"/>
          </w:tcPr>
          <w:p w14:paraId="2ABB098A"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17.1</w:t>
            </w:r>
          </w:p>
        </w:tc>
        <w:tc>
          <w:tcPr>
            <w:tcW w:w="956" w:type="dxa"/>
            <w:tcBorders>
              <w:top w:val="single" w:sz="4" w:space="0" w:color="auto"/>
              <w:bottom w:val="single" w:sz="4" w:space="0" w:color="auto"/>
              <w:right w:val="single" w:sz="4" w:space="0" w:color="auto"/>
            </w:tcBorders>
            <w:shd w:val="clear" w:color="auto" w:fill="auto"/>
          </w:tcPr>
          <w:p w14:paraId="6469AA81" w14:textId="1EFAAEFD" w:rsidR="008772FC" w:rsidRPr="003B38D6" w:rsidRDefault="00E94B1F" w:rsidP="008F2513">
            <w:pPr>
              <w:rPr>
                <w:rFonts w:ascii="Calibri" w:hAnsi="Calibri" w:cs="Lucida Sans Unicode"/>
                <w:sz w:val="20"/>
              </w:rPr>
            </w:pPr>
            <w:r>
              <w:rPr>
                <w:rFonts w:ascii="Calibri" w:hAnsi="Calibri" w:cs="Lucida Sans Unicode"/>
                <w:sz w:val="20"/>
                <w:szCs w:val="22"/>
              </w:rPr>
              <w:t>4,624</w:t>
            </w:r>
          </w:p>
        </w:tc>
        <w:tc>
          <w:tcPr>
            <w:tcW w:w="990" w:type="dxa"/>
            <w:tcBorders>
              <w:top w:val="single" w:sz="4" w:space="0" w:color="auto"/>
              <w:bottom w:val="single" w:sz="4" w:space="0" w:color="auto"/>
              <w:right w:val="single" w:sz="4" w:space="0" w:color="auto"/>
            </w:tcBorders>
            <w:shd w:val="clear" w:color="auto" w:fill="auto"/>
          </w:tcPr>
          <w:p w14:paraId="44BEF99E" w14:textId="0518B8B0" w:rsidR="008772FC" w:rsidRPr="003B38D6" w:rsidRDefault="00E94B1F" w:rsidP="008F2513">
            <w:pPr>
              <w:rPr>
                <w:rFonts w:ascii="Calibri" w:hAnsi="Calibri" w:cs="Lucida Sans Unicode"/>
                <w:sz w:val="20"/>
              </w:rPr>
            </w:pPr>
            <w:r>
              <w:rPr>
                <w:rFonts w:ascii="Calibri" w:hAnsi="Calibri" w:cs="Lucida Sans Unicode"/>
                <w:sz w:val="20"/>
                <w:szCs w:val="22"/>
              </w:rPr>
              <w:t>14.8</w:t>
            </w:r>
          </w:p>
        </w:tc>
      </w:tr>
      <w:tr w:rsidR="008772FC" w:rsidRPr="004E50E7" w14:paraId="22B8FE62"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247BA731"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55 – 64 Years</w:t>
            </w:r>
          </w:p>
        </w:tc>
        <w:tc>
          <w:tcPr>
            <w:tcW w:w="985" w:type="dxa"/>
            <w:tcBorders>
              <w:top w:val="single" w:sz="6" w:space="0" w:color="auto"/>
              <w:left w:val="single" w:sz="6" w:space="0" w:color="auto"/>
              <w:bottom w:val="single" w:sz="6" w:space="0" w:color="auto"/>
              <w:right w:val="single" w:sz="6" w:space="0" w:color="auto"/>
            </w:tcBorders>
          </w:tcPr>
          <w:p w14:paraId="36C9D73F"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2,959</w:t>
            </w:r>
          </w:p>
        </w:tc>
        <w:tc>
          <w:tcPr>
            <w:tcW w:w="895" w:type="dxa"/>
            <w:tcBorders>
              <w:top w:val="single" w:sz="6" w:space="0" w:color="auto"/>
              <w:left w:val="single" w:sz="6" w:space="0" w:color="auto"/>
              <w:bottom w:val="single" w:sz="6" w:space="0" w:color="auto"/>
              <w:right w:val="single" w:sz="6" w:space="0" w:color="auto"/>
            </w:tcBorders>
          </w:tcPr>
          <w:p w14:paraId="78535A8F"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10.7</w:t>
            </w:r>
          </w:p>
        </w:tc>
        <w:tc>
          <w:tcPr>
            <w:tcW w:w="979" w:type="dxa"/>
            <w:tcBorders>
              <w:top w:val="single" w:sz="6" w:space="0" w:color="auto"/>
              <w:left w:val="single" w:sz="6" w:space="0" w:color="auto"/>
              <w:bottom w:val="single" w:sz="6" w:space="0" w:color="auto"/>
              <w:right w:val="single" w:sz="6" w:space="0" w:color="auto"/>
            </w:tcBorders>
          </w:tcPr>
          <w:p w14:paraId="30C6158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2,662</w:t>
            </w:r>
          </w:p>
        </w:tc>
        <w:tc>
          <w:tcPr>
            <w:tcW w:w="979" w:type="dxa"/>
            <w:tcBorders>
              <w:top w:val="single" w:sz="6" w:space="0" w:color="auto"/>
              <w:left w:val="single" w:sz="6" w:space="0" w:color="auto"/>
              <w:bottom w:val="single" w:sz="6" w:space="0" w:color="auto"/>
              <w:right w:val="single" w:sz="6" w:space="0" w:color="auto"/>
            </w:tcBorders>
          </w:tcPr>
          <w:p w14:paraId="3A341C48"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9.2</w:t>
            </w:r>
          </w:p>
        </w:tc>
        <w:tc>
          <w:tcPr>
            <w:tcW w:w="950" w:type="dxa"/>
            <w:tcBorders>
              <w:top w:val="single" w:sz="4" w:space="0" w:color="auto"/>
              <w:bottom w:val="single" w:sz="4" w:space="0" w:color="auto"/>
              <w:right w:val="single" w:sz="4" w:space="0" w:color="auto"/>
            </w:tcBorders>
            <w:shd w:val="clear" w:color="auto" w:fill="auto"/>
          </w:tcPr>
          <w:p w14:paraId="7C2DB9E3"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3,840</w:t>
            </w:r>
          </w:p>
        </w:tc>
        <w:tc>
          <w:tcPr>
            <w:tcW w:w="934" w:type="dxa"/>
            <w:tcBorders>
              <w:top w:val="single" w:sz="4" w:space="0" w:color="auto"/>
              <w:bottom w:val="single" w:sz="4" w:space="0" w:color="auto"/>
              <w:right w:val="single" w:sz="4" w:space="0" w:color="auto"/>
            </w:tcBorders>
            <w:shd w:val="clear" w:color="auto" w:fill="auto"/>
          </w:tcPr>
          <w:p w14:paraId="01414177"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13.3</w:t>
            </w:r>
          </w:p>
        </w:tc>
        <w:tc>
          <w:tcPr>
            <w:tcW w:w="956" w:type="dxa"/>
            <w:tcBorders>
              <w:top w:val="single" w:sz="4" w:space="0" w:color="auto"/>
              <w:bottom w:val="single" w:sz="4" w:space="0" w:color="auto"/>
              <w:right w:val="single" w:sz="4" w:space="0" w:color="auto"/>
            </w:tcBorders>
            <w:shd w:val="clear" w:color="auto" w:fill="auto"/>
          </w:tcPr>
          <w:p w14:paraId="3F79196B" w14:textId="6265C3C8" w:rsidR="008772FC" w:rsidRPr="003B38D6" w:rsidRDefault="00E94B1F" w:rsidP="008F2513">
            <w:pPr>
              <w:rPr>
                <w:rFonts w:ascii="Calibri" w:hAnsi="Calibri" w:cs="Lucida Sans Unicode"/>
                <w:sz w:val="20"/>
              </w:rPr>
            </w:pPr>
            <w:r>
              <w:rPr>
                <w:rFonts w:ascii="Calibri" w:hAnsi="Calibri" w:cs="Lucida Sans Unicode"/>
                <w:sz w:val="20"/>
                <w:szCs w:val="22"/>
              </w:rPr>
              <w:t>4,370</w:t>
            </w:r>
          </w:p>
        </w:tc>
        <w:tc>
          <w:tcPr>
            <w:tcW w:w="990" w:type="dxa"/>
            <w:tcBorders>
              <w:top w:val="single" w:sz="4" w:space="0" w:color="auto"/>
              <w:bottom w:val="single" w:sz="4" w:space="0" w:color="auto"/>
              <w:right w:val="single" w:sz="4" w:space="0" w:color="auto"/>
            </w:tcBorders>
            <w:shd w:val="clear" w:color="auto" w:fill="auto"/>
          </w:tcPr>
          <w:p w14:paraId="23D0F7A3" w14:textId="1AC8E427" w:rsidR="008772FC" w:rsidRPr="003B38D6" w:rsidRDefault="00E94B1F" w:rsidP="008F2513">
            <w:pPr>
              <w:rPr>
                <w:rFonts w:ascii="Calibri" w:hAnsi="Calibri" w:cs="Lucida Sans Unicode"/>
                <w:sz w:val="20"/>
              </w:rPr>
            </w:pPr>
            <w:r>
              <w:rPr>
                <w:rFonts w:ascii="Calibri" w:hAnsi="Calibri" w:cs="Lucida Sans Unicode"/>
                <w:sz w:val="20"/>
                <w:szCs w:val="22"/>
              </w:rPr>
              <w:t>14.0</w:t>
            </w:r>
          </w:p>
        </w:tc>
      </w:tr>
      <w:tr w:rsidR="008772FC" w:rsidRPr="004E50E7" w14:paraId="70F46346"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2E03CB19"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65 – 74 Years</w:t>
            </w:r>
          </w:p>
        </w:tc>
        <w:tc>
          <w:tcPr>
            <w:tcW w:w="985" w:type="dxa"/>
            <w:tcBorders>
              <w:top w:val="single" w:sz="6" w:space="0" w:color="auto"/>
              <w:left w:val="single" w:sz="6" w:space="0" w:color="auto"/>
              <w:bottom w:val="single" w:sz="6" w:space="0" w:color="auto"/>
              <w:right w:val="single" w:sz="6" w:space="0" w:color="auto"/>
            </w:tcBorders>
          </w:tcPr>
          <w:p w14:paraId="62933B39"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2,394</w:t>
            </w:r>
          </w:p>
        </w:tc>
        <w:tc>
          <w:tcPr>
            <w:tcW w:w="895" w:type="dxa"/>
            <w:tcBorders>
              <w:top w:val="single" w:sz="6" w:space="0" w:color="auto"/>
              <w:left w:val="single" w:sz="6" w:space="0" w:color="auto"/>
              <w:bottom w:val="single" w:sz="6" w:space="0" w:color="auto"/>
              <w:right w:val="single" w:sz="6" w:space="0" w:color="auto"/>
            </w:tcBorders>
          </w:tcPr>
          <w:p w14:paraId="4553DBF0"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8.7</w:t>
            </w:r>
          </w:p>
        </w:tc>
        <w:tc>
          <w:tcPr>
            <w:tcW w:w="979" w:type="dxa"/>
            <w:tcBorders>
              <w:top w:val="single" w:sz="6" w:space="0" w:color="auto"/>
              <w:left w:val="single" w:sz="6" w:space="0" w:color="auto"/>
              <w:bottom w:val="single" w:sz="6" w:space="0" w:color="auto"/>
              <w:right w:val="single" w:sz="6" w:space="0" w:color="auto"/>
            </w:tcBorders>
          </w:tcPr>
          <w:p w14:paraId="3D29650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2,265</w:t>
            </w:r>
          </w:p>
        </w:tc>
        <w:tc>
          <w:tcPr>
            <w:tcW w:w="979" w:type="dxa"/>
            <w:tcBorders>
              <w:top w:val="single" w:sz="6" w:space="0" w:color="auto"/>
              <w:left w:val="single" w:sz="6" w:space="0" w:color="auto"/>
              <w:bottom w:val="single" w:sz="6" w:space="0" w:color="auto"/>
              <w:right w:val="single" w:sz="6" w:space="0" w:color="auto"/>
            </w:tcBorders>
          </w:tcPr>
          <w:p w14:paraId="7816558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7.8</w:t>
            </w:r>
          </w:p>
        </w:tc>
        <w:tc>
          <w:tcPr>
            <w:tcW w:w="950" w:type="dxa"/>
            <w:tcBorders>
              <w:top w:val="single" w:sz="4" w:space="0" w:color="auto"/>
              <w:bottom w:val="single" w:sz="4" w:space="0" w:color="auto"/>
              <w:right w:val="single" w:sz="4" w:space="0" w:color="auto"/>
            </w:tcBorders>
            <w:shd w:val="clear" w:color="auto" w:fill="auto"/>
          </w:tcPr>
          <w:p w14:paraId="0BDCD40C"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2,053</w:t>
            </w:r>
          </w:p>
        </w:tc>
        <w:tc>
          <w:tcPr>
            <w:tcW w:w="934" w:type="dxa"/>
            <w:tcBorders>
              <w:top w:val="single" w:sz="4" w:space="0" w:color="auto"/>
              <w:bottom w:val="single" w:sz="4" w:space="0" w:color="auto"/>
              <w:right w:val="single" w:sz="4" w:space="0" w:color="auto"/>
            </w:tcBorders>
            <w:shd w:val="clear" w:color="auto" w:fill="auto"/>
          </w:tcPr>
          <w:p w14:paraId="31BF9153"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7.1</w:t>
            </w:r>
          </w:p>
        </w:tc>
        <w:tc>
          <w:tcPr>
            <w:tcW w:w="956" w:type="dxa"/>
            <w:tcBorders>
              <w:top w:val="single" w:sz="4" w:space="0" w:color="auto"/>
              <w:bottom w:val="single" w:sz="4" w:space="0" w:color="auto"/>
              <w:right w:val="single" w:sz="4" w:space="0" w:color="auto"/>
            </w:tcBorders>
            <w:shd w:val="clear" w:color="auto" w:fill="auto"/>
          </w:tcPr>
          <w:p w14:paraId="1D36E323" w14:textId="718BE4B6" w:rsidR="008772FC" w:rsidRPr="003B38D6" w:rsidRDefault="00E94B1F" w:rsidP="008F2513">
            <w:pPr>
              <w:rPr>
                <w:rFonts w:ascii="Calibri" w:hAnsi="Calibri" w:cs="Lucida Sans Unicode"/>
                <w:sz w:val="20"/>
              </w:rPr>
            </w:pPr>
            <w:r>
              <w:rPr>
                <w:rFonts w:ascii="Calibri" w:hAnsi="Calibri" w:cs="Lucida Sans Unicode"/>
                <w:sz w:val="20"/>
                <w:szCs w:val="22"/>
              </w:rPr>
              <w:t>3,170</w:t>
            </w:r>
          </w:p>
        </w:tc>
        <w:tc>
          <w:tcPr>
            <w:tcW w:w="990" w:type="dxa"/>
            <w:tcBorders>
              <w:top w:val="single" w:sz="4" w:space="0" w:color="auto"/>
              <w:bottom w:val="single" w:sz="4" w:space="0" w:color="auto"/>
              <w:right w:val="single" w:sz="4" w:space="0" w:color="auto"/>
            </w:tcBorders>
            <w:shd w:val="clear" w:color="auto" w:fill="auto"/>
          </w:tcPr>
          <w:p w14:paraId="5DB48237" w14:textId="05360512" w:rsidR="008772FC" w:rsidRPr="003B38D6" w:rsidRDefault="00E94B1F" w:rsidP="008F2513">
            <w:pPr>
              <w:rPr>
                <w:rFonts w:ascii="Calibri" w:hAnsi="Calibri" w:cs="Lucida Sans Unicode"/>
                <w:sz w:val="20"/>
              </w:rPr>
            </w:pPr>
            <w:r>
              <w:rPr>
                <w:rFonts w:ascii="Calibri" w:hAnsi="Calibri" w:cs="Lucida Sans Unicode"/>
                <w:sz w:val="20"/>
                <w:szCs w:val="22"/>
              </w:rPr>
              <w:t>10.2</w:t>
            </w:r>
          </w:p>
        </w:tc>
      </w:tr>
      <w:tr w:rsidR="008772FC" w:rsidRPr="004E50E7" w14:paraId="134C1834"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6A9178D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75 – 84 Years</w:t>
            </w:r>
          </w:p>
        </w:tc>
        <w:tc>
          <w:tcPr>
            <w:tcW w:w="985" w:type="dxa"/>
            <w:tcBorders>
              <w:top w:val="single" w:sz="6" w:space="0" w:color="auto"/>
              <w:left w:val="single" w:sz="6" w:space="0" w:color="auto"/>
              <w:bottom w:val="single" w:sz="6" w:space="0" w:color="auto"/>
              <w:right w:val="single" w:sz="6" w:space="0" w:color="auto"/>
            </w:tcBorders>
          </w:tcPr>
          <w:p w14:paraId="69D5355B"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1,556</w:t>
            </w:r>
          </w:p>
        </w:tc>
        <w:tc>
          <w:tcPr>
            <w:tcW w:w="895" w:type="dxa"/>
            <w:tcBorders>
              <w:top w:val="single" w:sz="6" w:space="0" w:color="auto"/>
              <w:left w:val="single" w:sz="6" w:space="0" w:color="auto"/>
              <w:bottom w:val="single" w:sz="6" w:space="0" w:color="auto"/>
              <w:right w:val="single" w:sz="6" w:space="0" w:color="auto"/>
            </w:tcBorders>
          </w:tcPr>
          <w:p w14:paraId="336CC3D1"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5.6</w:t>
            </w:r>
          </w:p>
        </w:tc>
        <w:tc>
          <w:tcPr>
            <w:tcW w:w="979" w:type="dxa"/>
            <w:tcBorders>
              <w:top w:val="single" w:sz="6" w:space="0" w:color="auto"/>
              <w:left w:val="single" w:sz="6" w:space="0" w:color="auto"/>
              <w:bottom w:val="single" w:sz="6" w:space="0" w:color="auto"/>
              <w:right w:val="single" w:sz="6" w:space="0" w:color="auto"/>
            </w:tcBorders>
          </w:tcPr>
          <w:p w14:paraId="6EA1080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1,885</w:t>
            </w:r>
          </w:p>
        </w:tc>
        <w:tc>
          <w:tcPr>
            <w:tcW w:w="979" w:type="dxa"/>
            <w:tcBorders>
              <w:top w:val="single" w:sz="6" w:space="0" w:color="auto"/>
              <w:left w:val="single" w:sz="6" w:space="0" w:color="auto"/>
              <w:bottom w:val="single" w:sz="6" w:space="0" w:color="auto"/>
              <w:right w:val="single" w:sz="6" w:space="0" w:color="auto"/>
            </w:tcBorders>
          </w:tcPr>
          <w:p w14:paraId="32BD21D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6.5</w:t>
            </w:r>
          </w:p>
        </w:tc>
        <w:tc>
          <w:tcPr>
            <w:tcW w:w="950" w:type="dxa"/>
            <w:tcBorders>
              <w:top w:val="single" w:sz="4" w:space="0" w:color="auto"/>
              <w:bottom w:val="single" w:sz="4" w:space="0" w:color="auto"/>
              <w:right w:val="single" w:sz="4" w:space="0" w:color="auto"/>
            </w:tcBorders>
            <w:shd w:val="clear" w:color="auto" w:fill="auto"/>
          </w:tcPr>
          <w:p w14:paraId="1CC7611D"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1,606</w:t>
            </w:r>
          </w:p>
        </w:tc>
        <w:tc>
          <w:tcPr>
            <w:tcW w:w="934" w:type="dxa"/>
            <w:tcBorders>
              <w:top w:val="single" w:sz="4" w:space="0" w:color="auto"/>
              <w:bottom w:val="single" w:sz="4" w:space="0" w:color="auto"/>
              <w:right w:val="single" w:sz="4" w:space="0" w:color="auto"/>
            </w:tcBorders>
            <w:shd w:val="clear" w:color="auto" w:fill="auto"/>
          </w:tcPr>
          <w:p w14:paraId="27E557A0"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5.6</w:t>
            </w:r>
          </w:p>
        </w:tc>
        <w:tc>
          <w:tcPr>
            <w:tcW w:w="956" w:type="dxa"/>
            <w:tcBorders>
              <w:top w:val="single" w:sz="4" w:space="0" w:color="auto"/>
              <w:bottom w:val="single" w:sz="4" w:space="0" w:color="auto"/>
              <w:right w:val="single" w:sz="4" w:space="0" w:color="auto"/>
            </w:tcBorders>
            <w:shd w:val="clear" w:color="auto" w:fill="auto"/>
          </w:tcPr>
          <w:p w14:paraId="245F508C" w14:textId="2E1AC97E" w:rsidR="008772FC" w:rsidRPr="003B38D6" w:rsidRDefault="00E94B1F" w:rsidP="008F2513">
            <w:pPr>
              <w:rPr>
                <w:rFonts w:ascii="Calibri" w:hAnsi="Calibri" w:cs="Lucida Sans Unicode"/>
                <w:sz w:val="20"/>
              </w:rPr>
            </w:pPr>
            <w:r>
              <w:rPr>
                <w:rFonts w:ascii="Calibri" w:hAnsi="Calibri" w:cs="Lucida Sans Unicode"/>
                <w:sz w:val="20"/>
                <w:szCs w:val="22"/>
              </w:rPr>
              <w:t>1,579</w:t>
            </w:r>
          </w:p>
        </w:tc>
        <w:tc>
          <w:tcPr>
            <w:tcW w:w="990" w:type="dxa"/>
            <w:tcBorders>
              <w:top w:val="single" w:sz="4" w:space="0" w:color="auto"/>
              <w:bottom w:val="single" w:sz="4" w:space="0" w:color="auto"/>
              <w:right w:val="single" w:sz="4" w:space="0" w:color="auto"/>
            </w:tcBorders>
            <w:shd w:val="clear" w:color="auto" w:fill="auto"/>
          </w:tcPr>
          <w:p w14:paraId="77A1BFE8" w14:textId="391489AA" w:rsidR="008772FC" w:rsidRPr="003B38D6" w:rsidRDefault="00E94B1F" w:rsidP="008F2513">
            <w:pPr>
              <w:rPr>
                <w:rFonts w:ascii="Calibri" w:hAnsi="Calibri" w:cs="Lucida Sans Unicode"/>
                <w:sz w:val="20"/>
              </w:rPr>
            </w:pPr>
            <w:r>
              <w:rPr>
                <w:rFonts w:ascii="Calibri" w:hAnsi="Calibri" w:cs="Lucida Sans Unicode"/>
                <w:sz w:val="20"/>
                <w:szCs w:val="22"/>
              </w:rPr>
              <w:t>5.1</w:t>
            </w:r>
          </w:p>
        </w:tc>
      </w:tr>
      <w:tr w:rsidR="008772FC" w:rsidRPr="004E50E7" w14:paraId="7B3179CE" w14:textId="77777777" w:rsidTr="003533DF">
        <w:trPr>
          <w:cantSplit/>
        </w:trPr>
        <w:tc>
          <w:tcPr>
            <w:tcW w:w="1422" w:type="dxa"/>
            <w:tcBorders>
              <w:top w:val="single" w:sz="6" w:space="0" w:color="auto"/>
              <w:left w:val="single" w:sz="6" w:space="0" w:color="auto"/>
              <w:bottom w:val="single" w:sz="6" w:space="0" w:color="auto"/>
              <w:right w:val="single" w:sz="6" w:space="0" w:color="auto"/>
            </w:tcBorders>
          </w:tcPr>
          <w:p w14:paraId="69492C2D"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85+ Years</w:t>
            </w:r>
          </w:p>
        </w:tc>
        <w:tc>
          <w:tcPr>
            <w:tcW w:w="985" w:type="dxa"/>
            <w:tcBorders>
              <w:top w:val="single" w:sz="6" w:space="0" w:color="auto"/>
              <w:left w:val="single" w:sz="6" w:space="0" w:color="auto"/>
              <w:bottom w:val="single" w:sz="6" w:space="0" w:color="auto"/>
              <w:right w:val="single" w:sz="6" w:space="0" w:color="auto"/>
            </w:tcBorders>
          </w:tcPr>
          <w:p w14:paraId="37309769"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680</w:t>
            </w:r>
          </w:p>
        </w:tc>
        <w:tc>
          <w:tcPr>
            <w:tcW w:w="895" w:type="dxa"/>
            <w:tcBorders>
              <w:top w:val="single" w:sz="6" w:space="0" w:color="auto"/>
              <w:left w:val="single" w:sz="6" w:space="0" w:color="auto"/>
              <w:bottom w:val="single" w:sz="6" w:space="0" w:color="auto"/>
              <w:right w:val="single" w:sz="6" w:space="0" w:color="auto"/>
            </w:tcBorders>
          </w:tcPr>
          <w:p w14:paraId="5E2D618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2.5</w:t>
            </w:r>
          </w:p>
        </w:tc>
        <w:tc>
          <w:tcPr>
            <w:tcW w:w="979" w:type="dxa"/>
            <w:tcBorders>
              <w:top w:val="single" w:sz="6" w:space="0" w:color="auto"/>
              <w:left w:val="single" w:sz="6" w:space="0" w:color="auto"/>
              <w:bottom w:val="single" w:sz="6" w:space="0" w:color="auto"/>
              <w:right w:val="single" w:sz="6" w:space="0" w:color="auto"/>
            </w:tcBorders>
          </w:tcPr>
          <w:p w14:paraId="0E041FDD"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1,040</w:t>
            </w:r>
          </w:p>
        </w:tc>
        <w:tc>
          <w:tcPr>
            <w:tcW w:w="979" w:type="dxa"/>
            <w:tcBorders>
              <w:top w:val="single" w:sz="6" w:space="0" w:color="auto"/>
              <w:left w:val="single" w:sz="6" w:space="0" w:color="auto"/>
              <w:bottom w:val="single" w:sz="6" w:space="0" w:color="auto"/>
              <w:right w:val="single" w:sz="6" w:space="0" w:color="auto"/>
            </w:tcBorders>
          </w:tcPr>
          <w:p w14:paraId="4F47194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3.6</w:t>
            </w:r>
          </w:p>
        </w:tc>
        <w:tc>
          <w:tcPr>
            <w:tcW w:w="950" w:type="dxa"/>
            <w:tcBorders>
              <w:top w:val="single" w:sz="4" w:space="0" w:color="auto"/>
              <w:bottom w:val="single" w:sz="4" w:space="0" w:color="auto"/>
              <w:right w:val="single" w:sz="4" w:space="0" w:color="auto"/>
            </w:tcBorders>
            <w:shd w:val="clear" w:color="auto" w:fill="auto"/>
          </w:tcPr>
          <w:p w14:paraId="75A0C6C0"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1,041</w:t>
            </w:r>
          </w:p>
        </w:tc>
        <w:tc>
          <w:tcPr>
            <w:tcW w:w="934" w:type="dxa"/>
            <w:tcBorders>
              <w:top w:val="single" w:sz="4" w:space="0" w:color="auto"/>
              <w:bottom w:val="single" w:sz="4" w:space="0" w:color="auto"/>
              <w:right w:val="single" w:sz="4" w:space="0" w:color="auto"/>
            </w:tcBorders>
            <w:shd w:val="clear" w:color="auto" w:fill="auto"/>
          </w:tcPr>
          <w:p w14:paraId="33F5A26C"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3.6</w:t>
            </w:r>
          </w:p>
        </w:tc>
        <w:tc>
          <w:tcPr>
            <w:tcW w:w="956" w:type="dxa"/>
            <w:tcBorders>
              <w:top w:val="single" w:sz="4" w:space="0" w:color="auto"/>
              <w:bottom w:val="single" w:sz="4" w:space="0" w:color="auto"/>
              <w:right w:val="single" w:sz="4" w:space="0" w:color="auto"/>
            </w:tcBorders>
            <w:shd w:val="clear" w:color="auto" w:fill="auto"/>
          </w:tcPr>
          <w:p w14:paraId="7164C7A6" w14:textId="5CECD0F7" w:rsidR="008772FC" w:rsidRPr="003B38D6" w:rsidRDefault="00E94B1F" w:rsidP="008F2513">
            <w:pPr>
              <w:rPr>
                <w:rFonts w:ascii="Calibri" w:hAnsi="Calibri" w:cs="Lucida Sans Unicode"/>
                <w:sz w:val="20"/>
              </w:rPr>
            </w:pPr>
            <w:r>
              <w:rPr>
                <w:rFonts w:ascii="Calibri" w:hAnsi="Calibri" w:cs="Lucida Sans Unicode"/>
                <w:sz w:val="20"/>
                <w:szCs w:val="22"/>
              </w:rPr>
              <w:t>1,319</w:t>
            </w:r>
          </w:p>
        </w:tc>
        <w:tc>
          <w:tcPr>
            <w:tcW w:w="990" w:type="dxa"/>
            <w:tcBorders>
              <w:top w:val="single" w:sz="4" w:space="0" w:color="auto"/>
              <w:bottom w:val="single" w:sz="4" w:space="0" w:color="auto"/>
              <w:right w:val="single" w:sz="4" w:space="0" w:color="auto"/>
            </w:tcBorders>
            <w:shd w:val="clear" w:color="auto" w:fill="auto"/>
          </w:tcPr>
          <w:p w14:paraId="424C10E8" w14:textId="5331322E" w:rsidR="008772FC" w:rsidRPr="003B38D6" w:rsidRDefault="00E94B1F" w:rsidP="008F2513">
            <w:pPr>
              <w:rPr>
                <w:rFonts w:ascii="Calibri" w:hAnsi="Calibri" w:cs="Lucida Sans Unicode"/>
                <w:sz w:val="20"/>
              </w:rPr>
            </w:pPr>
            <w:r>
              <w:rPr>
                <w:rFonts w:ascii="Calibri" w:hAnsi="Calibri" w:cs="Lucida Sans Unicode"/>
                <w:sz w:val="20"/>
                <w:szCs w:val="22"/>
              </w:rPr>
              <w:t>4.2</w:t>
            </w:r>
          </w:p>
        </w:tc>
      </w:tr>
      <w:tr w:rsidR="008772FC" w:rsidRPr="004E50E7" w14:paraId="6EDCEB1A" w14:textId="77777777" w:rsidTr="003533DF">
        <w:trPr>
          <w:cantSplit/>
        </w:trPr>
        <w:tc>
          <w:tcPr>
            <w:tcW w:w="1422" w:type="dxa"/>
            <w:tcBorders>
              <w:top w:val="single" w:sz="6" w:space="0" w:color="auto"/>
              <w:left w:val="single" w:sz="6" w:space="0" w:color="auto"/>
              <w:bottom w:val="single" w:sz="18" w:space="0" w:color="auto"/>
              <w:right w:val="single" w:sz="6" w:space="0" w:color="auto"/>
            </w:tcBorders>
          </w:tcPr>
          <w:p w14:paraId="341AD8C3"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Total</w:t>
            </w:r>
          </w:p>
        </w:tc>
        <w:tc>
          <w:tcPr>
            <w:tcW w:w="985" w:type="dxa"/>
            <w:tcBorders>
              <w:top w:val="single" w:sz="6" w:space="0" w:color="auto"/>
              <w:left w:val="single" w:sz="6" w:space="0" w:color="auto"/>
              <w:bottom w:val="single" w:sz="18" w:space="0" w:color="auto"/>
              <w:right w:val="single" w:sz="6" w:space="0" w:color="auto"/>
            </w:tcBorders>
          </w:tcPr>
          <w:p w14:paraId="04FA6D50"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27,557</w:t>
            </w:r>
          </w:p>
        </w:tc>
        <w:tc>
          <w:tcPr>
            <w:tcW w:w="895" w:type="dxa"/>
            <w:tcBorders>
              <w:top w:val="single" w:sz="6" w:space="0" w:color="auto"/>
              <w:left w:val="single" w:sz="6" w:space="0" w:color="auto"/>
              <w:bottom w:val="single" w:sz="18" w:space="0" w:color="auto"/>
              <w:right w:val="single" w:sz="6" w:space="0" w:color="auto"/>
            </w:tcBorders>
          </w:tcPr>
          <w:p w14:paraId="16403995"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100.0</w:t>
            </w:r>
          </w:p>
        </w:tc>
        <w:tc>
          <w:tcPr>
            <w:tcW w:w="979" w:type="dxa"/>
            <w:tcBorders>
              <w:top w:val="single" w:sz="6" w:space="0" w:color="auto"/>
              <w:left w:val="single" w:sz="6" w:space="0" w:color="auto"/>
              <w:bottom w:val="single" w:sz="18" w:space="0" w:color="auto"/>
              <w:right w:val="single" w:sz="6" w:space="0" w:color="auto"/>
            </w:tcBorders>
          </w:tcPr>
          <w:p w14:paraId="38EDC05A"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28,911</w:t>
            </w:r>
          </w:p>
        </w:tc>
        <w:tc>
          <w:tcPr>
            <w:tcW w:w="979" w:type="dxa"/>
            <w:tcBorders>
              <w:top w:val="single" w:sz="6" w:space="0" w:color="auto"/>
              <w:left w:val="single" w:sz="6" w:space="0" w:color="auto"/>
              <w:bottom w:val="single" w:sz="18" w:space="0" w:color="auto"/>
              <w:right w:val="single" w:sz="6" w:space="0" w:color="auto"/>
            </w:tcBorders>
          </w:tcPr>
          <w:p w14:paraId="13F91184"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100.0</w:t>
            </w:r>
          </w:p>
        </w:tc>
        <w:tc>
          <w:tcPr>
            <w:tcW w:w="950" w:type="dxa"/>
            <w:tcBorders>
              <w:top w:val="single" w:sz="4" w:space="0" w:color="auto"/>
              <w:bottom w:val="single" w:sz="18" w:space="0" w:color="auto"/>
              <w:right w:val="single" w:sz="4" w:space="0" w:color="auto"/>
            </w:tcBorders>
            <w:shd w:val="clear" w:color="auto" w:fill="auto"/>
          </w:tcPr>
          <w:p w14:paraId="5521C01B"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28,886</w:t>
            </w:r>
          </w:p>
        </w:tc>
        <w:tc>
          <w:tcPr>
            <w:tcW w:w="934" w:type="dxa"/>
            <w:tcBorders>
              <w:top w:val="single" w:sz="4" w:space="0" w:color="auto"/>
              <w:bottom w:val="single" w:sz="18" w:space="0" w:color="auto"/>
              <w:right w:val="single" w:sz="4" w:space="0" w:color="auto"/>
            </w:tcBorders>
            <w:shd w:val="clear" w:color="auto" w:fill="auto"/>
          </w:tcPr>
          <w:p w14:paraId="0AD3ACC5"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100.0</w:t>
            </w:r>
          </w:p>
        </w:tc>
        <w:tc>
          <w:tcPr>
            <w:tcW w:w="956" w:type="dxa"/>
            <w:tcBorders>
              <w:top w:val="single" w:sz="4" w:space="0" w:color="auto"/>
              <w:bottom w:val="single" w:sz="18" w:space="0" w:color="auto"/>
              <w:right w:val="single" w:sz="4" w:space="0" w:color="auto"/>
            </w:tcBorders>
            <w:shd w:val="clear" w:color="auto" w:fill="auto"/>
          </w:tcPr>
          <w:p w14:paraId="7597B6B0" w14:textId="2C92F554" w:rsidR="008772FC" w:rsidRPr="003B38D6" w:rsidRDefault="001079FA" w:rsidP="008F2513">
            <w:pPr>
              <w:rPr>
                <w:rFonts w:ascii="Calibri" w:hAnsi="Calibri" w:cs="Lucida Sans Unicode"/>
                <w:sz w:val="20"/>
              </w:rPr>
            </w:pPr>
            <w:r>
              <w:rPr>
                <w:rFonts w:ascii="Calibri" w:hAnsi="Calibri" w:cs="Lucida Sans Unicode"/>
                <w:sz w:val="20"/>
                <w:szCs w:val="22"/>
              </w:rPr>
              <w:t>31,177</w:t>
            </w:r>
          </w:p>
        </w:tc>
        <w:tc>
          <w:tcPr>
            <w:tcW w:w="990" w:type="dxa"/>
            <w:tcBorders>
              <w:top w:val="single" w:sz="4" w:space="0" w:color="auto"/>
              <w:bottom w:val="single" w:sz="18" w:space="0" w:color="auto"/>
              <w:right w:val="single" w:sz="4" w:space="0" w:color="auto"/>
            </w:tcBorders>
            <w:shd w:val="clear" w:color="auto" w:fill="auto"/>
          </w:tcPr>
          <w:p w14:paraId="584875D2" w14:textId="4CE6C865" w:rsidR="008772FC" w:rsidRPr="003B38D6" w:rsidRDefault="00E94B1F" w:rsidP="008F2513">
            <w:pPr>
              <w:rPr>
                <w:rFonts w:ascii="Calibri" w:hAnsi="Calibri" w:cs="Lucida Sans Unicode"/>
                <w:sz w:val="20"/>
              </w:rPr>
            </w:pPr>
            <w:r>
              <w:rPr>
                <w:rFonts w:ascii="Calibri" w:hAnsi="Calibri" w:cs="Lucida Sans Unicode"/>
                <w:sz w:val="20"/>
                <w:szCs w:val="22"/>
              </w:rPr>
              <w:t>100.0</w:t>
            </w:r>
          </w:p>
        </w:tc>
      </w:tr>
      <w:tr w:rsidR="008772FC" w:rsidRPr="004E50E7" w14:paraId="0B48C43F" w14:textId="77777777" w:rsidTr="003533DF">
        <w:trPr>
          <w:cantSplit/>
        </w:trPr>
        <w:tc>
          <w:tcPr>
            <w:tcW w:w="1422" w:type="dxa"/>
            <w:tcBorders>
              <w:top w:val="single" w:sz="18" w:space="0" w:color="auto"/>
              <w:left w:val="single" w:sz="6" w:space="0" w:color="auto"/>
              <w:bottom w:val="single" w:sz="6" w:space="0" w:color="auto"/>
              <w:right w:val="single" w:sz="6" w:space="0" w:color="auto"/>
            </w:tcBorders>
          </w:tcPr>
          <w:p w14:paraId="2C344147" w14:textId="2BA554A4"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Under 18</w:t>
            </w:r>
          </w:p>
        </w:tc>
        <w:tc>
          <w:tcPr>
            <w:tcW w:w="985" w:type="dxa"/>
            <w:tcBorders>
              <w:top w:val="single" w:sz="18" w:space="0" w:color="auto"/>
              <w:left w:val="single" w:sz="6" w:space="0" w:color="auto"/>
              <w:bottom w:val="single" w:sz="6" w:space="0" w:color="auto"/>
              <w:right w:val="single" w:sz="6" w:space="0" w:color="auto"/>
            </w:tcBorders>
          </w:tcPr>
          <w:p w14:paraId="6BB90BF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6,262</w:t>
            </w:r>
          </w:p>
        </w:tc>
        <w:tc>
          <w:tcPr>
            <w:tcW w:w="895" w:type="dxa"/>
            <w:tcBorders>
              <w:top w:val="single" w:sz="18" w:space="0" w:color="auto"/>
              <w:left w:val="single" w:sz="6" w:space="0" w:color="auto"/>
              <w:bottom w:val="single" w:sz="6" w:space="0" w:color="auto"/>
              <w:right w:val="single" w:sz="6" w:space="0" w:color="auto"/>
            </w:tcBorders>
          </w:tcPr>
          <w:p w14:paraId="350C23DF"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22.7</w:t>
            </w:r>
          </w:p>
        </w:tc>
        <w:tc>
          <w:tcPr>
            <w:tcW w:w="979" w:type="dxa"/>
            <w:tcBorders>
              <w:top w:val="single" w:sz="18" w:space="0" w:color="auto"/>
              <w:left w:val="single" w:sz="6" w:space="0" w:color="auto"/>
              <w:bottom w:val="single" w:sz="6" w:space="0" w:color="auto"/>
              <w:right w:val="single" w:sz="6" w:space="0" w:color="auto"/>
            </w:tcBorders>
          </w:tcPr>
          <w:p w14:paraId="2DC8FDA7"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7,576</w:t>
            </w:r>
          </w:p>
        </w:tc>
        <w:tc>
          <w:tcPr>
            <w:tcW w:w="979" w:type="dxa"/>
            <w:tcBorders>
              <w:top w:val="single" w:sz="18" w:space="0" w:color="auto"/>
              <w:left w:val="single" w:sz="6" w:space="0" w:color="auto"/>
              <w:bottom w:val="single" w:sz="6" w:space="0" w:color="auto"/>
              <w:right w:val="single" w:sz="6" w:space="0" w:color="auto"/>
            </w:tcBorders>
          </w:tcPr>
          <w:p w14:paraId="12B7A8C4"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26.2</w:t>
            </w:r>
          </w:p>
        </w:tc>
        <w:tc>
          <w:tcPr>
            <w:tcW w:w="950" w:type="dxa"/>
            <w:tcBorders>
              <w:top w:val="single" w:sz="4" w:space="0" w:color="auto"/>
              <w:bottom w:val="single" w:sz="4" w:space="0" w:color="auto"/>
              <w:right w:val="single" w:sz="4" w:space="0" w:color="auto"/>
            </w:tcBorders>
            <w:shd w:val="clear" w:color="auto" w:fill="auto"/>
          </w:tcPr>
          <w:p w14:paraId="2AD22A6A"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8,139</w:t>
            </w:r>
          </w:p>
        </w:tc>
        <w:tc>
          <w:tcPr>
            <w:tcW w:w="934" w:type="dxa"/>
            <w:tcBorders>
              <w:top w:val="single" w:sz="4" w:space="0" w:color="auto"/>
              <w:bottom w:val="single" w:sz="4" w:space="0" w:color="auto"/>
              <w:right w:val="single" w:sz="4" w:space="0" w:color="auto"/>
            </w:tcBorders>
            <w:shd w:val="clear" w:color="auto" w:fill="auto"/>
          </w:tcPr>
          <w:p w14:paraId="5BB1FBB9"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28.2</w:t>
            </w:r>
          </w:p>
        </w:tc>
        <w:tc>
          <w:tcPr>
            <w:tcW w:w="956" w:type="dxa"/>
            <w:tcBorders>
              <w:top w:val="single" w:sz="4" w:space="0" w:color="auto"/>
              <w:bottom w:val="single" w:sz="4" w:space="0" w:color="auto"/>
              <w:right w:val="single" w:sz="4" w:space="0" w:color="auto"/>
            </w:tcBorders>
            <w:shd w:val="clear" w:color="auto" w:fill="auto"/>
          </w:tcPr>
          <w:p w14:paraId="5612D287" w14:textId="0FDF5F1B" w:rsidR="008772FC" w:rsidRPr="003B38D6" w:rsidRDefault="00E94B1F" w:rsidP="008F2513">
            <w:pPr>
              <w:rPr>
                <w:rFonts w:ascii="Calibri" w:hAnsi="Calibri" w:cs="Lucida Sans Unicode"/>
                <w:sz w:val="20"/>
              </w:rPr>
            </w:pPr>
            <w:r>
              <w:rPr>
                <w:rFonts w:ascii="Calibri" w:hAnsi="Calibri" w:cs="Lucida Sans Unicode"/>
                <w:sz w:val="20"/>
                <w:szCs w:val="22"/>
              </w:rPr>
              <w:t>8,496</w:t>
            </w:r>
          </w:p>
        </w:tc>
        <w:tc>
          <w:tcPr>
            <w:tcW w:w="990" w:type="dxa"/>
            <w:tcBorders>
              <w:top w:val="single" w:sz="4" w:space="0" w:color="auto"/>
              <w:bottom w:val="single" w:sz="4" w:space="0" w:color="auto"/>
              <w:right w:val="single" w:sz="4" w:space="0" w:color="auto"/>
            </w:tcBorders>
            <w:shd w:val="clear" w:color="auto" w:fill="auto"/>
          </w:tcPr>
          <w:p w14:paraId="2B237B95" w14:textId="23BBB5E3" w:rsidR="008772FC" w:rsidRPr="003B38D6" w:rsidRDefault="00E94B1F" w:rsidP="008F2513">
            <w:pPr>
              <w:rPr>
                <w:rFonts w:ascii="Calibri" w:hAnsi="Calibri" w:cs="Lucida Sans Unicode"/>
                <w:sz w:val="20"/>
              </w:rPr>
            </w:pPr>
            <w:r>
              <w:rPr>
                <w:rFonts w:ascii="Calibri" w:hAnsi="Calibri" w:cs="Lucida Sans Unicode"/>
                <w:sz w:val="20"/>
                <w:szCs w:val="22"/>
              </w:rPr>
              <w:t>27.2</w:t>
            </w:r>
          </w:p>
        </w:tc>
      </w:tr>
      <w:tr w:rsidR="008772FC" w:rsidRPr="004E50E7" w14:paraId="5A800BF7" w14:textId="77777777" w:rsidTr="003533DF">
        <w:trPr>
          <w:cantSplit/>
        </w:trPr>
        <w:tc>
          <w:tcPr>
            <w:tcW w:w="1422" w:type="dxa"/>
            <w:tcBorders>
              <w:top w:val="single" w:sz="6" w:space="0" w:color="auto"/>
              <w:left w:val="single" w:sz="6" w:space="0" w:color="auto"/>
              <w:bottom w:val="single" w:sz="12" w:space="0" w:color="auto"/>
              <w:right w:val="single" w:sz="6" w:space="0" w:color="auto"/>
            </w:tcBorders>
          </w:tcPr>
          <w:p w14:paraId="019D5272"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Age 65+</w:t>
            </w:r>
          </w:p>
        </w:tc>
        <w:tc>
          <w:tcPr>
            <w:tcW w:w="985" w:type="dxa"/>
            <w:tcBorders>
              <w:top w:val="single" w:sz="6" w:space="0" w:color="auto"/>
              <w:left w:val="single" w:sz="6" w:space="0" w:color="auto"/>
              <w:bottom w:val="single" w:sz="12" w:space="0" w:color="auto"/>
              <w:right w:val="single" w:sz="6" w:space="0" w:color="auto"/>
            </w:tcBorders>
          </w:tcPr>
          <w:p w14:paraId="0B70A3AD"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4,630</w:t>
            </w:r>
          </w:p>
        </w:tc>
        <w:tc>
          <w:tcPr>
            <w:tcW w:w="895" w:type="dxa"/>
            <w:tcBorders>
              <w:top w:val="single" w:sz="6" w:space="0" w:color="auto"/>
              <w:left w:val="single" w:sz="6" w:space="0" w:color="auto"/>
              <w:bottom w:val="single" w:sz="12" w:space="0" w:color="auto"/>
              <w:right w:val="single" w:sz="6" w:space="0" w:color="auto"/>
            </w:tcBorders>
          </w:tcPr>
          <w:p w14:paraId="7B43E987"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16.8</w:t>
            </w:r>
          </w:p>
        </w:tc>
        <w:tc>
          <w:tcPr>
            <w:tcW w:w="979" w:type="dxa"/>
            <w:tcBorders>
              <w:top w:val="single" w:sz="6" w:space="0" w:color="auto"/>
              <w:left w:val="single" w:sz="6" w:space="0" w:color="auto"/>
              <w:bottom w:val="single" w:sz="12" w:space="0" w:color="auto"/>
              <w:right w:val="single" w:sz="6" w:space="0" w:color="auto"/>
            </w:tcBorders>
          </w:tcPr>
          <w:p w14:paraId="7762E8E5"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5,190</w:t>
            </w:r>
          </w:p>
        </w:tc>
        <w:tc>
          <w:tcPr>
            <w:tcW w:w="979" w:type="dxa"/>
            <w:tcBorders>
              <w:top w:val="single" w:sz="6" w:space="0" w:color="auto"/>
              <w:left w:val="single" w:sz="6" w:space="0" w:color="auto"/>
              <w:bottom w:val="single" w:sz="12" w:space="0" w:color="auto"/>
              <w:right w:val="single" w:sz="6" w:space="0" w:color="auto"/>
            </w:tcBorders>
          </w:tcPr>
          <w:p w14:paraId="288DA3B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18.0</w:t>
            </w:r>
          </w:p>
        </w:tc>
        <w:tc>
          <w:tcPr>
            <w:tcW w:w="950" w:type="dxa"/>
            <w:tcBorders>
              <w:top w:val="single" w:sz="4" w:space="0" w:color="auto"/>
              <w:bottom w:val="single" w:sz="12" w:space="0" w:color="auto"/>
              <w:right w:val="single" w:sz="4" w:space="0" w:color="auto"/>
            </w:tcBorders>
            <w:shd w:val="clear" w:color="auto" w:fill="auto"/>
          </w:tcPr>
          <w:p w14:paraId="5CCF3797"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4,700</w:t>
            </w:r>
          </w:p>
        </w:tc>
        <w:tc>
          <w:tcPr>
            <w:tcW w:w="934" w:type="dxa"/>
            <w:tcBorders>
              <w:top w:val="single" w:sz="4" w:space="0" w:color="auto"/>
              <w:bottom w:val="single" w:sz="12" w:space="0" w:color="auto"/>
              <w:right w:val="single" w:sz="4" w:space="0" w:color="auto"/>
            </w:tcBorders>
            <w:shd w:val="clear" w:color="auto" w:fill="auto"/>
          </w:tcPr>
          <w:p w14:paraId="149482F6"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16.3</w:t>
            </w:r>
          </w:p>
        </w:tc>
        <w:tc>
          <w:tcPr>
            <w:tcW w:w="956" w:type="dxa"/>
            <w:tcBorders>
              <w:top w:val="single" w:sz="4" w:space="0" w:color="auto"/>
              <w:bottom w:val="single" w:sz="12" w:space="0" w:color="auto"/>
              <w:right w:val="single" w:sz="4" w:space="0" w:color="auto"/>
            </w:tcBorders>
            <w:shd w:val="clear" w:color="auto" w:fill="auto"/>
          </w:tcPr>
          <w:p w14:paraId="2070C873" w14:textId="31609130" w:rsidR="008772FC" w:rsidRPr="003B38D6" w:rsidRDefault="00E94B1F" w:rsidP="008F2513">
            <w:pPr>
              <w:rPr>
                <w:rFonts w:ascii="Calibri" w:hAnsi="Calibri" w:cs="Lucida Sans Unicode"/>
                <w:sz w:val="20"/>
              </w:rPr>
            </w:pPr>
            <w:r>
              <w:rPr>
                <w:rFonts w:ascii="Calibri" w:hAnsi="Calibri" w:cs="Lucida Sans Unicode"/>
                <w:sz w:val="20"/>
                <w:szCs w:val="22"/>
              </w:rPr>
              <w:t>6,068</w:t>
            </w:r>
          </w:p>
        </w:tc>
        <w:tc>
          <w:tcPr>
            <w:tcW w:w="990" w:type="dxa"/>
            <w:tcBorders>
              <w:top w:val="single" w:sz="4" w:space="0" w:color="auto"/>
              <w:bottom w:val="single" w:sz="12" w:space="0" w:color="auto"/>
              <w:right w:val="single" w:sz="4" w:space="0" w:color="auto"/>
            </w:tcBorders>
            <w:shd w:val="clear" w:color="auto" w:fill="auto"/>
          </w:tcPr>
          <w:p w14:paraId="21C69648" w14:textId="3998DAAF" w:rsidR="008772FC" w:rsidRPr="003B38D6" w:rsidRDefault="00E94B1F" w:rsidP="008F2513">
            <w:pPr>
              <w:rPr>
                <w:rFonts w:ascii="Calibri" w:hAnsi="Calibri" w:cs="Lucida Sans Unicode"/>
                <w:sz w:val="20"/>
              </w:rPr>
            </w:pPr>
            <w:r>
              <w:rPr>
                <w:rFonts w:ascii="Calibri" w:hAnsi="Calibri" w:cs="Lucida Sans Unicode"/>
                <w:sz w:val="20"/>
                <w:szCs w:val="22"/>
              </w:rPr>
              <w:t>19.5</w:t>
            </w:r>
          </w:p>
        </w:tc>
      </w:tr>
      <w:tr w:rsidR="008772FC" w:rsidRPr="004E50E7" w14:paraId="24E82CF1" w14:textId="77777777" w:rsidTr="003533DF">
        <w:trPr>
          <w:cantSplit/>
        </w:trPr>
        <w:tc>
          <w:tcPr>
            <w:tcW w:w="1422" w:type="dxa"/>
            <w:tcBorders>
              <w:top w:val="single" w:sz="12" w:space="0" w:color="auto"/>
              <w:left w:val="single" w:sz="6" w:space="0" w:color="auto"/>
              <w:bottom w:val="single" w:sz="4" w:space="0" w:color="auto"/>
              <w:right w:val="single" w:sz="6" w:space="0" w:color="auto"/>
            </w:tcBorders>
          </w:tcPr>
          <w:p w14:paraId="7D57EB54"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Median Age</w:t>
            </w:r>
          </w:p>
        </w:tc>
        <w:tc>
          <w:tcPr>
            <w:tcW w:w="1880" w:type="dxa"/>
            <w:gridSpan w:val="2"/>
            <w:tcBorders>
              <w:top w:val="single" w:sz="12" w:space="0" w:color="auto"/>
              <w:left w:val="single" w:sz="6" w:space="0" w:color="auto"/>
              <w:bottom w:val="single" w:sz="4" w:space="0" w:color="auto"/>
              <w:right w:val="single" w:sz="6" w:space="0" w:color="auto"/>
            </w:tcBorders>
          </w:tcPr>
          <w:p w14:paraId="30EBE53C"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38.9 years</w:t>
            </w:r>
          </w:p>
        </w:tc>
        <w:tc>
          <w:tcPr>
            <w:tcW w:w="1958" w:type="dxa"/>
            <w:gridSpan w:val="2"/>
            <w:tcBorders>
              <w:top w:val="single" w:sz="12" w:space="0" w:color="auto"/>
              <w:left w:val="single" w:sz="6" w:space="0" w:color="auto"/>
              <w:bottom w:val="single" w:sz="4" w:space="0" w:color="auto"/>
              <w:right w:val="single" w:sz="6" w:space="0" w:color="auto"/>
            </w:tcBorders>
          </w:tcPr>
          <w:p w14:paraId="64C6020A" w14:textId="77777777" w:rsidR="008772FC" w:rsidRPr="004E50E7" w:rsidRDefault="008772FC" w:rsidP="008F2513">
            <w:pPr>
              <w:ind w:right="-720"/>
              <w:rPr>
                <w:rFonts w:ascii="Calibri" w:hAnsi="Calibri" w:cs="Lucida Sans Unicode"/>
                <w:sz w:val="20"/>
              </w:rPr>
            </w:pPr>
            <w:r w:rsidRPr="004E50E7">
              <w:rPr>
                <w:rFonts w:ascii="Calibri" w:hAnsi="Calibri" w:cs="Lucida Sans Unicode"/>
                <w:sz w:val="20"/>
                <w:szCs w:val="22"/>
              </w:rPr>
              <w:t>40.8 years</w:t>
            </w:r>
          </w:p>
        </w:tc>
        <w:tc>
          <w:tcPr>
            <w:tcW w:w="1884" w:type="dxa"/>
            <w:gridSpan w:val="2"/>
            <w:tcBorders>
              <w:top w:val="single" w:sz="12" w:space="0" w:color="auto"/>
              <w:bottom w:val="single" w:sz="4" w:space="0" w:color="auto"/>
              <w:right w:val="single" w:sz="4" w:space="0" w:color="auto"/>
            </w:tcBorders>
            <w:shd w:val="clear" w:color="auto" w:fill="auto"/>
          </w:tcPr>
          <w:p w14:paraId="1B493245" w14:textId="77777777" w:rsidR="008772FC" w:rsidRPr="003B38D6" w:rsidRDefault="008772FC" w:rsidP="008F2513">
            <w:pPr>
              <w:rPr>
                <w:rFonts w:ascii="Calibri" w:hAnsi="Calibri" w:cs="Lucida Sans Unicode"/>
                <w:sz w:val="20"/>
              </w:rPr>
            </w:pPr>
            <w:r w:rsidRPr="003B38D6">
              <w:rPr>
                <w:rFonts w:ascii="Calibri" w:hAnsi="Calibri" w:cs="Lucida Sans Unicode"/>
                <w:sz w:val="20"/>
                <w:szCs w:val="22"/>
              </w:rPr>
              <w:t>43.0 years</w:t>
            </w:r>
          </w:p>
        </w:tc>
        <w:tc>
          <w:tcPr>
            <w:tcW w:w="1946" w:type="dxa"/>
            <w:gridSpan w:val="2"/>
            <w:tcBorders>
              <w:top w:val="single" w:sz="12" w:space="0" w:color="auto"/>
              <w:bottom w:val="single" w:sz="4" w:space="0" w:color="auto"/>
              <w:right w:val="single" w:sz="4" w:space="0" w:color="auto"/>
            </w:tcBorders>
            <w:shd w:val="clear" w:color="auto" w:fill="auto"/>
          </w:tcPr>
          <w:p w14:paraId="621A4579" w14:textId="1D82D5D5" w:rsidR="008772FC" w:rsidRPr="003B38D6" w:rsidRDefault="001079FA" w:rsidP="008F2513">
            <w:pPr>
              <w:tabs>
                <w:tab w:val="right" w:pos="1730"/>
              </w:tabs>
              <w:rPr>
                <w:rFonts w:ascii="Calibri" w:hAnsi="Calibri" w:cs="Lucida Sans Unicode"/>
                <w:sz w:val="20"/>
              </w:rPr>
            </w:pPr>
            <w:r>
              <w:rPr>
                <w:rFonts w:ascii="Calibri" w:hAnsi="Calibri" w:cs="Lucida Sans Unicode"/>
                <w:sz w:val="20"/>
                <w:szCs w:val="22"/>
              </w:rPr>
              <w:t>43.9 years</w:t>
            </w:r>
          </w:p>
        </w:tc>
      </w:tr>
    </w:tbl>
    <w:p w14:paraId="7A10E84C" w14:textId="0410156D" w:rsidR="008772FC" w:rsidRPr="004E50E7" w:rsidRDefault="008772FC" w:rsidP="0086490C">
      <w:pPr>
        <w:tabs>
          <w:tab w:val="left" w:pos="720"/>
        </w:tabs>
        <w:ind w:left="720"/>
        <w:rPr>
          <w:rFonts w:ascii="Calibri" w:hAnsi="Calibri" w:cs="Lucida Sans Unicode"/>
          <w:sz w:val="20"/>
        </w:rPr>
      </w:pPr>
      <w:r w:rsidRPr="004E50E7">
        <w:rPr>
          <w:rFonts w:ascii="Calibri" w:hAnsi="Calibri" w:cs="Lucida Sans Unicode"/>
          <w:sz w:val="20"/>
        </w:rPr>
        <w:lastRenderedPageBreak/>
        <w:t>Sources:  U.S. Census Bureau, 1990, 2000 and 2010</w:t>
      </w:r>
      <w:r>
        <w:rPr>
          <w:rFonts w:ascii="Calibri" w:hAnsi="Calibri" w:cs="Lucida Sans Unicode"/>
          <w:sz w:val="20"/>
        </w:rPr>
        <w:t xml:space="preserve"> and American Community Survey 201</w:t>
      </w:r>
      <w:r w:rsidR="001079FA">
        <w:rPr>
          <w:rFonts w:ascii="Calibri" w:hAnsi="Calibri" w:cs="Lucida Sans Unicode"/>
          <w:sz w:val="20"/>
        </w:rPr>
        <w:t>6</w:t>
      </w:r>
      <w:r>
        <w:rPr>
          <w:rFonts w:ascii="Calibri" w:hAnsi="Calibri" w:cs="Lucida Sans Unicode"/>
          <w:sz w:val="20"/>
        </w:rPr>
        <w:t>-20</w:t>
      </w:r>
      <w:r w:rsidR="001079FA">
        <w:rPr>
          <w:rFonts w:ascii="Calibri" w:hAnsi="Calibri" w:cs="Lucida Sans Unicode"/>
          <w:sz w:val="20"/>
        </w:rPr>
        <w:t>20</w:t>
      </w:r>
      <w:r w:rsidR="00A05555">
        <w:rPr>
          <w:rFonts w:ascii="Calibri" w:hAnsi="Calibri" w:cs="Lucida Sans Unicode"/>
          <w:sz w:val="20"/>
        </w:rPr>
        <w:t xml:space="preserve"> 5</w:t>
      </w:r>
      <w:r>
        <w:rPr>
          <w:rFonts w:ascii="Calibri" w:hAnsi="Calibri" w:cs="Lucida Sans Unicode"/>
          <w:sz w:val="20"/>
        </w:rPr>
        <w:t>-Year Estimates</w:t>
      </w:r>
    </w:p>
    <w:p w14:paraId="18A8BBDD" w14:textId="4F33C613" w:rsidR="00DB7A89" w:rsidRDefault="00DB7A89" w:rsidP="00BF5DF8">
      <w:pPr>
        <w:tabs>
          <w:tab w:val="left" w:pos="810"/>
        </w:tabs>
        <w:jc w:val="both"/>
        <w:rPr>
          <w:rFonts w:ascii="Calibri" w:hAnsi="Calibri" w:cs="Lucida Sans Unicode"/>
          <w:sz w:val="22"/>
        </w:rPr>
      </w:pPr>
      <w:r>
        <w:rPr>
          <w:rFonts w:ascii="Calibri" w:hAnsi="Calibri" w:cs="Lucida Sans Unicode"/>
          <w:sz w:val="22"/>
        </w:rPr>
        <w:t>A further analysis of these demographic shifts is offered below.</w:t>
      </w:r>
    </w:p>
    <w:p w14:paraId="7CB8F6DE" w14:textId="1371085B" w:rsidR="00DB7A89" w:rsidRPr="00DB7A89" w:rsidRDefault="00DB7A89" w:rsidP="0001506D">
      <w:pPr>
        <w:tabs>
          <w:tab w:val="left" w:pos="720"/>
        </w:tabs>
        <w:ind w:left="720"/>
        <w:jc w:val="both"/>
        <w:rPr>
          <w:rFonts w:ascii="Calibri" w:hAnsi="Calibri" w:cs="Lucida Sans Unicode"/>
          <w:sz w:val="22"/>
        </w:rPr>
      </w:pPr>
    </w:p>
    <w:p w14:paraId="75ACA823" w14:textId="3133EBAB" w:rsidR="008772FC" w:rsidRPr="00BF5DF8" w:rsidRDefault="008772FC" w:rsidP="0076189A">
      <w:pPr>
        <w:pStyle w:val="ListParagraph"/>
        <w:numPr>
          <w:ilvl w:val="0"/>
          <w:numId w:val="57"/>
        </w:numPr>
        <w:tabs>
          <w:tab w:val="num" w:pos="720"/>
        </w:tabs>
        <w:ind w:hanging="360"/>
        <w:jc w:val="both"/>
        <w:rPr>
          <w:rFonts w:ascii="Calibri" w:hAnsi="Calibri" w:cs="Lucida Sans Unicode"/>
          <w:sz w:val="22"/>
        </w:rPr>
      </w:pPr>
      <w:r w:rsidRPr="00BF5DF8">
        <w:rPr>
          <w:rFonts w:ascii="Calibri" w:hAnsi="Calibri" w:cs="Lucida Sans Unicode"/>
          <w:i/>
          <w:iCs/>
          <w:sz w:val="22"/>
        </w:rPr>
        <w:t xml:space="preserve">Increasing population of </w:t>
      </w:r>
      <w:r w:rsidRPr="00BF5DF8">
        <w:rPr>
          <w:rFonts w:ascii="Calibri" w:hAnsi="Calibri" w:cs="Lucida Sans Unicode"/>
          <w:i/>
          <w:iCs/>
          <w:sz w:val="22"/>
          <w:u w:val="single"/>
        </w:rPr>
        <w:t>children</w:t>
      </w:r>
      <w:r w:rsidR="00D06B1F" w:rsidRPr="00BF5DF8">
        <w:rPr>
          <w:rFonts w:ascii="Calibri" w:hAnsi="Calibri" w:cs="Lucida Sans Unicode"/>
          <w:i/>
          <w:iCs/>
          <w:sz w:val="22"/>
        </w:rPr>
        <w:t xml:space="preserve"> that </w:t>
      </w:r>
      <w:r w:rsidR="0088212F" w:rsidRPr="00BF5DF8">
        <w:rPr>
          <w:rFonts w:ascii="Calibri" w:hAnsi="Calibri" w:cs="Lucida Sans Unicode"/>
          <w:i/>
          <w:iCs/>
          <w:sz w:val="22"/>
        </w:rPr>
        <w:t>is slowing down with proportional declines</w:t>
      </w:r>
    </w:p>
    <w:p w14:paraId="7BBB42B8" w14:textId="0CAA2AA6" w:rsidR="00FC5462" w:rsidRDefault="0076189A" w:rsidP="0076189A">
      <w:pPr>
        <w:pStyle w:val="BodyTextIndent"/>
        <w:tabs>
          <w:tab w:val="left" w:pos="720"/>
        </w:tabs>
        <w:spacing w:after="0"/>
        <w:ind w:left="720" w:hanging="360"/>
        <w:jc w:val="both"/>
        <w:rPr>
          <w:rFonts w:ascii="Calibri" w:hAnsi="Calibri"/>
          <w:sz w:val="22"/>
          <w:szCs w:val="22"/>
        </w:rPr>
      </w:pPr>
      <w:r>
        <w:rPr>
          <w:rFonts w:ascii="Calibri" w:hAnsi="Calibri"/>
          <w:sz w:val="22"/>
          <w:szCs w:val="22"/>
        </w:rPr>
        <w:tab/>
      </w:r>
      <w:r w:rsidR="008772FC" w:rsidRPr="00445E74">
        <w:rPr>
          <w:rFonts w:ascii="Calibri" w:hAnsi="Calibri"/>
          <w:sz w:val="22"/>
          <w:szCs w:val="22"/>
        </w:rPr>
        <w:t>While many relatively affluent towns have experienced significant decreases in the number of children, this has not been the case in Needham.  Those under age 18 increased from 6,262 residents in 1990 to 8,139 by 2010</w:t>
      </w:r>
      <w:r w:rsidR="00BF5DF8">
        <w:rPr>
          <w:rFonts w:ascii="Calibri" w:hAnsi="Calibri"/>
          <w:sz w:val="22"/>
          <w:szCs w:val="22"/>
        </w:rPr>
        <w:t>,</w:t>
      </w:r>
      <w:r w:rsidR="008772FC" w:rsidRPr="00445E74">
        <w:rPr>
          <w:rFonts w:ascii="Calibri" w:hAnsi="Calibri"/>
          <w:sz w:val="22"/>
          <w:szCs w:val="22"/>
        </w:rPr>
        <w:t xml:space="preserve"> or from 22.7% to 28.2% of the popula</w:t>
      </w:r>
      <w:r w:rsidR="00FC5462">
        <w:rPr>
          <w:rFonts w:ascii="Calibri" w:hAnsi="Calibri"/>
          <w:sz w:val="22"/>
          <w:szCs w:val="22"/>
        </w:rPr>
        <w:t>tion</w:t>
      </w:r>
      <w:r w:rsidR="0097334C">
        <w:rPr>
          <w:rFonts w:ascii="Calibri" w:hAnsi="Calibri"/>
          <w:sz w:val="22"/>
          <w:szCs w:val="22"/>
        </w:rPr>
        <w:t xml:space="preserve">.  This </w:t>
      </w:r>
      <w:r w:rsidR="0088212F">
        <w:rPr>
          <w:rFonts w:ascii="Calibri" w:hAnsi="Calibri"/>
          <w:sz w:val="22"/>
          <w:szCs w:val="22"/>
        </w:rPr>
        <w:t>represent</w:t>
      </w:r>
      <w:r w:rsidR="0097334C">
        <w:rPr>
          <w:rFonts w:ascii="Calibri" w:hAnsi="Calibri"/>
          <w:sz w:val="22"/>
          <w:szCs w:val="22"/>
        </w:rPr>
        <w:t>ed</w:t>
      </w:r>
      <w:r w:rsidR="0088212F">
        <w:rPr>
          <w:rFonts w:ascii="Calibri" w:hAnsi="Calibri"/>
          <w:sz w:val="22"/>
          <w:szCs w:val="22"/>
        </w:rPr>
        <w:t xml:space="preserve"> a </w:t>
      </w:r>
      <w:r w:rsidR="006C0145">
        <w:rPr>
          <w:rFonts w:ascii="Calibri" w:hAnsi="Calibri"/>
          <w:sz w:val="22"/>
          <w:szCs w:val="22"/>
        </w:rPr>
        <w:t>21</w:t>
      </w:r>
      <w:r w:rsidR="0088212F">
        <w:rPr>
          <w:rFonts w:ascii="Calibri" w:hAnsi="Calibri"/>
          <w:sz w:val="22"/>
          <w:szCs w:val="22"/>
        </w:rPr>
        <w:t xml:space="preserve">% increase </w:t>
      </w:r>
      <w:r w:rsidR="006C0145">
        <w:rPr>
          <w:rFonts w:ascii="Calibri" w:hAnsi="Calibri"/>
          <w:sz w:val="22"/>
          <w:szCs w:val="22"/>
        </w:rPr>
        <w:t>between 1990 and 2000 and a</w:t>
      </w:r>
      <w:r w:rsidR="0097334C">
        <w:rPr>
          <w:rFonts w:ascii="Calibri" w:hAnsi="Calibri"/>
          <w:sz w:val="22"/>
          <w:szCs w:val="22"/>
        </w:rPr>
        <w:t xml:space="preserve"> lower</w:t>
      </w:r>
      <w:r w:rsidR="006C0145">
        <w:rPr>
          <w:rFonts w:ascii="Calibri" w:hAnsi="Calibri"/>
          <w:sz w:val="22"/>
          <w:szCs w:val="22"/>
        </w:rPr>
        <w:t xml:space="preserve"> 7.4% increase between 2000 and 2010.</w:t>
      </w:r>
      <w:r w:rsidR="00FC5462">
        <w:rPr>
          <w:rFonts w:ascii="Calibri" w:hAnsi="Calibri"/>
          <w:sz w:val="22"/>
          <w:szCs w:val="22"/>
        </w:rPr>
        <w:t xml:space="preserve">  Census estimates for 20</w:t>
      </w:r>
      <w:r w:rsidR="0097334C">
        <w:rPr>
          <w:rFonts w:ascii="Calibri" w:hAnsi="Calibri"/>
          <w:sz w:val="22"/>
          <w:szCs w:val="22"/>
        </w:rPr>
        <w:t>20</w:t>
      </w:r>
      <w:r w:rsidR="008772FC" w:rsidRPr="00445E74">
        <w:rPr>
          <w:rFonts w:ascii="Calibri" w:hAnsi="Calibri"/>
          <w:sz w:val="22"/>
          <w:szCs w:val="22"/>
        </w:rPr>
        <w:t xml:space="preserve"> suggest </w:t>
      </w:r>
      <w:r w:rsidR="0088212F">
        <w:rPr>
          <w:rFonts w:ascii="Calibri" w:hAnsi="Calibri"/>
          <w:sz w:val="22"/>
          <w:szCs w:val="22"/>
        </w:rPr>
        <w:t>continued</w:t>
      </w:r>
      <w:r w:rsidR="00FC5462">
        <w:rPr>
          <w:rFonts w:ascii="Calibri" w:hAnsi="Calibri"/>
          <w:sz w:val="22"/>
          <w:szCs w:val="22"/>
        </w:rPr>
        <w:t xml:space="preserve"> growth to 8,</w:t>
      </w:r>
      <w:r w:rsidR="0097334C">
        <w:rPr>
          <w:rFonts w:ascii="Calibri" w:hAnsi="Calibri"/>
          <w:sz w:val="22"/>
          <w:szCs w:val="22"/>
        </w:rPr>
        <w:t>496</w:t>
      </w:r>
      <w:r w:rsidR="00FC5462">
        <w:rPr>
          <w:rFonts w:ascii="Calibri" w:hAnsi="Calibri"/>
          <w:sz w:val="22"/>
          <w:szCs w:val="22"/>
        </w:rPr>
        <w:t xml:space="preserve"> children</w:t>
      </w:r>
      <w:r w:rsidR="0088212F">
        <w:rPr>
          <w:rFonts w:ascii="Calibri" w:hAnsi="Calibri"/>
          <w:sz w:val="22"/>
          <w:szCs w:val="22"/>
        </w:rPr>
        <w:t xml:space="preserve"> but proportionally down to </w:t>
      </w:r>
      <w:r w:rsidR="0097334C">
        <w:rPr>
          <w:rFonts w:ascii="Calibri" w:hAnsi="Calibri"/>
          <w:sz w:val="22"/>
          <w:szCs w:val="22"/>
        </w:rPr>
        <w:t>27.2</w:t>
      </w:r>
      <w:r w:rsidR="0088212F">
        <w:rPr>
          <w:rFonts w:ascii="Calibri" w:hAnsi="Calibri"/>
          <w:sz w:val="22"/>
          <w:szCs w:val="22"/>
        </w:rPr>
        <w:t>% of the population</w:t>
      </w:r>
      <w:r w:rsidR="006C0145">
        <w:rPr>
          <w:rFonts w:ascii="Calibri" w:hAnsi="Calibri"/>
          <w:sz w:val="22"/>
          <w:szCs w:val="22"/>
        </w:rPr>
        <w:t xml:space="preserve"> </w:t>
      </w:r>
      <w:r w:rsidR="004A6AA9">
        <w:rPr>
          <w:rFonts w:ascii="Calibri" w:hAnsi="Calibri"/>
          <w:sz w:val="22"/>
          <w:szCs w:val="22"/>
        </w:rPr>
        <w:t>with</w:t>
      </w:r>
      <w:r w:rsidR="006C0145">
        <w:rPr>
          <w:rFonts w:ascii="Calibri" w:hAnsi="Calibri"/>
          <w:sz w:val="22"/>
          <w:szCs w:val="22"/>
        </w:rPr>
        <w:t xml:space="preserve"> a growth rate down to </w:t>
      </w:r>
      <w:r w:rsidR="00946EFC">
        <w:rPr>
          <w:rFonts w:ascii="Calibri" w:hAnsi="Calibri"/>
          <w:sz w:val="22"/>
          <w:szCs w:val="22"/>
        </w:rPr>
        <w:t>4</w:t>
      </w:r>
      <w:r w:rsidR="006C0145">
        <w:rPr>
          <w:rFonts w:ascii="Calibri" w:hAnsi="Calibri"/>
          <w:sz w:val="22"/>
          <w:szCs w:val="22"/>
        </w:rPr>
        <w:t>.3%</w:t>
      </w:r>
      <w:r w:rsidR="0097334C">
        <w:rPr>
          <w:rFonts w:ascii="Calibri" w:hAnsi="Calibri"/>
          <w:sz w:val="22"/>
          <w:szCs w:val="22"/>
        </w:rPr>
        <w:t xml:space="preserve"> since 2010</w:t>
      </w:r>
      <w:r w:rsidR="0088212F">
        <w:rPr>
          <w:rFonts w:ascii="Calibri" w:hAnsi="Calibri"/>
          <w:sz w:val="22"/>
          <w:szCs w:val="22"/>
        </w:rPr>
        <w:t>.  The 2020</w:t>
      </w:r>
      <w:r w:rsidR="0097334C">
        <w:rPr>
          <w:rFonts w:ascii="Calibri" w:hAnsi="Calibri"/>
          <w:sz w:val="22"/>
          <w:szCs w:val="22"/>
        </w:rPr>
        <w:t xml:space="preserve"> decennial</w:t>
      </w:r>
      <w:r w:rsidR="0088212F">
        <w:rPr>
          <w:rFonts w:ascii="Calibri" w:hAnsi="Calibri"/>
          <w:sz w:val="22"/>
          <w:szCs w:val="22"/>
        </w:rPr>
        <w:t xml:space="preserve"> census identified 8,439 residents under age 18</w:t>
      </w:r>
      <w:r w:rsidR="006C0145">
        <w:rPr>
          <w:rFonts w:ascii="Calibri" w:hAnsi="Calibri"/>
          <w:sz w:val="22"/>
          <w:szCs w:val="22"/>
        </w:rPr>
        <w:t>, down to</w:t>
      </w:r>
      <w:r w:rsidR="0088212F">
        <w:rPr>
          <w:rFonts w:ascii="Calibri" w:hAnsi="Calibri"/>
          <w:sz w:val="22"/>
          <w:szCs w:val="22"/>
        </w:rPr>
        <w:t xml:space="preserve"> 26.3% of all residents</w:t>
      </w:r>
      <w:r w:rsidR="006C0145">
        <w:rPr>
          <w:rFonts w:ascii="Calibri" w:hAnsi="Calibri"/>
          <w:sz w:val="22"/>
          <w:szCs w:val="22"/>
        </w:rPr>
        <w:t xml:space="preserve"> and a 3.7% rate of growth since 2010</w:t>
      </w:r>
      <w:r w:rsidR="0088212F">
        <w:rPr>
          <w:rFonts w:ascii="Calibri" w:hAnsi="Calibri"/>
          <w:sz w:val="22"/>
          <w:szCs w:val="22"/>
        </w:rPr>
        <w:t>.</w:t>
      </w:r>
      <w:r w:rsidR="004A6AA9">
        <w:rPr>
          <w:rStyle w:val="FootnoteReference"/>
          <w:rFonts w:ascii="Calibri" w:hAnsi="Calibri"/>
          <w:sz w:val="22"/>
          <w:szCs w:val="22"/>
        </w:rPr>
        <w:footnoteReference w:id="12"/>
      </w:r>
      <w:r w:rsidR="004A6AA9">
        <w:rPr>
          <w:rFonts w:ascii="Calibri" w:hAnsi="Calibri"/>
          <w:sz w:val="22"/>
          <w:szCs w:val="22"/>
        </w:rPr>
        <w:t xml:space="preserve"> </w:t>
      </w:r>
    </w:p>
    <w:p w14:paraId="7732DA6C" w14:textId="77777777" w:rsidR="004A6AA9" w:rsidRDefault="004A6AA9" w:rsidP="0076189A">
      <w:pPr>
        <w:pStyle w:val="BodyTextIndent"/>
        <w:tabs>
          <w:tab w:val="left" w:pos="720"/>
        </w:tabs>
        <w:spacing w:after="0"/>
        <w:ind w:left="720" w:hanging="360"/>
        <w:jc w:val="both"/>
        <w:rPr>
          <w:rFonts w:ascii="Calibri" w:hAnsi="Calibri"/>
          <w:sz w:val="22"/>
          <w:szCs w:val="22"/>
        </w:rPr>
      </w:pPr>
    </w:p>
    <w:p w14:paraId="202B7075" w14:textId="6A324B93" w:rsidR="008772FC" w:rsidRPr="00445E74" w:rsidRDefault="008772FC" w:rsidP="0076189A">
      <w:pPr>
        <w:pStyle w:val="BodyTextIndent"/>
        <w:numPr>
          <w:ilvl w:val="0"/>
          <w:numId w:val="57"/>
        </w:numPr>
        <w:tabs>
          <w:tab w:val="left" w:pos="720"/>
        </w:tabs>
        <w:spacing w:after="0"/>
        <w:ind w:left="720" w:hanging="360"/>
        <w:jc w:val="both"/>
        <w:rPr>
          <w:rFonts w:ascii="Calibri" w:hAnsi="Calibri"/>
          <w:sz w:val="22"/>
          <w:szCs w:val="22"/>
        </w:rPr>
      </w:pPr>
      <w:r w:rsidRPr="00445E74">
        <w:rPr>
          <w:rFonts w:ascii="Calibri" w:hAnsi="Calibri"/>
          <w:i/>
          <w:iCs/>
          <w:sz w:val="22"/>
          <w:szCs w:val="22"/>
          <w:u w:val="single"/>
        </w:rPr>
        <w:t>College age residents</w:t>
      </w:r>
      <w:r w:rsidRPr="00445E74">
        <w:rPr>
          <w:rFonts w:ascii="Calibri" w:hAnsi="Calibri"/>
          <w:i/>
          <w:iCs/>
          <w:sz w:val="22"/>
          <w:szCs w:val="22"/>
        </w:rPr>
        <w:t xml:space="preserve"> decreased by 2</w:t>
      </w:r>
      <w:r w:rsidR="00257F6A">
        <w:rPr>
          <w:rFonts w:ascii="Calibri" w:hAnsi="Calibri"/>
          <w:i/>
          <w:iCs/>
          <w:sz w:val="22"/>
          <w:szCs w:val="22"/>
        </w:rPr>
        <w:t>7</w:t>
      </w:r>
      <w:r w:rsidRPr="00445E74">
        <w:rPr>
          <w:rFonts w:ascii="Calibri" w:hAnsi="Calibri"/>
          <w:i/>
          <w:iCs/>
          <w:sz w:val="22"/>
          <w:szCs w:val="22"/>
        </w:rPr>
        <w:t>%</w:t>
      </w:r>
      <w:r w:rsidR="00F859D8">
        <w:rPr>
          <w:rFonts w:ascii="Calibri" w:hAnsi="Calibri"/>
          <w:i/>
          <w:iCs/>
          <w:sz w:val="22"/>
          <w:szCs w:val="22"/>
        </w:rPr>
        <w:t xml:space="preserve"> </w:t>
      </w:r>
      <w:r w:rsidR="00257F6A">
        <w:rPr>
          <w:rFonts w:ascii="Calibri" w:hAnsi="Calibri"/>
          <w:i/>
          <w:iCs/>
          <w:sz w:val="22"/>
          <w:szCs w:val="22"/>
        </w:rPr>
        <w:t>between 1990 and</w:t>
      </w:r>
      <w:r w:rsidR="00F859D8">
        <w:rPr>
          <w:rFonts w:ascii="Calibri" w:hAnsi="Calibri"/>
          <w:i/>
          <w:iCs/>
          <w:sz w:val="22"/>
          <w:szCs w:val="22"/>
        </w:rPr>
        <w:t xml:space="preserve"> 2010 and increased to almost 1990 levels according to 20</w:t>
      </w:r>
      <w:r w:rsidR="00946EFC">
        <w:rPr>
          <w:rFonts w:ascii="Calibri" w:hAnsi="Calibri"/>
          <w:i/>
          <w:iCs/>
          <w:sz w:val="22"/>
          <w:szCs w:val="22"/>
        </w:rPr>
        <w:t>20</w:t>
      </w:r>
      <w:r w:rsidR="00F859D8">
        <w:rPr>
          <w:rFonts w:ascii="Calibri" w:hAnsi="Calibri"/>
          <w:i/>
          <w:iCs/>
          <w:sz w:val="22"/>
          <w:szCs w:val="22"/>
        </w:rPr>
        <w:t xml:space="preserve"> census estimates</w:t>
      </w:r>
    </w:p>
    <w:p w14:paraId="3D85F499" w14:textId="21819147" w:rsidR="008772FC" w:rsidRPr="00445E74" w:rsidRDefault="0076189A" w:rsidP="0076189A">
      <w:pPr>
        <w:pStyle w:val="BodyTextIndent"/>
        <w:tabs>
          <w:tab w:val="left" w:pos="720"/>
        </w:tabs>
        <w:spacing w:after="0"/>
        <w:ind w:left="720" w:hanging="360"/>
        <w:jc w:val="both"/>
        <w:rPr>
          <w:rFonts w:ascii="Calibri" w:hAnsi="Calibri"/>
          <w:sz w:val="22"/>
          <w:szCs w:val="22"/>
        </w:rPr>
      </w:pPr>
      <w:r>
        <w:rPr>
          <w:rFonts w:ascii="Calibri" w:hAnsi="Calibri"/>
          <w:sz w:val="22"/>
          <w:szCs w:val="22"/>
        </w:rPr>
        <w:tab/>
      </w:r>
      <w:r w:rsidR="008772FC" w:rsidRPr="00445E74">
        <w:rPr>
          <w:rFonts w:ascii="Calibri" w:hAnsi="Calibri"/>
          <w:sz w:val="22"/>
          <w:szCs w:val="22"/>
        </w:rPr>
        <w:t>Young residents in the 18 to 24-age range decreased by 27% between 19</w:t>
      </w:r>
      <w:r w:rsidR="006C0145">
        <w:rPr>
          <w:rFonts w:ascii="Calibri" w:hAnsi="Calibri"/>
          <w:sz w:val="22"/>
          <w:szCs w:val="22"/>
        </w:rPr>
        <w:t>9</w:t>
      </w:r>
      <w:r w:rsidR="008772FC" w:rsidRPr="00445E74">
        <w:rPr>
          <w:rFonts w:ascii="Calibri" w:hAnsi="Calibri"/>
          <w:sz w:val="22"/>
          <w:szCs w:val="22"/>
        </w:rPr>
        <w:t>0 and 2010,</w:t>
      </w:r>
      <w:r w:rsidR="00C152A8">
        <w:rPr>
          <w:rFonts w:ascii="Calibri" w:hAnsi="Calibri"/>
          <w:sz w:val="22"/>
          <w:szCs w:val="22"/>
        </w:rPr>
        <w:t xml:space="preserve"> going</w:t>
      </w:r>
      <w:r w:rsidR="008772FC">
        <w:rPr>
          <w:rFonts w:ascii="Calibri" w:hAnsi="Calibri"/>
          <w:sz w:val="22"/>
          <w:szCs w:val="22"/>
        </w:rPr>
        <w:t xml:space="preserve"> </w:t>
      </w:r>
      <w:r w:rsidR="008772FC" w:rsidRPr="00445E74">
        <w:rPr>
          <w:rFonts w:ascii="Calibri" w:hAnsi="Calibri"/>
          <w:sz w:val="22"/>
          <w:szCs w:val="22"/>
        </w:rPr>
        <w:t>from 2,088 residents to 1,527. The 20</w:t>
      </w:r>
      <w:r w:rsidR="00946EFC">
        <w:rPr>
          <w:rFonts w:ascii="Calibri" w:hAnsi="Calibri"/>
          <w:sz w:val="22"/>
          <w:szCs w:val="22"/>
        </w:rPr>
        <w:t>20</w:t>
      </w:r>
      <w:r w:rsidR="008772FC" w:rsidRPr="00445E74">
        <w:rPr>
          <w:rFonts w:ascii="Calibri" w:hAnsi="Calibri"/>
          <w:sz w:val="22"/>
          <w:szCs w:val="22"/>
        </w:rPr>
        <w:t xml:space="preserve"> census estimates indicate some </w:t>
      </w:r>
      <w:r w:rsidR="00EB4684">
        <w:rPr>
          <w:rFonts w:ascii="Calibri" w:hAnsi="Calibri"/>
          <w:sz w:val="22"/>
          <w:szCs w:val="22"/>
        </w:rPr>
        <w:t>i</w:t>
      </w:r>
      <w:r w:rsidR="008772FC" w:rsidRPr="00445E74">
        <w:rPr>
          <w:rFonts w:ascii="Calibri" w:hAnsi="Calibri"/>
          <w:sz w:val="22"/>
          <w:szCs w:val="22"/>
        </w:rPr>
        <w:t xml:space="preserve">ncrease in this population </w:t>
      </w:r>
      <w:r w:rsidR="00FC5462">
        <w:rPr>
          <w:rFonts w:ascii="Calibri" w:hAnsi="Calibri"/>
          <w:sz w:val="22"/>
          <w:szCs w:val="22"/>
        </w:rPr>
        <w:t xml:space="preserve">to </w:t>
      </w:r>
      <w:r w:rsidR="006C0145">
        <w:rPr>
          <w:rFonts w:ascii="Calibri" w:hAnsi="Calibri"/>
          <w:sz w:val="22"/>
          <w:szCs w:val="22"/>
        </w:rPr>
        <w:t>2,0</w:t>
      </w:r>
      <w:r w:rsidR="00946EFC">
        <w:rPr>
          <w:rFonts w:ascii="Calibri" w:hAnsi="Calibri"/>
          <w:sz w:val="22"/>
          <w:szCs w:val="22"/>
        </w:rPr>
        <w:t>54</w:t>
      </w:r>
      <w:r w:rsidR="00FC5462">
        <w:rPr>
          <w:rFonts w:ascii="Calibri" w:hAnsi="Calibri"/>
          <w:sz w:val="22"/>
          <w:szCs w:val="22"/>
        </w:rPr>
        <w:t xml:space="preserve"> residents</w:t>
      </w:r>
      <w:r w:rsidR="006C0145">
        <w:rPr>
          <w:rFonts w:ascii="Calibri" w:hAnsi="Calibri"/>
          <w:sz w:val="22"/>
          <w:szCs w:val="22"/>
        </w:rPr>
        <w:t xml:space="preserve"> and 6.</w:t>
      </w:r>
      <w:r w:rsidR="00946EFC">
        <w:rPr>
          <w:rFonts w:ascii="Calibri" w:hAnsi="Calibri"/>
          <w:sz w:val="22"/>
          <w:szCs w:val="22"/>
        </w:rPr>
        <w:t>6</w:t>
      </w:r>
      <w:r w:rsidR="006C0145">
        <w:rPr>
          <w:rFonts w:ascii="Calibri" w:hAnsi="Calibri"/>
          <w:sz w:val="22"/>
          <w:szCs w:val="22"/>
        </w:rPr>
        <w:t>% of the population</w:t>
      </w:r>
      <w:r w:rsidR="004F3EB1">
        <w:rPr>
          <w:rFonts w:ascii="Calibri" w:hAnsi="Calibri"/>
          <w:sz w:val="22"/>
          <w:szCs w:val="22"/>
        </w:rPr>
        <w:t>.  It is important to note that</w:t>
      </w:r>
      <w:r w:rsidR="008772FC" w:rsidRPr="00445E74">
        <w:rPr>
          <w:rFonts w:ascii="Calibri" w:hAnsi="Calibri"/>
          <w:sz w:val="22"/>
          <w:szCs w:val="22"/>
        </w:rPr>
        <w:t xml:space="preserve"> many former Needham residents in this age range are boarding at college or living out of town</w:t>
      </w:r>
      <w:r w:rsidR="004F3EB1">
        <w:rPr>
          <w:rFonts w:ascii="Calibri" w:hAnsi="Calibri"/>
          <w:sz w:val="22"/>
          <w:szCs w:val="22"/>
        </w:rPr>
        <w:t xml:space="preserve"> and are not included as part of this count but </w:t>
      </w:r>
      <w:r w:rsidR="00257F6A">
        <w:rPr>
          <w:rFonts w:ascii="Calibri" w:hAnsi="Calibri"/>
          <w:sz w:val="22"/>
          <w:szCs w:val="22"/>
        </w:rPr>
        <w:t xml:space="preserve">are </w:t>
      </w:r>
      <w:r w:rsidR="004F3EB1">
        <w:rPr>
          <w:rFonts w:ascii="Calibri" w:hAnsi="Calibri"/>
          <w:sz w:val="22"/>
          <w:szCs w:val="22"/>
        </w:rPr>
        <w:t>still connected to the community</w:t>
      </w:r>
      <w:r w:rsidR="008772FC" w:rsidRPr="00445E74">
        <w:rPr>
          <w:rFonts w:ascii="Calibri" w:hAnsi="Calibri"/>
          <w:sz w:val="22"/>
          <w:szCs w:val="22"/>
        </w:rPr>
        <w:t>.</w:t>
      </w:r>
      <w:r w:rsidR="007313FD">
        <w:rPr>
          <w:rStyle w:val="FootnoteReference"/>
          <w:rFonts w:ascii="Calibri" w:hAnsi="Calibri"/>
          <w:sz w:val="22"/>
          <w:szCs w:val="22"/>
        </w:rPr>
        <w:footnoteReference w:id="13"/>
      </w:r>
    </w:p>
    <w:p w14:paraId="57055EFB" w14:textId="77777777" w:rsidR="008772FC" w:rsidRDefault="008772FC" w:rsidP="0076189A">
      <w:pPr>
        <w:ind w:hanging="360"/>
        <w:jc w:val="both"/>
        <w:rPr>
          <w:rFonts w:ascii="Calibri" w:hAnsi="Calibri" w:cs="Lucida Sans Unicode"/>
          <w:b/>
          <w:bCs/>
          <w:sz w:val="22"/>
          <w:szCs w:val="22"/>
        </w:rPr>
      </w:pPr>
    </w:p>
    <w:p w14:paraId="0419B561" w14:textId="0A2E88C4" w:rsidR="00232AB5" w:rsidRPr="00445E74" w:rsidRDefault="00232AB5" w:rsidP="0076189A">
      <w:pPr>
        <w:pStyle w:val="BodyTextIndent"/>
        <w:numPr>
          <w:ilvl w:val="0"/>
          <w:numId w:val="57"/>
        </w:numPr>
        <w:tabs>
          <w:tab w:val="left" w:pos="720"/>
        </w:tabs>
        <w:spacing w:after="0"/>
        <w:ind w:left="720" w:hanging="360"/>
        <w:jc w:val="both"/>
        <w:rPr>
          <w:rFonts w:ascii="Calibri" w:hAnsi="Calibri"/>
          <w:sz w:val="22"/>
          <w:szCs w:val="22"/>
        </w:rPr>
      </w:pPr>
      <w:r w:rsidRPr="00445E74">
        <w:rPr>
          <w:rFonts w:ascii="Calibri" w:hAnsi="Calibri"/>
          <w:i/>
          <w:iCs/>
          <w:sz w:val="22"/>
          <w:szCs w:val="22"/>
          <w:u w:val="single"/>
        </w:rPr>
        <w:t>Young adults</w:t>
      </w:r>
      <w:r w:rsidRPr="00445E74">
        <w:rPr>
          <w:rFonts w:ascii="Calibri" w:hAnsi="Calibri"/>
          <w:i/>
          <w:iCs/>
          <w:sz w:val="22"/>
          <w:szCs w:val="22"/>
        </w:rPr>
        <w:t xml:space="preserve"> declined </w:t>
      </w:r>
      <w:r w:rsidR="009D597E">
        <w:rPr>
          <w:rFonts w:ascii="Calibri" w:hAnsi="Calibri"/>
          <w:i/>
          <w:iCs/>
          <w:sz w:val="22"/>
          <w:szCs w:val="22"/>
        </w:rPr>
        <w:t>by 59%</w:t>
      </w:r>
      <w:r w:rsidR="00D7274A">
        <w:rPr>
          <w:rFonts w:ascii="Calibri" w:hAnsi="Calibri"/>
          <w:i/>
          <w:iCs/>
          <w:sz w:val="22"/>
          <w:szCs w:val="22"/>
        </w:rPr>
        <w:t xml:space="preserve"> since 1990</w:t>
      </w:r>
    </w:p>
    <w:p w14:paraId="694FF6D2" w14:textId="6CBD8330" w:rsidR="00232AB5" w:rsidRPr="00445E74" w:rsidRDefault="0076189A" w:rsidP="0076189A">
      <w:pPr>
        <w:pStyle w:val="BodyTextIndent"/>
        <w:tabs>
          <w:tab w:val="left" w:pos="720"/>
        </w:tabs>
        <w:spacing w:after="0"/>
        <w:ind w:left="720" w:hanging="360"/>
        <w:jc w:val="both"/>
        <w:rPr>
          <w:rFonts w:ascii="Calibri" w:hAnsi="Calibri"/>
          <w:sz w:val="22"/>
          <w:szCs w:val="22"/>
        </w:rPr>
      </w:pPr>
      <w:r>
        <w:rPr>
          <w:rFonts w:ascii="Calibri" w:hAnsi="Calibri"/>
          <w:sz w:val="22"/>
          <w:szCs w:val="22"/>
        </w:rPr>
        <w:tab/>
      </w:r>
      <w:r w:rsidR="00232AB5" w:rsidRPr="00445E74">
        <w:rPr>
          <w:rFonts w:ascii="Calibri" w:hAnsi="Calibri"/>
          <w:sz w:val="22"/>
          <w:szCs w:val="22"/>
        </w:rPr>
        <w:t xml:space="preserve">Younger adults </w:t>
      </w:r>
      <w:r w:rsidR="00232AB5">
        <w:rPr>
          <w:rFonts w:ascii="Calibri" w:hAnsi="Calibri"/>
          <w:sz w:val="22"/>
          <w:szCs w:val="22"/>
        </w:rPr>
        <w:t xml:space="preserve">in </w:t>
      </w:r>
      <w:r w:rsidR="00232AB5" w:rsidRPr="00445E74">
        <w:rPr>
          <w:rFonts w:ascii="Calibri" w:hAnsi="Calibri"/>
          <w:sz w:val="22"/>
          <w:szCs w:val="22"/>
        </w:rPr>
        <w:t xml:space="preserve">the 25 to 34-age range, </w:t>
      </w:r>
      <w:r w:rsidR="00150DCF">
        <w:rPr>
          <w:rFonts w:ascii="Calibri" w:hAnsi="Calibri"/>
          <w:sz w:val="22"/>
          <w:szCs w:val="22"/>
        </w:rPr>
        <w:t xml:space="preserve">many </w:t>
      </w:r>
      <w:r w:rsidR="00150DCF" w:rsidRPr="00445E74">
        <w:rPr>
          <w:rFonts w:ascii="Calibri" w:hAnsi="Calibri"/>
          <w:sz w:val="22"/>
          <w:szCs w:val="22"/>
        </w:rPr>
        <w:t>in the family formation stage of their lives</w:t>
      </w:r>
      <w:r w:rsidR="00150DCF">
        <w:rPr>
          <w:rFonts w:ascii="Calibri" w:hAnsi="Calibri"/>
          <w:sz w:val="22"/>
          <w:szCs w:val="22"/>
        </w:rPr>
        <w:t>,</w:t>
      </w:r>
      <w:r w:rsidR="00150DCF" w:rsidRPr="00445E74">
        <w:rPr>
          <w:rFonts w:ascii="Calibri" w:hAnsi="Calibri"/>
          <w:sz w:val="22"/>
          <w:szCs w:val="22"/>
        </w:rPr>
        <w:t xml:space="preserve"> </w:t>
      </w:r>
      <w:r w:rsidR="00232AB5" w:rsidRPr="00445E74">
        <w:rPr>
          <w:rFonts w:ascii="Calibri" w:hAnsi="Calibri"/>
          <w:sz w:val="22"/>
          <w:szCs w:val="22"/>
        </w:rPr>
        <w:t xml:space="preserve">also decreased significantly between 1990 and 2010, dropping to 5.9% of the population from 13.7% in 1990, or from 3,776 to 1,694 residents. </w:t>
      </w:r>
      <w:r w:rsidR="00232AB5">
        <w:rPr>
          <w:rFonts w:ascii="Calibri" w:hAnsi="Calibri"/>
          <w:sz w:val="22"/>
          <w:szCs w:val="22"/>
        </w:rPr>
        <w:t>The 20</w:t>
      </w:r>
      <w:r w:rsidR="009D597E">
        <w:rPr>
          <w:rFonts w:ascii="Calibri" w:hAnsi="Calibri"/>
          <w:sz w:val="22"/>
          <w:szCs w:val="22"/>
        </w:rPr>
        <w:t>20</w:t>
      </w:r>
      <w:r w:rsidR="00232AB5">
        <w:rPr>
          <w:rFonts w:ascii="Calibri" w:hAnsi="Calibri"/>
          <w:sz w:val="22"/>
          <w:szCs w:val="22"/>
        </w:rPr>
        <w:t xml:space="preserve"> census estimate</w:t>
      </w:r>
      <w:r w:rsidR="00257F6A">
        <w:rPr>
          <w:rFonts w:ascii="Calibri" w:hAnsi="Calibri"/>
          <w:sz w:val="22"/>
          <w:szCs w:val="22"/>
        </w:rPr>
        <w:t xml:space="preserve"> </w:t>
      </w:r>
      <w:r w:rsidR="00727E80">
        <w:rPr>
          <w:rFonts w:ascii="Calibri" w:hAnsi="Calibri"/>
          <w:sz w:val="22"/>
          <w:szCs w:val="22"/>
        </w:rPr>
        <w:t>of 1,</w:t>
      </w:r>
      <w:r w:rsidR="009D597E">
        <w:rPr>
          <w:rFonts w:ascii="Calibri" w:hAnsi="Calibri"/>
          <w:sz w:val="22"/>
          <w:szCs w:val="22"/>
        </w:rPr>
        <w:t>535</w:t>
      </w:r>
      <w:r w:rsidR="00727E80">
        <w:rPr>
          <w:rFonts w:ascii="Calibri" w:hAnsi="Calibri"/>
          <w:sz w:val="22"/>
          <w:szCs w:val="22"/>
        </w:rPr>
        <w:t xml:space="preserve"> residents </w:t>
      </w:r>
      <w:r w:rsidR="009D597E">
        <w:rPr>
          <w:rFonts w:ascii="Calibri" w:hAnsi="Calibri"/>
          <w:sz w:val="22"/>
          <w:szCs w:val="22"/>
        </w:rPr>
        <w:t>represents another decrease to 4.9</w:t>
      </w:r>
      <w:r w:rsidR="00257F6A">
        <w:rPr>
          <w:rFonts w:ascii="Calibri" w:hAnsi="Calibri"/>
          <w:sz w:val="22"/>
          <w:szCs w:val="22"/>
        </w:rPr>
        <w:t>%</w:t>
      </w:r>
      <w:r w:rsidR="00232AB5">
        <w:rPr>
          <w:rFonts w:ascii="Calibri" w:hAnsi="Calibri"/>
          <w:sz w:val="22"/>
          <w:szCs w:val="22"/>
        </w:rPr>
        <w:t>. O</w:t>
      </w:r>
      <w:r w:rsidR="00232AB5" w:rsidRPr="00445E74">
        <w:rPr>
          <w:rFonts w:ascii="Calibri" w:hAnsi="Calibri"/>
          <w:sz w:val="22"/>
          <w:szCs w:val="22"/>
        </w:rPr>
        <w:t>verall</w:t>
      </w:r>
      <w:r w:rsidR="006C0145">
        <w:rPr>
          <w:rFonts w:ascii="Calibri" w:hAnsi="Calibri"/>
          <w:sz w:val="22"/>
          <w:szCs w:val="22"/>
        </w:rPr>
        <w:t>,</w:t>
      </w:r>
      <w:r w:rsidR="00232AB5" w:rsidRPr="00445E74">
        <w:rPr>
          <w:rFonts w:ascii="Calibri" w:hAnsi="Calibri"/>
          <w:sz w:val="22"/>
          <w:szCs w:val="22"/>
        </w:rPr>
        <w:t xml:space="preserve"> an increasing number of </w:t>
      </w:r>
      <w:r w:rsidR="00232AB5">
        <w:rPr>
          <w:rFonts w:ascii="Calibri" w:hAnsi="Calibri"/>
          <w:sz w:val="22"/>
          <w:szCs w:val="22"/>
        </w:rPr>
        <w:t>Millennials</w:t>
      </w:r>
      <w:r w:rsidR="007313FD">
        <w:rPr>
          <w:rFonts w:ascii="Calibri" w:hAnsi="Calibri"/>
          <w:sz w:val="22"/>
          <w:szCs w:val="22"/>
        </w:rPr>
        <w:t xml:space="preserve"> (born 1980-1994) </w:t>
      </w:r>
      <w:r w:rsidR="00232AB5" w:rsidRPr="00445E74">
        <w:rPr>
          <w:rFonts w:ascii="Calibri" w:hAnsi="Calibri"/>
          <w:sz w:val="22"/>
          <w:szCs w:val="22"/>
        </w:rPr>
        <w:t xml:space="preserve">who were raised in Needham </w:t>
      </w:r>
      <w:r w:rsidR="00D7274A">
        <w:rPr>
          <w:rFonts w:ascii="Calibri" w:hAnsi="Calibri"/>
          <w:sz w:val="22"/>
          <w:szCs w:val="22"/>
        </w:rPr>
        <w:t>have been</w:t>
      </w:r>
      <w:r w:rsidR="00232AB5" w:rsidRPr="00445E74">
        <w:rPr>
          <w:rFonts w:ascii="Calibri" w:hAnsi="Calibri"/>
          <w:sz w:val="22"/>
          <w:szCs w:val="22"/>
        </w:rPr>
        <w:t xml:space="preserve"> choosing to live elsewhere</w:t>
      </w:r>
      <w:r w:rsidR="00650B44">
        <w:rPr>
          <w:rFonts w:ascii="Calibri" w:hAnsi="Calibri"/>
          <w:sz w:val="22"/>
          <w:szCs w:val="22"/>
        </w:rPr>
        <w:t>,</w:t>
      </w:r>
      <w:r w:rsidR="00232AB5" w:rsidRPr="00445E74">
        <w:rPr>
          <w:rFonts w:ascii="Calibri" w:hAnsi="Calibri"/>
          <w:sz w:val="22"/>
          <w:szCs w:val="22"/>
        </w:rPr>
        <w:t xml:space="preserve"> and the high cost of housing is likely a contributing factor</w:t>
      </w:r>
      <w:r w:rsidR="00232AB5">
        <w:rPr>
          <w:rFonts w:ascii="Calibri" w:hAnsi="Calibri"/>
          <w:sz w:val="22"/>
          <w:szCs w:val="22"/>
        </w:rPr>
        <w:t xml:space="preserve"> in addition to general preferences for living in more urban areas</w:t>
      </w:r>
      <w:r w:rsidR="00232AB5" w:rsidRPr="00445E74">
        <w:rPr>
          <w:rFonts w:ascii="Calibri" w:hAnsi="Calibri"/>
          <w:sz w:val="22"/>
          <w:szCs w:val="22"/>
        </w:rPr>
        <w:t xml:space="preserve">.  </w:t>
      </w:r>
    </w:p>
    <w:p w14:paraId="3BBCB30D" w14:textId="77777777" w:rsidR="00232AB5" w:rsidRPr="00445E74" w:rsidRDefault="00232AB5" w:rsidP="0076189A">
      <w:pPr>
        <w:pStyle w:val="BodyTextIndent"/>
        <w:tabs>
          <w:tab w:val="left" w:pos="720"/>
        </w:tabs>
        <w:spacing w:after="0"/>
        <w:ind w:left="720" w:hanging="360"/>
        <w:jc w:val="both"/>
        <w:rPr>
          <w:rFonts w:ascii="Calibri" w:hAnsi="Calibri"/>
          <w:sz w:val="22"/>
          <w:szCs w:val="22"/>
        </w:rPr>
      </w:pPr>
    </w:p>
    <w:p w14:paraId="512DCE9E" w14:textId="29448CA2" w:rsidR="00232AB5" w:rsidRPr="00BF5DF8" w:rsidRDefault="0069244A" w:rsidP="0076189A">
      <w:pPr>
        <w:pStyle w:val="ListParagraph"/>
        <w:numPr>
          <w:ilvl w:val="0"/>
          <w:numId w:val="57"/>
        </w:numPr>
        <w:tabs>
          <w:tab w:val="num" w:pos="720"/>
        </w:tabs>
        <w:ind w:hanging="360"/>
        <w:jc w:val="both"/>
        <w:rPr>
          <w:rFonts w:ascii="Calibri" w:hAnsi="Calibri" w:cs="Lucida Sans Unicode"/>
          <w:i/>
          <w:iCs/>
          <w:sz w:val="22"/>
          <w:szCs w:val="22"/>
        </w:rPr>
      </w:pPr>
      <w:r>
        <w:rPr>
          <w:rFonts w:ascii="Calibri" w:hAnsi="Calibri" w:cs="Lucida Sans Unicode"/>
          <w:i/>
          <w:iCs/>
          <w:sz w:val="22"/>
          <w:szCs w:val="22"/>
        </w:rPr>
        <w:t>R</w:t>
      </w:r>
      <w:r w:rsidR="00946EFC">
        <w:rPr>
          <w:rFonts w:ascii="Calibri" w:hAnsi="Calibri" w:cs="Lucida Sans Unicode"/>
          <w:i/>
          <w:iCs/>
          <w:sz w:val="22"/>
          <w:szCs w:val="22"/>
        </w:rPr>
        <w:t>ecent losses of</w:t>
      </w:r>
      <w:r w:rsidR="00232AB5" w:rsidRPr="00BF5DF8">
        <w:rPr>
          <w:rFonts w:ascii="Calibri" w:hAnsi="Calibri" w:cs="Lucida Sans Unicode"/>
          <w:i/>
          <w:iCs/>
          <w:sz w:val="22"/>
          <w:szCs w:val="22"/>
        </w:rPr>
        <w:t xml:space="preserve"> </w:t>
      </w:r>
      <w:r w:rsidR="00232AB5" w:rsidRPr="00BF5DF8">
        <w:rPr>
          <w:rFonts w:ascii="Calibri" w:hAnsi="Calibri" w:cs="Lucida Sans Unicode"/>
          <w:i/>
          <w:iCs/>
          <w:sz w:val="22"/>
          <w:szCs w:val="22"/>
          <w:u w:val="single"/>
        </w:rPr>
        <w:t>younger middle-aged residents</w:t>
      </w:r>
      <w:r w:rsidR="00232AB5" w:rsidRPr="00BF5DF8">
        <w:rPr>
          <w:rFonts w:ascii="Calibri" w:hAnsi="Calibri" w:cs="Lucida Sans Unicode"/>
          <w:i/>
          <w:iCs/>
          <w:sz w:val="22"/>
          <w:szCs w:val="22"/>
        </w:rPr>
        <w:t xml:space="preserve"> </w:t>
      </w:r>
    </w:p>
    <w:p w14:paraId="655C5585" w14:textId="1B781A24" w:rsidR="00232AB5" w:rsidRDefault="00232AB5" w:rsidP="0076189A">
      <w:pPr>
        <w:tabs>
          <w:tab w:val="num" w:pos="720"/>
        </w:tabs>
        <w:ind w:left="720" w:hanging="360"/>
        <w:jc w:val="both"/>
        <w:rPr>
          <w:rFonts w:ascii="Calibri" w:hAnsi="Calibri" w:cs="Lucida Sans Unicode"/>
          <w:sz w:val="22"/>
          <w:szCs w:val="22"/>
        </w:rPr>
      </w:pPr>
      <w:r w:rsidRPr="00445E74">
        <w:rPr>
          <w:rFonts w:ascii="Calibri" w:hAnsi="Calibri" w:cs="Lucida Sans Unicode"/>
          <w:i/>
          <w:iCs/>
          <w:sz w:val="22"/>
          <w:szCs w:val="22"/>
        </w:rPr>
        <w:tab/>
      </w:r>
      <w:r w:rsidRPr="00445E74">
        <w:rPr>
          <w:rFonts w:ascii="Calibri" w:hAnsi="Calibri" w:cs="Lucida Sans Unicode"/>
          <w:sz w:val="22"/>
          <w:szCs w:val="22"/>
        </w:rPr>
        <w:t>While those age 35 to 44 increased between 1990 and 2000</w:t>
      </w:r>
      <w:r w:rsidR="00650B44">
        <w:rPr>
          <w:rFonts w:ascii="Calibri" w:hAnsi="Calibri" w:cs="Lucida Sans Unicode"/>
          <w:sz w:val="22"/>
          <w:szCs w:val="22"/>
        </w:rPr>
        <w:t>,</w:t>
      </w:r>
      <w:r w:rsidRPr="00445E74">
        <w:rPr>
          <w:rFonts w:ascii="Calibri" w:hAnsi="Calibri" w:cs="Lucida Sans Unicode"/>
          <w:sz w:val="22"/>
          <w:szCs w:val="22"/>
        </w:rPr>
        <w:t xml:space="preserve"> by 320 residents or 6.9%, there was a fall-off of this population after that, decreasing</w:t>
      </w:r>
      <w:r w:rsidR="00002D30">
        <w:rPr>
          <w:rFonts w:ascii="Calibri" w:hAnsi="Calibri" w:cs="Lucida Sans Unicode"/>
          <w:sz w:val="22"/>
          <w:szCs w:val="22"/>
        </w:rPr>
        <w:t xml:space="preserve"> from 4,619</w:t>
      </w:r>
      <w:r w:rsidRPr="00445E74">
        <w:rPr>
          <w:rFonts w:ascii="Calibri" w:hAnsi="Calibri" w:cs="Lucida Sans Unicode"/>
          <w:sz w:val="22"/>
          <w:szCs w:val="22"/>
        </w:rPr>
        <w:t xml:space="preserve"> to 4,046 residents or by </w:t>
      </w:r>
      <w:r w:rsidR="00002D30">
        <w:rPr>
          <w:rFonts w:ascii="Calibri" w:hAnsi="Calibri" w:cs="Lucida Sans Unicode"/>
          <w:sz w:val="22"/>
          <w:szCs w:val="22"/>
        </w:rPr>
        <w:t>12.4</w:t>
      </w:r>
      <w:r w:rsidRPr="00445E74">
        <w:rPr>
          <w:rFonts w:ascii="Calibri" w:hAnsi="Calibri" w:cs="Lucida Sans Unicode"/>
          <w:sz w:val="22"/>
          <w:szCs w:val="22"/>
        </w:rPr>
        <w:t xml:space="preserve">% </w:t>
      </w:r>
      <w:r w:rsidR="002276F6">
        <w:rPr>
          <w:rFonts w:ascii="Calibri" w:hAnsi="Calibri" w:cs="Lucida Sans Unicode"/>
          <w:sz w:val="22"/>
          <w:szCs w:val="22"/>
        </w:rPr>
        <w:t>between 2000 and</w:t>
      </w:r>
      <w:r w:rsidRPr="00445E74">
        <w:rPr>
          <w:rFonts w:ascii="Calibri" w:hAnsi="Calibri" w:cs="Lucida Sans Unicode"/>
          <w:sz w:val="22"/>
          <w:szCs w:val="22"/>
        </w:rPr>
        <w:t xml:space="preserve"> 2010</w:t>
      </w:r>
      <w:r>
        <w:rPr>
          <w:rFonts w:ascii="Calibri" w:hAnsi="Calibri" w:cs="Lucida Sans Unicode"/>
          <w:sz w:val="22"/>
          <w:szCs w:val="22"/>
        </w:rPr>
        <w:t>.  The 20</w:t>
      </w:r>
      <w:r w:rsidR="00946EFC">
        <w:rPr>
          <w:rFonts w:ascii="Calibri" w:hAnsi="Calibri" w:cs="Lucida Sans Unicode"/>
          <w:sz w:val="22"/>
          <w:szCs w:val="22"/>
        </w:rPr>
        <w:t>20</w:t>
      </w:r>
      <w:r>
        <w:rPr>
          <w:rFonts w:ascii="Calibri" w:hAnsi="Calibri" w:cs="Lucida Sans Unicode"/>
          <w:sz w:val="22"/>
          <w:szCs w:val="22"/>
        </w:rPr>
        <w:t xml:space="preserve"> census estimates suggest a</w:t>
      </w:r>
      <w:r w:rsidR="00650B44">
        <w:rPr>
          <w:rFonts w:ascii="Calibri" w:hAnsi="Calibri" w:cs="Lucida Sans Unicode"/>
          <w:sz w:val="22"/>
          <w:szCs w:val="22"/>
        </w:rPr>
        <w:t xml:space="preserve"> </w:t>
      </w:r>
      <w:r w:rsidR="00946EFC">
        <w:rPr>
          <w:rFonts w:ascii="Calibri" w:hAnsi="Calibri" w:cs="Lucida Sans Unicode"/>
          <w:sz w:val="22"/>
          <w:szCs w:val="22"/>
        </w:rPr>
        <w:t>major loss of 1,956</w:t>
      </w:r>
      <w:r>
        <w:rPr>
          <w:rFonts w:ascii="Calibri" w:hAnsi="Calibri" w:cs="Lucida Sans Unicode"/>
          <w:sz w:val="22"/>
          <w:szCs w:val="22"/>
        </w:rPr>
        <w:t xml:space="preserve"> residents</w:t>
      </w:r>
      <w:r w:rsidR="00946EFC">
        <w:rPr>
          <w:rFonts w:ascii="Calibri" w:hAnsi="Calibri" w:cs="Lucida Sans Unicode"/>
          <w:sz w:val="22"/>
          <w:szCs w:val="22"/>
        </w:rPr>
        <w:t xml:space="preserve"> or 48%</w:t>
      </w:r>
      <w:r>
        <w:rPr>
          <w:rFonts w:ascii="Calibri" w:hAnsi="Calibri" w:cs="Lucida Sans Unicode"/>
          <w:sz w:val="22"/>
          <w:szCs w:val="22"/>
        </w:rPr>
        <w:t xml:space="preserve"> in this age range</w:t>
      </w:r>
      <w:r w:rsidR="00946EFC">
        <w:rPr>
          <w:rFonts w:ascii="Calibri" w:hAnsi="Calibri" w:cs="Lucida Sans Unicode"/>
          <w:sz w:val="22"/>
          <w:szCs w:val="22"/>
        </w:rPr>
        <w:t xml:space="preserve"> since 2010</w:t>
      </w:r>
      <w:r w:rsidR="0069244A">
        <w:rPr>
          <w:rFonts w:ascii="Calibri" w:hAnsi="Calibri" w:cs="Lucida Sans Unicode"/>
          <w:sz w:val="22"/>
          <w:szCs w:val="22"/>
        </w:rPr>
        <w:t xml:space="preserve"> to 2,090 residents</w:t>
      </w:r>
      <w:r>
        <w:rPr>
          <w:rFonts w:ascii="Calibri" w:hAnsi="Calibri" w:cs="Lucida Sans Unicode"/>
          <w:sz w:val="22"/>
          <w:szCs w:val="22"/>
        </w:rPr>
        <w:t>.</w:t>
      </w:r>
      <w:r w:rsidRPr="00445E74">
        <w:rPr>
          <w:rFonts w:ascii="Calibri" w:hAnsi="Calibri" w:cs="Lucida Sans Unicode"/>
          <w:sz w:val="22"/>
          <w:szCs w:val="22"/>
        </w:rPr>
        <w:t xml:space="preserve"> </w:t>
      </w:r>
      <w:r w:rsidR="002276F6">
        <w:rPr>
          <w:rFonts w:ascii="Calibri" w:hAnsi="Calibri" w:cs="Lucida Sans Unicode"/>
          <w:sz w:val="22"/>
          <w:szCs w:val="22"/>
        </w:rPr>
        <w:t xml:space="preserve"> </w:t>
      </w:r>
      <w:r w:rsidRPr="00445E74">
        <w:rPr>
          <w:rFonts w:ascii="Calibri" w:hAnsi="Calibri" w:cs="Lucida Sans Unicode"/>
          <w:sz w:val="22"/>
          <w:szCs w:val="22"/>
        </w:rPr>
        <w:t xml:space="preserve">While many in this age range would likely be attracted to Needham given the high quality of its school system and other community amenities for young families, it is also likely that </w:t>
      </w:r>
      <w:r w:rsidR="00485EC2">
        <w:rPr>
          <w:rFonts w:ascii="Calibri" w:hAnsi="Calibri" w:cs="Lucida Sans Unicode"/>
          <w:sz w:val="22"/>
          <w:szCs w:val="22"/>
        </w:rPr>
        <w:t>many have been</w:t>
      </w:r>
      <w:r w:rsidRPr="00445E74">
        <w:rPr>
          <w:rFonts w:ascii="Calibri" w:hAnsi="Calibri" w:cs="Lucida Sans Unicode"/>
          <w:sz w:val="22"/>
          <w:szCs w:val="22"/>
        </w:rPr>
        <w:t xml:space="preserve"> priced out of the town’s housing market.</w:t>
      </w:r>
    </w:p>
    <w:p w14:paraId="2249AC28" w14:textId="77777777" w:rsidR="00232AB5" w:rsidRPr="00445E74" w:rsidRDefault="00232AB5" w:rsidP="00232AB5">
      <w:pPr>
        <w:tabs>
          <w:tab w:val="num" w:pos="720"/>
        </w:tabs>
        <w:ind w:left="720" w:hanging="360"/>
        <w:jc w:val="both"/>
        <w:rPr>
          <w:rFonts w:ascii="Calibri" w:hAnsi="Calibri" w:cs="Lucida Sans Unicode"/>
          <w:sz w:val="22"/>
          <w:szCs w:val="22"/>
        </w:rPr>
      </w:pPr>
    </w:p>
    <w:p w14:paraId="7F5E3007" w14:textId="00D1A22D" w:rsidR="00232AB5" w:rsidRPr="00BF5DF8" w:rsidRDefault="00485EC2" w:rsidP="0076189A">
      <w:pPr>
        <w:pStyle w:val="ListParagraph"/>
        <w:numPr>
          <w:ilvl w:val="0"/>
          <w:numId w:val="57"/>
        </w:numPr>
        <w:tabs>
          <w:tab w:val="num" w:pos="720"/>
        </w:tabs>
        <w:ind w:hanging="360"/>
        <w:rPr>
          <w:rFonts w:asciiTheme="minorHAnsi" w:hAnsiTheme="minorHAnsi" w:cs="Lucida Sans Unicode"/>
          <w:i/>
          <w:iCs/>
          <w:sz w:val="22"/>
          <w:szCs w:val="22"/>
        </w:rPr>
      </w:pPr>
      <w:r w:rsidRPr="00BF5DF8">
        <w:rPr>
          <w:rFonts w:ascii="Calibri" w:hAnsi="Calibri" w:cs="Lucida Sans Unicode"/>
          <w:i/>
          <w:iCs/>
          <w:sz w:val="22"/>
        </w:rPr>
        <w:t xml:space="preserve">Recent decline in </w:t>
      </w:r>
      <w:r w:rsidRPr="00BF5DF8">
        <w:rPr>
          <w:rFonts w:ascii="Calibri" w:hAnsi="Calibri" w:cs="Lucida Sans Unicode"/>
          <w:i/>
          <w:iCs/>
          <w:sz w:val="22"/>
          <w:u w:val="single"/>
        </w:rPr>
        <w:t>m</w:t>
      </w:r>
      <w:r w:rsidR="00232AB5" w:rsidRPr="00BF5DF8">
        <w:rPr>
          <w:rFonts w:asciiTheme="minorHAnsi" w:hAnsiTheme="minorHAnsi" w:cs="Lucida Sans Unicode"/>
          <w:i/>
          <w:iCs/>
          <w:sz w:val="22"/>
          <w:szCs w:val="22"/>
          <w:u w:val="single"/>
        </w:rPr>
        <w:t>iddle-aged residents</w:t>
      </w:r>
      <w:r w:rsidR="00232AB5" w:rsidRPr="00BF5DF8">
        <w:rPr>
          <w:rFonts w:asciiTheme="minorHAnsi" w:hAnsiTheme="minorHAnsi" w:cs="Lucida Sans Unicode"/>
          <w:i/>
          <w:iCs/>
          <w:sz w:val="22"/>
          <w:szCs w:val="22"/>
        </w:rPr>
        <w:t xml:space="preserve"> </w:t>
      </w:r>
    </w:p>
    <w:p w14:paraId="5B6570E8" w14:textId="2D2F53BF" w:rsidR="00232AB5" w:rsidRDefault="00232AB5" w:rsidP="0076189A">
      <w:pPr>
        <w:tabs>
          <w:tab w:val="num" w:pos="720"/>
        </w:tabs>
        <w:ind w:left="720" w:hanging="360"/>
        <w:jc w:val="both"/>
        <w:rPr>
          <w:rFonts w:asciiTheme="minorHAnsi" w:hAnsiTheme="minorHAnsi" w:cs="Lucida Sans Unicode"/>
          <w:sz w:val="22"/>
          <w:szCs w:val="22"/>
        </w:rPr>
      </w:pPr>
      <w:r w:rsidRPr="00445E74">
        <w:rPr>
          <w:rFonts w:asciiTheme="minorHAnsi" w:hAnsiTheme="minorHAnsi" w:cs="Lucida Sans Unicode"/>
          <w:i/>
          <w:iCs/>
          <w:sz w:val="22"/>
          <w:szCs w:val="22"/>
        </w:rPr>
        <w:tab/>
      </w:r>
      <w:r w:rsidRPr="00445E74">
        <w:rPr>
          <w:rFonts w:asciiTheme="minorHAnsi" w:hAnsiTheme="minorHAnsi" w:cs="Lucida Sans Unicode"/>
          <w:iCs/>
          <w:sz w:val="22"/>
          <w:szCs w:val="22"/>
        </w:rPr>
        <w:t>There was a</w:t>
      </w:r>
      <w:r w:rsidR="00EB4684">
        <w:rPr>
          <w:rFonts w:asciiTheme="minorHAnsi" w:hAnsiTheme="minorHAnsi" w:cs="Lucida Sans Unicode"/>
          <w:iCs/>
          <w:sz w:val="22"/>
          <w:szCs w:val="22"/>
        </w:rPr>
        <w:t>n</w:t>
      </w:r>
      <w:r w:rsidRPr="00445E74">
        <w:rPr>
          <w:rFonts w:asciiTheme="minorHAnsi" w:hAnsiTheme="minorHAnsi" w:cs="Lucida Sans Unicode"/>
          <w:sz w:val="22"/>
          <w:szCs w:val="22"/>
        </w:rPr>
        <w:t xml:space="preserve"> upsurge of those in the 45 to 54 age range, growing by 1,717 residents or 53.3% between 1990 and 2010, likely reflecti</w:t>
      </w:r>
      <w:r w:rsidR="00650B44">
        <w:rPr>
          <w:rFonts w:asciiTheme="minorHAnsi" w:hAnsiTheme="minorHAnsi" w:cs="Lucida Sans Unicode"/>
          <w:sz w:val="22"/>
          <w:szCs w:val="22"/>
        </w:rPr>
        <w:t xml:space="preserve">ve of those </w:t>
      </w:r>
      <w:r w:rsidRPr="00445E74">
        <w:rPr>
          <w:rFonts w:asciiTheme="minorHAnsi" w:hAnsiTheme="minorHAnsi" w:cs="Lucida Sans Unicode"/>
          <w:sz w:val="22"/>
          <w:szCs w:val="22"/>
        </w:rPr>
        <w:t xml:space="preserve">further into their work lives </w:t>
      </w:r>
      <w:r w:rsidR="00650B44">
        <w:rPr>
          <w:rFonts w:asciiTheme="minorHAnsi" w:hAnsiTheme="minorHAnsi" w:cs="Lucida Sans Unicode"/>
          <w:sz w:val="22"/>
          <w:szCs w:val="22"/>
        </w:rPr>
        <w:t>being better able</w:t>
      </w:r>
      <w:r w:rsidRPr="00445E74">
        <w:rPr>
          <w:rFonts w:asciiTheme="minorHAnsi" w:hAnsiTheme="minorHAnsi" w:cs="Lucida Sans Unicode"/>
          <w:sz w:val="22"/>
          <w:szCs w:val="22"/>
        </w:rPr>
        <w:t xml:space="preserve"> </w:t>
      </w:r>
      <w:r w:rsidRPr="00445E74">
        <w:rPr>
          <w:rFonts w:asciiTheme="minorHAnsi" w:hAnsiTheme="minorHAnsi" w:cs="Lucida Sans Unicode"/>
          <w:sz w:val="22"/>
          <w:szCs w:val="22"/>
        </w:rPr>
        <w:lastRenderedPageBreak/>
        <w:t xml:space="preserve">to afford to live in Needham. </w:t>
      </w:r>
      <w:r w:rsidR="00485EC2">
        <w:rPr>
          <w:rFonts w:asciiTheme="minorHAnsi" w:hAnsiTheme="minorHAnsi" w:cs="Lucida Sans Unicode"/>
          <w:sz w:val="22"/>
          <w:szCs w:val="22"/>
        </w:rPr>
        <w:t xml:space="preserve"> However, the 20</w:t>
      </w:r>
      <w:r w:rsidR="002276F6">
        <w:rPr>
          <w:rFonts w:asciiTheme="minorHAnsi" w:hAnsiTheme="minorHAnsi" w:cs="Lucida Sans Unicode"/>
          <w:sz w:val="22"/>
          <w:szCs w:val="22"/>
        </w:rPr>
        <w:t>20</w:t>
      </w:r>
      <w:r w:rsidR="00485EC2">
        <w:rPr>
          <w:rFonts w:asciiTheme="minorHAnsi" w:hAnsiTheme="minorHAnsi" w:cs="Lucida Sans Unicode"/>
          <w:sz w:val="22"/>
          <w:szCs w:val="22"/>
        </w:rPr>
        <w:t xml:space="preserve"> census estimates indicate a decrease in this age cohort, down to 4,6</w:t>
      </w:r>
      <w:r w:rsidR="002276F6">
        <w:rPr>
          <w:rFonts w:asciiTheme="minorHAnsi" w:hAnsiTheme="minorHAnsi" w:cs="Lucida Sans Unicode"/>
          <w:sz w:val="22"/>
          <w:szCs w:val="22"/>
        </w:rPr>
        <w:t>2</w:t>
      </w:r>
      <w:r w:rsidR="00485EC2">
        <w:rPr>
          <w:rFonts w:asciiTheme="minorHAnsi" w:hAnsiTheme="minorHAnsi" w:cs="Lucida Sans Unicode"/>
          <w:sz w:val="22"/>
          <w:szCs w:val="22"/>
        </w:rPr>
        <w:t xml:space="preserve">4 residents from 4,940 in 2010.  </w:t>
      </w:r>
      <w:r w:rsidRPr="00445E74">
        <w:rPr>
          <w:rFonts w:asciiTheme="minorHAnsi" w:hAnsiTheme="minorHAnsi" w:cs="Lucida Sans Unicode"/>
          <w:sz w:val="22"/>
          <w:szCs w:val="22"/>
        </w:rPr>
        <w:t xml:space="preserve"> </w:t>
      </w:r>
      <w:r w:rsidR="00087367">
        <w:rPr>
          <w:rFonts w:asciiTheme="minorHAnsi" w:hAnsiTheme="minorHAnsi" w:cs="Lucida Sans Unicode"/>
          <w:sz w:val="22"/>
          <w:szCs w:val="22"/>
        </w:rPr>
        <w:t>Some in this age range may also have found it challenging to afford the rising housing costs during this period.</w:t>
      </w:r>
    </w:p>
    <w:p w14:paraId="31DFAB61" w14:textId="2017BF9C" w:rsidR="00EB4684" w:rsidRDefault="00EB4684" w:rsidP="0076189A">
      <w:pPr>
        <w:tabs>
          <w:tab w:val="num" w:pos="720"/>
        </w:tabs>
        <w:ind w:left="720" w:hanging="360"/>
        <w:jc w:val="both"/>
        <w:rPr>
          <w:rFonts w:asciiTheme="minorHAnsi" w:hAnsiTheme="minorHAnsi" w:cs="Lucida Sans Unicode"/>
          <w:sz w:val="22"/>
          <w:szCs w:val="22"/>
        </w:rPr>
      </w:pPr>
    </w:p>
    <w:p w14:paraId="43AB06FC" w14:textId="4E0B9005" w:rsidR="006728D8" w:rsidRPr="00BF5DF8" w:rsidRDefault="00EC6F66" w:rsidP="0076189A">
      <w:pPr>
        <w:pStyle w:val="ListParagraph"/>
        <w:numPr>
          <w:ilvl w:val="0"/>
          <w:numId w:val="57"/>
        </w:numPr>
        <w:tabs>
          <w:tab w:val="num" w:pos="720"/>
        </w:tabs>
        <w:ind w:hanging="360"/>
        <w:jc w:val="both"/>
        <w:rPr>
          <w:rFonts w:asciiTheme="minorHAnsi" w:hAnsiTheme="minorHAnsi" w:cs="Lucida Sans Unicode"/>
          <w:i/>
          <w:sz w:val="22"/>
          <w:szCs w:val="22"/>
        </w:rPr>
      </w:pPr>
      <w:r w:rsidRPr="00EC6F66">
        <w:rPr>
          <w:rFonts w:asciiTheme="minorHAnsi" w:hAnsiTheme="minorHAnsi" w:cs="Lucida Sans Unicode"/>
          <w:i/>
          <w:sz w:val="22"/>
          <w:szCs w:val="22"/>
        </w:rPr>
        <w:t>Increases in</w:t>
      </w:r>
      <w:r>
        <w:rPr>
          <w:rFonts w:asciiTheme="minorHAnsi" w:hAnsiTheme="minorHAnsi" w:cs="Lucida Sans Unicode"/>
          <w:i/>
          <w:sz w:val="22"/>
          <w:szCs w:val="22"/>
          <w:u w:val="single"/>
        </w:rPr>
        <w:t xml:space="preserve"> o</w:t>
      </w:r>
      <w:r w:rsidR="006728D8" w:rsidRPr="00BF5DF8">
        <w:rPr>
          <w:rFonts w:asciiTheme="minorHAnsi" w:hAnsiTheme="minorHAnsi" w:cs="Lucida Sans Unicode"/>
          <w:i/>
          <w:sz w:val="22"/>
          <w:szCs w:val="22"/>
          <w:u w:val="single"/>
        </w:rPr>
        <w:t>lder middle-aged residents</w:t>
      </w:r>
      <w:r w:rsidR="006728D8" w:rsidRPr="00BF5DF8">
        <w:rPr>
          <w:rFonts w:asciiTheme="minorHAnsi" w:hAnsiTheme="minorHAnsi" w:cs="Lucida Sans Unicode"/>
          <w:i/>
          <w:sz w:val="22"/>
          <w:szCs w:val="22"/>
        </w:rPr>
        <w:t xml:space="preserve"> </w:t>
      </w:r>
    </w:p>
    <w:p w14:paraId="1337CD30" w14:textId="2B069B46" w:rsidR="00232AB5" w:rsidRPr="00445E74" w:rsidRDefault="00232AB5" w:rsidP="0076189A">
      <w:pPr>
        <w:tabs>
          <w:tab w:val="num" w:pos="720"/>
        </w:tabs>
        <w:ind w:left="720" w:hanging="360"/>
        <w:jc w:val="both"/>
        <w:rPr>
          <w:rFonts w:asciiTheme="minorHAnsi" w:hAnsiTheme="minorHAnsi"/>
          <w:sz w:val="22"/>
          <w:szCs w:val="22"/>
        </w:rPr>
      </w:pPr>
      <w:r w:rsidRPr="00445E74">
        <w:rPr>
          <w:rFonts w:asciiTheme="minorHAnsi" w:hAnsiTheme="minorHAnsi" w:cs="Lucida Sans Unicode"/>
          <w:i/>
          <w:iCs/>
          <w:sz w:val="22"/>
          <w:szCs w:val="22"/>
        </w:rPr>
        <w:tab/>
      </w:r>
      <w:r w:rsidRPr="00445E74">
        <w:rPr>
          <w:rFonts w:asciiTheme="minorHAnsi" w:hAnsiTheme="minorHAnsi" w:cs="Lucida Sans Unicode"/>
          <w:sz w:val="22"/>
          <w:szCs w:val="22"/>
        </w:rPr>
        <w:t>T</w:t>
      </w:r>
      <w:r>
        <w:rPr>
          <w:rFonts w:asciiTheme="minorHAnsi" w:hAnsiTheme="minorHAnsi" w:cs="Lucida Sans Unicode"/>
          <w:sz w:val="22"/>
          <w:szCs w:val="22"/>
        </w:rPr>
        <w:t>hose in the 5</w:t>
      </w:r>
      <w:r w:rsidR="00087367">
        <w:rPr>
          <w:rFonts w:asciiTheme="minorHAnsi" w:hAnsiTheme="minorHAnsi" w:cs="Lucida Sans Unicode"/>
          <w:sz w:val="22"/>
          <w:szCs w:val="22"/>
        </w:rPr>
        <w:t>5</w:t>
      </w:r>
      <w:r>
        <w:rPr>
          <w:rFonts w:asciiTheme="minorHAnsi" w:hAnsiTheme="minorHAnsi" w:cs="Lucida Sans Unicode"/>
          <w:sz w:val="22"/>
          <w:szCs w:val="22"/>
        </w:rPr>
        <w:t xml:space="preserve"> to 64-age range </w:t>
      </w:r>
      <w:r w:rsidRPr="00445E74">
        <w:rPr>
          <w:rFonts w:asciiTheme="minorHAnsi" w:hAnsiTheme="minorHAnsi" w:cs="Lucida Sans Unicode"/>
          <w:sz w:val="22"/>
          <w:szCs w:val="22"/>
        </w:rPr>
        <w:t>increased from 10.7% of the population in 1990 to 13.3% by 2010</w:t>
      </w:r>
      <w:r w:rsidR="00727E80">
        <w:rPr>
          <w:rFonts w:asciiTheme="minorHAnsi" w:hAnsiTheme="minorHAnsi" w:cs="Lucida Sans Unicode"/>
          <w:sz w:val="22"/>
          <w:szCs w:val="22"/>
        </w:rPr>
        <w:t>,</w:t>
      </w:r>
      <w:r w:rsidRPr="00445E74">
        <w:rPr>
          <w:rFonts w:asciiTheme="minorHAnsi" w:hAnsiTheme="minorHAnsi" w:cs="Lucida Sans Unicode"/>
          <w:sz w:val="22"/>
          <w:szCs w:val="22"/>
        </w:rPr>
        <w:t xml:space="preserve"> or </w:t>
      </w:r>
      <w:r w:rsidR="00087367">
        <w:rPr>
          <w:rFonts w:asciiTheme="minorHAnsi" w:hAnsiTheme="minorHAnsi" w:cs="Lucida Sans Unicode"/>
          <w:sz w:val="22"/>
          <w:szCs w:val="22"/>
        </w:rPr>
        <w:t>from 2,959 to 3,840</w:t>
      </w:r>
      <w:r w:rsidRPr="00445E74">
        <w:rPr>
          <w:rFonts w:asciiTheme="minorHAnsi" w:hAnsiTheme="minorHAnsi" w:cs="Lucida Sans Unicode"/>
          <w:sz w:val="22"/>
          <w:szCs w:val="22"/>
        </w:rPr>
        <w:t xml:space="preserve"> residents</w:t>
      </w:r>
      <w:r w:rsidR="00731CFE">
        <w:rPr>
          <w:rFonts w:asciiTheme="minorHAnsi" w:hAnsiTheme="minorHAnsi" w:cs="Lucida Sans Unicode"/>
          <w:sz w:val="22"/>
          <w:szCs w:val="22"/>
        </w:rPr>
        <w:t>.</w:t>
      </w:r>
      <w:r w:rsidRPr="00445E74">
        <w:rPr>
          <w:rFonts w:asciiTheme="minorHAnsi" w:hAnsiTheme="minorHAnsi" w:cs="Lucida Sans Unicode"/>
          <w:sz w:val="22"/>
          <w:szCs w:val="22"/>
        </w:rPr>
        <w:t xml:space="preserve">  Census estimates for 20</w:t>
      </w:r>
      <w:r w:rsidR="004C30EA">
        <w:rPr>
          <w:rFonts w:asciiTheme="minorHAnsi" w:hAnsiTheme="minorHAnsi" w:cs="Lucida Sans Unicode"/>
          <w:sz w:val="22"/>
          <w:szCs w:val="22"/>
        </w:rPr>
        <w:t>20</w:t>
      </w:r>
      <w:r w:rsidRPr="00445E74">
        <w:rPr>
          <w:rFonts w:asciiTheme="minorHAnsi" w:hAnsiTheme="minorHAnsi" w:cs="Lucida Sans Unicode"/>
          <w:sz w:val="22"/>
          <w:szCs w:val="22"/>
        </w:rPr>
        <w:t xml:space="preserve"> suggest further increases to 4,</w:t>
      </w:r>
      <w:r w:rsidR="004C30EA">
        <w:rPr>
          <w:rFonts w:asciiTheme="minorHAnsi" w:hAnsiTheme="minorHAnsi" w:cs="Lucida Sans Unicode"/>
          <w:sz w:val="22"/>
          <w:szCs w:val="22"/>
        </w:rPr>
        <w:t>370</w:t>
      </w:r>
      <w:r w:rsidRPr="00445E74">
        <w:rPr>
          <w:rFonts w:asciiTheme="minorHAnsi" w:hAnsiTheme="minorHAnsi" w:cs="Lucida Sans Unicode"/>
          <w:sz w:val="22"/>
          <w:szCs w:val="22"/>
        </w:rPr>
        <w:t xml:space="preserve"> residents, comprising 14</w:t>
      </w:r>
      <w:r w:rsidR="004C30EA">
        <w:rPr>
          <w:rFonts w:asciiTheme="minorHAnsi" w:hAnsiTheme="minorHAnsi" w:cs="Lucida Sans Unicode"/>
          <w:sz w:val="22"/>
          <w:szCs w:val="22"/>
        </w:rPr>
        <w:t>.0</w:t>
      </w:r>
      <w:r w:rsidRPr="00445E74">
        <w:rPr>
          <w:rFonts w:asciiTheme="minorHAnsi" w:hAnsiTheme="minorHAnsi" w:cs="Lucida Sans Unicode"/>
          <w:sz w:val="22"/>
          <w:szCs w:val="22"/>
        </w:rPr>
        <w:t xml:space="preserve">% of Needham’s population. </w:t>
      </w:r>
      <w:r w:rsidRPr="00445E74">
        <w:rPr>
          <w:rFonts w:asciiTheme="minorHAnsi" w:hAnsiTheme="minorHAnsi"/>
          <w:sz w:val="22"/>
          <w:szCs w:val="22"/>
        </w:rPr>
        <w:t>The Town will need to be prepared to accommodate this increasing population of older adults as they enter retirement</w:t>
      </w:r>
      <w:r w:rsidR="00650B44">
        <w:rPr>
          <w:rFonts w:asciiTheme="minorHAnsi" w:hAnsiTheme="minorHAnsi"/>
          <w:sz w:val="22"/>
          <w:szCs w:val="22"/>
        </w:rPr>
        <w:t xml:space="preserve"> with </w:t>
      </w:r>
      <w:r w:rsidRPr="00445E74">
        <w:rPr>
          <w:rFonts w:asciiTheme="minorHAnsi" w:hAnsiTheme="minorHAnsi"/>
          <w:sz w:val="22"/>
          <w:szCs w:val="22"/>
        </w:rPr>
        <w:t>more housing with handicapped accessibility, supportive services, and low maintenance demands.</w:t>
      </w:r>
    </w:p>
    <w:p w14:paraId="5EC76388" w14:textId="23A31A82" w:rsidR="00232AB5" w:rsidRDefault="00232AB5" w:rsidP="0076189A">
      <w:pPr>
        <w:tabs>
          <w:tab w:val="left" w:pos="720"/>
        </w:tabs>
        <w:ind w:left="720" w:hanging="360"/>
        <w:jc w:val="both"/>
        <w:rPr>
          <w:rFonts w:asciiTheme="minorHAnsi" w:hAnsiTheme="minorHAnsi" w:cs="Lucida Sans Unicode"/>
          <w:sz w:val="22"/>
          <w:szCs w:val="22"/>
        </w:rPr>
      </w:pPr>
    </w:p>
    <w:p w14:paraId="224241FB" w14:textId="6043CA8D" w:rsidR="00232AB5" w:rsidRPr="00BF5DF8" w:rsidRDefault="00232AB5" w:rsidP="0076189A">
      <w:pPr>
        <w:pStyle w:val="ListParagraph"/>
        <w:numPr>
          <w:ilvl w:val="0"/>
          <w:numId w:val="57"/>
        </w:numPr>
        <w:tabs>
          <w:tab w:val="num" w:pos="720"/>
        </w:tabs>
        <w:ind w:hanging="360"/>
        <w:jc w:val="both"/>
        <w:rPr>
          <w:rFonts w:asciiTheme="minorHAnsi" w:hAnsiTheme="minorHAnsi" w:cs="Lucida Sans Unicode"/>
          <w:i/>
          <w:iCs/>
          <w:sz w:val="22"/>
          <w:szCs w:val="22"/>
        </w:rPr>
      </w:pPr>
      <w:r w:rsidRPr="00BF5DF8">
        <w:rPr>
          <w:rFonts w:asciiTheme="minorHAnsi" w:hAnsiTheme="minorHAnsi" w:cs="Lucida Sans Unicode"/>
          <w:i/>
          <w:iCs/>
          <w:sz w:val="22"/>
          <w:szCs w:val="22"/>
        </w:rPr>
        <w:t xml:space="preserve">Fluctuating population of </w:t>
      </w:r>
      <w:r w:rsidR="00BE1C94">
        <w:rPr>
          <w:rFonts w:asciiTheme="minorHAnsi" w:hAnsiTheme="minorHAnsi" w:cs="Lucida Sans Unicode"/>
          <w:i/>
          <w:iCs/>
          <w:sz w:val="22"/>
          <w:szCs w:val="22"/>
          <w:u w:val="single"/>
        </w:rPr>
        <w:t>older</w:t>
      </w:r>
      <w:r w:rsidRPr="00BF5DF8">
        <w:rPr>
          <w:rFonts w:asciiTheme="minorHAnsi" w:hAnsiTheme="minorHAnsi" w:cs="Lucida Sans Unicode"/>
          <w:i/>
          <w:iCs/>
          <w:sz w:val="22"/>
          <w:szCs w:val="22"/>
          <w:u w:val="single"/>
        </w:rPr>
        <w:t xml:space="preserve"> residents</w:t>
      </w:r>
      <w:r w:rsidR="00EC6F66">
        <w:rPr>
          <w:rFonts w:asciiTheme="minorHAnsi" w:hAnsiTheme="minorHAnsi" w:cs="Lucida Sans Unicode"/>
          <w:i/>
          <w:iCs/>
          <w:sz w:val="22"/>
          <w:szCs w:val="22"/>
          <w:u w:val="single"/>
        </w:rPr>
        <w:t xml:space="preserve"> </w:t>
      </w:r>
      <w:r w:rsidR="00EC6F66" w:rsidRPr="00EC6F66">
        <w:rPr>
          <w:rFonts w:asciiTheme="minorHAnsi" w:hAnsiTheme="minorHAnsi" w:cs="Lucida Sans Unicode"/>
          <w:i/>
          <w:iCs/>
          <w:sz w:val="22"/>
          <w:szCs w:val="22"/>
        </w:rPr>
        <w:t>with recent increase</w:t>
      </w:r>
      <w:r w:rsidR="009875A9">
        <w:rPr>
          <w:rFonts w:asciiTheme="minorHAnsi" w:hAnsiTheme="minorHAnsi" w:cs="Lucida Sans Unicode"/>
          <w:i/>
          <w:iCs/>
          <w:sz w:val="22"/>
          <w:szCs w:val="22"/>
        </w:rPr>
        <w:t>s</w:t>
      </w:r>
    </w:p>
    <w:p w14:paraId="62EA1166" w14:textId="3E0D28D0" w:rsidR="00232AB5" w:rsidRDefault="00232AB5" w:rsidP="0076189A">
      <w:pPr>
        <w:ind w:left="720"/>
        <w:jc w:val="both"/>
        <w:rPr>
          <w:rFonts w:ascii="Calibri" w:hAnsi="Calibri" w:cs="Lucida Sans Unicode"/>
          <w:sz w:val="22"/>
          <w:szCs w:val="22"/>
        </w:rPr>
      </w:pPr>
      <w:r w:rsidRPr="00445E74">
        <w:rPr>
          <w:rFonts w:asciiTheme="minorHAnsi" w:hAnsiTheme="minorHAnsi" w:cs="Lucida Sans Unicode"/>
          <w:sz w:val="22"/>
          <w:szCs w:val="22"/>
        </w:rPr>
        <w:t xml:space="preserve">The number of those 65 years of age and older </w:t>
      </w:r>
      <w:r>
        <w:rPr>
          <w:rFonts w:asciiTheme="minorHAnsi" w:hAnsiTheme="minorHAnsi" w:cs="Lucida Sans Unicode"/>
          <w:sz w:val="22"/>
          <w:szCs w:val="22"/>
        </w:rPr>
        <w:t>has fluctuated somewhat</w:t>
      </w:r>
      <w:r w:rsidR="00727E80">
        <w:rPr>
          <w:rFonts w:asciiTheme="minorHAnsi" w:hAnsiTheme="minorHAnsi" w:cs="Lucida Sans Unicode"/>
          <w:sz w:val="22"/>
          <w:szCs w:val="22"/>
        </w:rPr>
        <w:t xml:space="preserve"> over the decades</w:t>
      </w:r>
      <w:r>
        <w:rPr>
          <w:rFonts w:asciiTheme="minorHAnsi" w:hAnsiTheme="minorHAnsi" w:cs="Lucida Sans Unicode"/>
          <w:sz w:val="22"/>
          <w:szCs w:val="22"/>
        </w:rPr>
        <w:t xml:space="preserve"> from 4,630 residents in 1990</w:t>
      </w:r>
      <w:r w:rsidR="00C708AC">
        <w:rPr>
          <w:rFonts w:asciiTheme="minorHAnsi" w:hAnsiTheme="minorHAnsi" w:cs="Lucida Sans Unicode"/>
          <w:sz w:val="22"/>
          <w:szCs w:val="22"/>
        </w:rPr>
        <w:t>,</w:t>
      </w:r>
      <w:r>
        <w:rPr>
          <w:rFonts w:asciiTheme="minorHAnsi" w:hAnsiTheme="minorHAnsi" w:cs="Lucida Sans Unicode"/>
          <w:sz w:val="22"/>
          <w:szCs w:val="22"/>
        </w:rPr>
        <w:t xml:space="preserve"> up to 5,190 in 2000</w:t>
      </w:r>
      <w:r w:rsidR="00C708AC">
        <w:rPr>
          <w:rFonts w:asciiTheme="minorHAnsi" w:hAnsiTheme="minorHAnsi" w:cs="Lucida Sans Unicode"/>
          <w:sz w:val="22"/>
          <w:szCs w:val="22"/>
        </w:rPr>
        <w:t>,</w:t>
      </w:r>
      <w:r>
        <w:rPr>
          <w:rFonts w:asciiTheme="minorHAnsi" w:hAnsiTheme="minorHAnsi" w:cs="Lucida Sans Unicode"/>
          <w:sz w:val="22"/>
          <w:szCs w:val="22"/>
        </w:rPr>
        <w:t xml:space="preserve"> and then back down to 4,700 in 2010, close to the 1990 level.  The 20</w:t>
      </w:r>
      <w:r w:rsidR="00EC6F66">
        <w:rPr>
          <w:rFonts w:asciiTheme="minorHAnsi" w:hAnsiTheme="minorHAnsi" w:cs="Lucida Sans Unicode"/>
          <w:sz w:val="22"/>
          <w:szCs w:val="22"/>
        </w:rPr>
        <w:t>20</w:t>
      </w:r>
      <w:r>
        <w:rPr>
          <w:rFonts w:asciiTheme="minorHAnsi" w:hAnsiTheme="minorHAnsi" w:cs="Lucida Sans Unicode"/>
          <w:sz w:val="22"/>
          <w:szCs w:val="22"/>
        </w:rPr>
        <w:t xml:space="preserve"> census estimates indicate a</w:t>
      </w:r>
      <w:r w:rsidR="00EC6F66">
        <w:rPr>
          <w:rFonts w:asciiTheme="minorHAnsi" w:hAnsiTheme="minorHAnsi" w:cs="Lucida Sans Unicode"/>
          <w:sz w:val="22"/>
          <w:szCs w:val="22"/>
        </w:rPr>
        <w:t xml:space="preserve"> majo</w:t>
      </w:r>
      <w:r>
        <w:rPr>
          <w:rFonts w:asciiTheme="minorHAnsi" w:hAnsiTheme="minorHAnsi" w:cs="Lucida Sans Unicode"/>
          <w:sz w:val="22"/>
          <w:szCs w:val="22"/>
        </w:rPr>
        <w:t xml:space="preserve">r increase </w:t>
      </w:r>
      <w:r w:rsidR="009875A9">
        <w:rPr>
          <w:rFonts w:asciiTheme="minorHAnsi" w:hAnsiTheme="minorHAnsi" w:cs="Lucida Sans Unicode"/>
          <w:sz w:val="22"/>
          <w:szCs w:val="22"/>
        </w:rPr>
        <w:t>to</w:t>
      </w:r>
      <w:r>
        <w:rPr>
          <w:rFonts w:asciiTheme="minorHAnsi" w:hAnsiTheme="minorHAnsi" w:cs="Lucida Sans Unicode"/>
          <w:sz w:val="22"/>
          <w:szCs w:val="22"/>
        </w:rPr>
        <w:t xml:space="preserve"> </w:t>
      </w:r>
      <w:r w:rsidR="009875A9">
        <w:rPr>
          <w:rFonts w:asciiTheme="minorHAnsi" w:hAnsiTheme="minorHAnsi" w:cs="Lucida Sans Unicode"/>
          <w:sz w:val="22"/>
          <w:szCs w:val="22"/>
        </w:rPr>
        <w:t xml:space="preserve">6,068 </w:t>
      </w:r>
      <w:r>
        <w:rPr>
          <w:rFonts w:asciiTheme="minorHAnsi" w:hAnsiTheme="minorHAnsi" w:cs="Lucida Sans Unicode"/>
          <w:sz w:val="22"/>
          <w:szCs w:val="22"/>
        </w:rPr>
        <w:t>residents and up to 1</w:t>
      </w:r>
      <w:r w:rsidR="00BC137B">
        <w:rPr>
          <w:rFonts w:asciiTheme="minorHAnsi" w:hAnsiTheme="minorHAnsi" w:cs="Lucida Sans Unicode"/>
          <w:sz w:val="22"/>
          <w:szCs w:val="22"/>
        </w:rPr>
        <w:t>9</w:t>
      </w:r>
      <w:r w:rsidR="00EC6F66">
        <w:rPr>
          <w:rFonts w:asciiTheme="minorHAnsi" w:hAnsiTheme="minorHAnsi" w:cs="Lucida Sans Unicode"/>
          <w:sz w:val="22"/>
          <w:szCs w:val="22"/>
        </w:rPr>
        <w:t>.5</w:t>
      </w:r>
      <w:r>
        <w:rPr>
          <w:rFonts w:asciiTheme="minorHAnsi" w:hAnsiTheme="minorHAnsi" w:cs="Lucida Sans Unicode"/>
          <w:sz w:val="22"/>
          <w:szCs w:val="22"/>
        </w:rPr>
        <w:t>% of the population</w:t>
      </w:r>
      <w:r w:rsidR="00BC137B">
        <w:rPr>
          <w:rFonts w:asciiTheme="minorHAnsi" w:hAnsiTheme="minorHAnsi" w:cs="Lucida Sans Unicode"/>
          <w:sz w:val="22"/>
          <w:szCs w:val="22"/>
        </w:rPr>
        <w:t>, largely driven by those age 65 to 74</w:t>
      </w:r>
      <w:r>
        <w:rPr>
          <w:rFonts w:asciiTheme="minorHAnsi" w:hAnsiTheme="minorHAnsi" w:cs="Lucida Sans Unicode"/>
          <w:sz w:val="22"/>
          <w:szCs w:val="22"/>
        </w:rPr>
        <w:t xml:space="preserve">.  </w:t>
      </w:r>
      <w:r w:rsidRPr="00445E74">
        <w:rPr>
          <w:rFonts w:asciiTheme="minorHAnsi" w:hAnsiTheme="minorHAnsi" w:cs="Lucida Sans Unicode"/>
          <w:sz w:val="22"/>
          <w:szCs w:val="22"/>
        </w:rPr>
        <w:t xml:space="preserve">As the community’s </w:t>
      </w:r>
      <w:r>
        <w:rPr>
          <w:rFonts w:asciiTheme="minorHAnsi" w:hAnsiTheme="minorHAnsi" w:cs="Lucida Sans Unicode"/>
          <w:sz w:val="22"/>
          <w:szCs w:val="22"/>
        </w:rPr>
        <w:t>B</w:t>
      </w:r>
      <w:r w:rsidRPr="00445E74">
        <w:rPr>
          <w:rFonts w:asciiTheme="minorHAnsi" w:hAnsiTheme="minorHAnsi" w:cs="Lucida Sans Unicode"/>
          <w:sz w:val="22"/>
          <w:szCs w:val="22"/>
        </w:rPr>
        <w:t xml:space="preserve">aby </w:t>
      </w:r>
      <w:r>
        <w:rPr>
          <w:rFonts w:asciiTheme="minorHAnsi" w:hAnsiTheme="minorHAnsi" w:cs="Lucida Sans Unicode"/>
          <w:sz w:val="22"/>
          <w:szCs w:val="22"/>
        </w:rPr>
        <w:t>B</w:t>
      </w:r>
      <w:r w:rsidRPr="00445E74">
        <w:rPr>
          <w:rFonts w:asciiTheme="minorHAnsi" w:hAnsiTheme="minorHAnsi" w:cs="Lucida Sans Unicode"/>
          <w:sz w:val="22"/>
          <w:szCs w:val="22"/>
        </w:rPr>
        <w:t xml:space="preserve">oomers </w:t>
      </w:r>
      <w:r>
        <w:rPr>
          <w:rFonts w:asciiTheme="minorHAnsi" w:hAnsiTheme="minorHAnsi" w:cs="Lucida Sans Unicode"/>
          <w:sz w:val="22"/>
          <w:szCs w:val="22"/>
        </w:rPr>
        <w:t xml:space="preserve">continue to </w:t>
      </w:r>
      <w:r w:rsidRPr="00445E74">
        <w:rPr>
          <w:rFonts w:asciiTheme="minorHAnsi" w:hAnsiTheme="minorHAnsi" w:cs="Lucida Sans Unicode"/>
          <w:sz w:val="22"/>
          <w:szCs w:val="22"/>
        </w:rPr>
        <w:t xml:space="preserve">enter this age range, the numbers of </w:t>
      </w:r>
      <w:r w:rsidR="00BE1C94">
        <w:rPr>
          <w:rFonts w:asciiTheme="minorHAnsi" w:hAnsiTheme="minorHAnsi" w:cs="Lucida Sans Unicode"/>
          <w:sz w:val="22"/>
          <w:szCs w:val="22"/>
        </w:rPr>
        <w:t>older adults</w:t>
      </w:r>
      <w:r w:rsidRPr="00445E74">
        <w:rPr>
          <w:rFonts w:asciiTheme="minorHAnsi" w:hAnsiTheme="minorHAnsi" w:cs="Lucida Sans Unicode"/>
          <w:sz w:val="22"/>
          <w:szCs w:val="22"/>
        </w:rPr>
        <w:t xml:space="preserve"> will</w:t>
      </w:r>
      <w:r w:rsidR="00BC137B">
        <w:rPr>
          <w:rFonts w:asciiTheme="minorHAnsi" w:hAnsiTheme="minorHAnsi" w:cs="Lucida Sans Unicode"/>
          <w:sz w:val="22"/>
          <w:szCs w:val="22"/>
        </w:rPr>
        <w:t xml:space="preserve"> </w:t>
      </w:r>
      <w:r w:rsidRPr="00445E74">
        <w:rPr>
          <w:rFonts w:asciiTheme="minorHAnsi" w:hAnsiTheme="minorHAnsi" w:cs="Lucida Sans Unicode"/>
          <w:sz w:val="22"/>
          <w:szCs w:val="22"/>
        </w:rPr>
        <w:t>increase over the next</w:t>
      </w:r>
      <w:r w:rsidRPr="00445E74">
        <w:rPr>
          <w:rFonts w:ascii="Calibri" w:hAnsi="Calibri" w:cs="Lucida Sans Unicode"/>
          <w:sz w:val="22"/>
          <w:szCs w:val="22"/>
        </w:rPr>
        <w:t xml:space="preserve"> decade or so</w:t>
      </w:r>
      <w:r>
        <w:rPr>
          <w:rFonts w:ascii="Calibri" w:hAnsi="Calibri" w:cs="Lucida Sans Unicode"/>
          <w:sz w:val="22"/>
          <w:szCs w:val="22"/>
        </w:rPr>
        <w:t xml:space="preserve"> as forecasted in population projections</w:t>
      </w:r>
      <w:r w:rsidRPr="00445E74">
        <w:rPr>
          <w:rFonts w:ascii="Calibri" w:hAnsi="Calibri" w:cs="Lucida Sans Unicode"/>
          <w:sz w:val="22"/>
          <w:szCs w:val="22"/>
        </w:rPr>
        <w:t>.</w:t>
      </w:r>
    </w:p>
    <w:p w14:paraId="673603E1" w14:textId="77777777" w:rsidR="000070A9" w:rsidRPr="00445E74" w:rsidRDefault="000070A9" w:rsidP="000070A9">
      <w:pPr>
        <w:ind w:left="720"/>
        <w:jc w:val="both"/>
        <w:rPr>
          <w:rFonts w:ascii="Calibri" w:hAnsi="Calibri" w:cs="Lucida Sans Unicode"/>
          <w:sz w:val="22"/>
          <w:szCs w:val="22"/>
        </w:rPr>
      </w:pPr>
    </w:p>
    <w:p w14:paraId="48AA6061" w14:textId="44D7F9DA" w:rsidR="00232AB5" w:rsidRPr="00445E74" w:rsidRDefault="0051220A" w:rsidP="000070A9">
      <w:pPr>
        <w:ind w:left="720"/>
        <w:jc w:val="center"/>
        <w:rPr>
          <w:rFonts w:ascii="Calibri" w:hAnsi="Calibri" w:cs="Lucida Sans Unicode"/>
          <w:sz w:val="22"/>
          <w:szCs w:val="22"/>
        </w:rPr>
      </w:pPr>
      <w:r>
        <w:rPr>
          <w:noProof/>
        </w:rPr>
        <w:drawing>
          <wp:inline distT="0" distB="0" distL="0" distR="0" wp14:anchorId="2C98EA9A" wp14:editId="016CD796">
            <wp:extent cx="4572000" cy="2743200"/>
            <wp:effectExtent l="0" t="0" r="0" b="0"/>
            <wp:docPr id="18" name="Chart 18">
              <a:extLst xmlns:a="http://schemas.openxmlformats.org/drawingml/2006/main">
                <a:ext uri="{FF2B5EF4-FFF2-40B4-BE49-F238E27FC236}">
                  <a16:creationId xmlns:a16="http://schemas.microsoft.com/office/drawing/2014/main" id="{F512FCB1-107C-4A0B-B440-AC1D00625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3F9FAF" w14:textId="77777777" w:rsidR="008772FC" w:rsidRPr="00232AB5" w:rsidRDefault="00232AB5" w:rsidP="00232AB5">
      <w:pPr>
        <w:rPr>
          <w:rFonts w:ascii="Calibri" w:hAnsi="Calibri" w:cs="Lucida Sans Unicode"/>
          <w:b/>
          <w:bCs/>
          <w:color w:val="1F497D" w:themeColor="text2"/>
          <w:sz w:val="22"/>
        </w:rPr>
      </w:pPr>
      <w:r>
        <w:rPr>
          <w:rFonts w:ascii="Calibri" w:hAnsi="Calibri" w:cs="Lucida Sans Unicode"/>
          <w:b/>
          <w:bCs/>
          <w:color w:val="1F497D" w:themeColor="text2"/>
          <w:sz w:val="22"/>
        </w:rPr>
        <w:t>Population Projections</w:t>
      </w:r>
    </w:p>
    <w:p w14:paraId="12DDC0D6" w14:textId="77777777" w:rsidR="00990278" w:rsidRDefault="00232AB5" w:rsidP="0001506D">
      <w:pPr>
        <w:jc w:val="both"/>
        <w:rPr>
          <w:rFonts w:asciiTheme="minorHAnsi" w:hAnsiTheme="minorHAnsi"/>
          <w:sz w:val="22"/>
          <w:szCs w:val="22"/>
        </w:rPr>
      </w:pPr>
      <w:r>
        <w:rPr>
          <w:rFonts w:asciiTheme="minorHAnsi" w:hAnsiTheme="minorHAnsi"/>
          <w:sz w:val="22"/>
          <w:szCs w:val="22"/>
        </w:rPr>
        <w:t>T</w:t>
      </w:r>
      <w:r w:rsidR="00990278" w:rsidRPr="00990278">
        <w:rPr>
          <w:rFonts w:asciiTheme="minorHAnsi" w:hAnsiTheme="minorHAnsi"/>
          <w:sz w:val="22"/>
          <w:szCs w:val="22"/>
        </w:rPr>
        <w:t xml:space="preserve">here are </w:t>
      </w:r>
      <w:r w:rsidR="00990278">
        <w:rPr>
          <w:rFonts w:asciiTheme="minorHAnsi" w:hAnsiTheme="minorHAnsi"/>
          <w:sz w:val="22"/>
          <w:szCs w:val="22"/>
        </w:rPr>
        <w:t>several different projections of changes in the age distribution including two scenarios from the Metropolitan Area Planning Council (MAPC), figures from the University of Massachusetts Donahue Institute’s State Data Center, and calculations from Needham Public Schools.  These estimates are summarized below.</w:t>
      </w:r>
    </w:p>
    <w:p w14:paraId="603B976D" w14:textId="77777777" w:rsidR="00990278" w:rsidRPr="00990278" w:rsidRDefault="00990278" w:rsidP="0001506D">
      <w:pPr>
        <w:jc w:val="both"/>
        <w:rPr>
          <w:rFonts w:asciiTheme="minorHAnsi" w:hAnsiTheme="minorHAnsi"/>
          <w:sz w:val="22"/>
          <w:szCs w:val="22"/>
        </w:rPr>
      </w:pPr>
    </w:p>
    <w:p w14:paraId="692D0796" w14:textId="77777777" w:rsidR="00CD48ED" w:rsidRPr="00B84542" w:rsidRDefault="00CD48ED" w:rsidP="0001506D">
      <w:pPr>
        <w:jc w:val="both"/>
        <w:rPr>
          <w:rFonts w:asciiTheme="minorHAnsi" w:hAnsiTheme="minorHAnsi"/>
          <w:b/>
          <w:i/>
          <w:color w:val="1F497D" w:themeColor="text2"/>
          <w:sz w:val="22"/>
          <w:szCs w:val="22"/>
        </w:rPr>
      </w:pPr>
      <w:r w:rsidRPr="00B84542">
        <w:rPr>
          <w:rFonts w:asciiTheme="minorHAnsi" w:hAnsiTheme="minorHAnsi"/>
          <w:b/>
          <w:i/>
          <w:color w:val="1F497D" w:themeColor="text2"/>
          <w:sz w:val="22"/>
          <w:szCs w:val="22"/>
        </w:rPr>
        <w:t>MAPC Projections</w:t>
      </w:r>
    </w:p>
    <w:p w14:paraId="7F890145" w14:textId="35FAAB41" w:rsidR="009312E3" w:rsidRDefault="00544641" w:rsidP="00544641">
      <w:pPr>
        <w:pStyle w:val="Footer"/>
        <w:jc w:val="both"/>
        <w:rPr>
          <w:rFonts w:ascii="Calibri" w:hAnsi="Calibri" w:cs="Lucida Sans Unicode"/>
          <w:sz w:val="22"/>
          <w:szCs w:val="22"/>
        </w:rPr>
      </w:pPr>
      <w:r>
        <w:rPr>
          <w:rFonts w:ascii="Calibri" w:hAnsi="Calibri" w:cs="Lucida Sans Unicode"/>
          <w:sz w:val="22"/>
          <w:szCs w:val="22"/>
        </w:rPr>
        <w:t xml:space="preserve">A comparative summary of MAPC’s Status Quo and Stronger Region projections is provided in Table </w:t>
      </w:r>
      <w:r w:rsidR="00A108B0">
        <w:rPr>
          <w:rFonts w:ascii="Calibri" w:hAnsi="Calibri" w:cs="Lucida Sans Unicode"/>
          <w:sz w:val="22"/>
          <w:szCs w:val="22"/>
        </w:rPr>
        <w:t>III-4</w:t>
      </w:r>
      <w:r>
        <w:rPr>
          <w:rFonts w:ascii="Calibri" w:hAnsi="Calibri" w:cs="Lucida Sans Unicode"/>
          <w:sz w:val="22"/>
          <w:szCs w:val="22"/>
        </w:rPr>
        <w:t xml:space="preserve">, also </w:t>
      </w:r>
      <w:r w:rsidRPr="00544641">
        <w:rPr>
          <w:rFonts w:ascii="Calibri" w:hAnsi="Calibri" w:cs="Lucida Sans Unicode"/>
          <w:sz w:val="22"/>
          <w:szCs w:val="22"/>
        </w:rPr>
        <w:t>comparing 2010 census figures.  Total population growth</w:t>
      </w:r>
      <w:r w:rsidR="00BF7258">
        <w:rPr>
          <w:rFonts w:ascii="Calibri" w:hAnsi="Calibri" w:cs="Lucida Sans Unicode"/>
          <w:sz w:val="22"/>
          <w:szCs w:val="22"/>
        </w:rPr>
        <w:t xml:space="preserve"> between 2010 and 2030</w:t>
      </w:r>
      <w:r w:rsidRPr="00544641">
        <w:rPr>
          <w:rFonts w:ascii="Calibri" w:hAnsi="Calibri" w:cs="Lucida Sans Unicode"/>
          <w:sz w:val="22"/>
          <w:szCs w:val="22"/>
        </w:rPr>
        <w:t xml:space="preserve"> under the Status Quo scenario is 2.8% with the Stronger Region growth rate at 6.4%.  </w:t>
      </w:r>
      <w:r w:rsidR="008772FC" w:rsidRPr="00544641">
        <w:rPr>
          <w:rFonts w:ascii="Calibri" w:hAnsi="Calibri" w:cs="Lucida Sans Unicode"/>
          <w:sz w:val="22"/>
          <w:szCs w:val="22"/>
        </w:rPr>
        <w:t>These projections suggest that Needham’s population w</w:t>
      </w:r>
      <w:r w:rsidR="00BF7258">
        <w:rPr>
          <w:rFonts w:ascii="Calibri" w:hAnsi="Calibri" w:cs="Lucida Sans Unicode"/>
          <w:sz w:val="22"/>
          <w:szCs w:val="22"/>
        </w:rPr>
        <w:t>ould</w:t>
      </w:r>
      <w:r w:rsidR="008772FC" w:rsidRPr="00544641">
        <w:rPr>
          <w:rFonts w:ascii="Calibri" w:hAnsi="Calibri" w:cs="Lucida Sans Unicode"/>
          <w:sz w:val="22"/>
          <w:szCs w:val="22"/>
        </w:rPr>
        <w:t xml:space="preserve"> continue to grow slowly to a total population of 30,</w:t>
      </w:r>
      <w:r w:rsidR="00CF13E7" w:rsidRPr="00544641">
        <w:rPr>
          <w:rFonts w:ascii="Calibri" w:hAnsi="Calibri" w:cs="Lucida Sans Unicode"/>
          <w:sz w:val="22"/>
          <w:szCs w:val="22"/>
        </w:rPr>
        <w:t>746</w:t>
      </w:r>
      <w:r w:rsidR="008772FC" w:rsidRPr="00544641">
        <w:rPr>
          <w:rFonts w:ascii="Calibri" w:hAnsi="Calibri" w:cs="Lucida Sans Unicode"/>
          <w:sz w:val="22"/>
          <w:szCs w:val="22"/>
        </w:rPr>
        <w:t xml:space="preserve"> by 203</w:t>
      </w:r>
      <w:r w:rsidR="00CF13E7" w:rsidRPr="00544641">
        <w:rPr>
          <w:rFonts w:ascii="Calibri" w:hAnsi="Calibri" w:cs="Lucida Sans Unicode"/>
          <w:sz w:val="22"/>
          <w:szCs w:val="22"/>
        </w:rPr>
        <w:t>0 based on their Stronger Region scenario</w:t>
      </w:r>
      <w:r w:rsidR="008772FC" w:rsidRPr="00544641">
        <w:rPr>
          <w:rFonts w:ascii="Calibri" w:hAnsi="Calibri" w:cs="Lucida Sans Unicode"/>
          <w:sz w:val="22"/>
          <w:szCs w:val="22"/>
        </w:rPr>
        <w:t xml:space="preserve">, </w:t>
      </w:r>
      <w:r w:rsidR="000A75BC">
        <w:rPr>
          <w:rFonts w:ascii="Calibri" w:hAnsi="Calibri" w:cs="Lucida Sans Unicode"/>
          <w:sz w:val="22"/>
          <w:szCs w:val="22"/>
        </w:rPr>
        <w:t xml:space="preserve">however, </w:t>
      </w:r>
      <w:r w:rsidR="000A75BC" w:rsidRPr="00504BF1">
        <w:rPr>
          <w:rFonts w:ascii="Calibri" w:hAnsi="Calibri" w:cs="Lucida Sans Unicode"/>
          <w:i/>
          <w:iCs/>
          <w:sz w:val="22"/>
          <w:szCs w:val="22"/>
        </w:rPr>
        <w:t xml:space="preserve">even the Stronger Region scenario underestimates actual growth </w:t>
      </w:r>
      <w:r w:rsidR="00BF7258">
        <w:rPr>
          <w:rFonts w:ascii="Calibri" w:hAnsi="Calibri" w:cs="Lucida Sans Unicode"/>
          <w:i/>
          <w:iCs/>
          <w:sz w:val="22"/>
          <w:szCs w:val="22"/>
        </w:rPr>
        <w:t>of</w:t>
      </w:r>
      <w:r w:rsidR="000A75BC" w:rsidRPr="00504BF1">
        <w:rPr>
          <w:rFonts w:ascii="Calibri" w:hAnsi="Calibri" w:cs="Lucida Sans Unicode"/>
          <w:i/>
          <w:iCs/>
          <w:sz w:val="22"/>
          <w:szCs w:val="22"/>
        </w:rPr>
        <w:t xml:space="preserve"> 32,091 residents</w:t>
      </w:r>
      <w:r w:rsidR="00BF7258">
        <w:rPr>
          <w:rFonts w:ascii="Calibri" w:hAnsi="Calibri" w:cs="Lucida Sans Unicode"/>
          <w:i/>
          <w:iCs/>
          <w:sz w:val="22"/>
          <w:szCs w:val="22"/>
        </w:rPr>
        <w:t xml:space="preserve"> </w:t>
      </w:r>
      <w:r w:rsidR="000A75BC" w:rsidRPr="00504BF1">
        <w:rPr>
          <w:rFonts w:ascii="Calibri" w:hAnsi="Calibri" w:cs="Lucida Sans Unicode"/>
          <w:i/>
          <w:iCs/>
          <w:sz w:val="22"/>
          <w:szCs w:val="22"/>
        </w:rPr>
        <w:t>according to the 2020 U.S. census</w:t>
      </w:r>
      <w:r w:rsidR="009875A9">
        <w:rPr>
          <w:rFonts w:ascii="Calibri" w:hAnsi="Calibri" w:cs="Lucida Sans Unicode"/>
          <w:i/>
          <w:iCs/>
          <w:sz w:val="22"/>
          <w:szCs w:val="22"/>
        </w:rPr>
        <w:t xml:space="preserve"> decennial count</w:t>
      </w:r>
      <w:r w:rsidR="008772FC" w:rsidRPr="00544641">
        <w:rPr>
          <w:rFonts w:ascii="Calibri" w:hAnsi="Calibri" w:cs="Lucida Sans Unicode"/>
          <w:sz w:val="22"/>
          <w:szCs w:val="22"/>
        </w:rPr>
        <w:t xml:space="preserve">.  </w:t>
      </w:r>
    </w:p>
    <w:p w14:paraId="4602B6F7" w14:textId="77777777" w:rsidR="009312E3" w:rsidRDefault="009312E3" w:rsidP="00544641">
      <w:pPr>
        <w:pStyle w:val="Footer"/>
        <w:jc w:val="both"/>
        <w:rPr>
          <w:rFonts w:ascii="Calibri" w:hAnsi="Calibri" w:cs="Lucida Sans Unicode"/>
          <w:sz w:val="22"/>
          <w:szCs w:val="22"/>
        </w:rPr>
      </w:pPr>
    </w:p>
    <w:p w14:paraId="71320828" w14:textId="08CD04C7" w:rsidR="003533DF" w:rsidRDefault="00504BF1" w:rsidP="00544641">
      <w:pPr>
        <w:pStyle w:val="Footer"/>
        <w:jc w:val="both"/>
        <w:rPr>
          <w:rFonts w:ascii="Calibri" w:hAnsi="Calibri" w:cs="Lucida Sans Unicode"/>
          <w:sz w:val="22"/>
          <w:szCs w:val="22"/>
        </w:rPr>
      </w:pPr>
      <w:r>
        <w:rPr>
          <w:rFonts w:ascii="Calibri" w:hAnsi="Calibri" w:cs="Lucida Sans Unicode"/>
          <w:sz w:val="22"/>
          <w:szCs w:val="22"/>
        </w:rPr>
        <w:t>Nevertheless, a</w:t>
      </w:r>
      <w:r w:rsidR="009312E3">
        <w:rPr>
          <w:rFonts w:ascii="Calibri" w:hAnsi="Calibri" w:cs="Lucida Sans Unicode"/>
          <w:sz w:val="22"/>
          <w:szCs w:val="22"/>
        </w:rPr>
        <w:t>s explained above, it is likely that the Stronger Region scenario will more reliably reflect future growth patterns</w:t>
      </w:r>
      <w:r w:rsidR="00BF7258">
        <w:rPr>
          <w:rFonts w:ascii="Calibri" w:hAnsi="Calibri" w:cs="Lucida Sans Unicode"/>
          <w:sz w:val="22"/>
          <w:szCs w:val="22"/>
        </w:rPr>
        <w:t xml:space="preserve"> that the Status Quo projections</w:t>
      </w:r>
      <w:r w:rsidR="009312E3">
        <w:rPr>
          <w:rFonts w:ascii="Calibri" w:hAnsi="Calibri" w:cs="Lucida Sans Unicode"/>
          <w:sz w:val="22"/>
          <w:szCs w:val="22"/>
        </w:rPr>
        <w:t xml:space="preserve">.  </w:t>
      </w:r>
      <w:r w:rsidR="00BF7258">
        <w:rPr>
          <w:rFonts w:ascii="Calibri" w:hAnsi="Calibri" w:cs="Lucida Sans Unicode"/>
          <w:sz w:val="22"/>
          <w:szCs w:val="22"/>
        </w:rPr>
        <w:t>B</w:t>
      </w:r>
      <w:r w:rsidR="009312E3">
        <w:rPr>
          <w:rFonts w:ascii="Calibri" w:hAnsi="Calibri" w:cs="Lucida Sans Unicode"/>
          <w:sz w:val="22"/>
          <w:szCs w:val="22"/>
        </w:rPr>
        <w:t>oth scenario</w:t>
      </w:r>
      <w:r w:rsidR="008772FC" w:rsidRPr="00544641">
        <w:rPr>
          <w:rFonts w:ascii="Calibri" w:hAnsi="Calibri" w:cs="Lucida Sans Unicode"/>
          <w:sz w:val="22"/>
          <w:szCs w:val="22"/>
        </w:rPr>
        <w:t>s</w:t>
      </w:r>
      <w:r w:rsidR="00BF7258">
        <w:rPr>
          <w:rFonts w:ascii="Calibri" w:hAnsi="Calibri" w:cs="Lucida Sans Unicode"/>
          <w:sz w:val="22"/>
          <w:szCs w:val="22"/>
        </w:rPr>
        <w:t>, however,</w:t>
      </w:r>
      <w:r w:rsidR="008772FC" w:rsidRPr="00544641">
        <w:rPr>
          <w:rFonts w:ascii="Calibri" w:hAnsi="Calibri" w:cs="Lucida Sans Unicode"/>
          <w:sz w:val="22"/>
          <w:szCs w:val="22"/>
        </w:rPr>
        <w:t xml:space="preserve"> indicate a</w:t>
      </w:r>
      <w:r w:rsidR="00EB4684">
        <w:rPr>
          <w:rFonts w:ascii="Calibri" w:hAnsi="Calibri" w:cs="Lucida Sans Unicode"/>
          <w:sz w:val="22"/>
          <w:szCs w:val="22"/>
        </w:rPr>
        <w:t>n</w:t>
      </w:r>
      <w:r w:rsidR="008772FC" w:rsidRPr="00544641">
        <w:rPr>
          <w:rFonts w:ascii="Calibri" w:hAnsi="Calibri" w:cs="Lucida Sans Unicode"/>
          <w:sz w:val="22"/>
          <w:szCs w:val="22"/>
        </w:rPr>
        <w:t xml:space="preserve"> increase in those 65 years of age or older</w:t>
      </w:r>
      <w:r w:rsidR="00C708AC">
        <w:rPr>
          <w:rFonts w:ascii="Calibri" w:hAnsi="Calibri" w:cs="Lucida Sans Unicode"/>
          <w:sz w:val="22"/>
          <w:szCs w:val="22"/>
        </w:rPr>
        <w:t>,</w:t>
      </w:r>
      <w:r w:rsidR="008772FC" w:rsidRPr="00544641">
        <w:rPr>
          <w:rFonts w:ascii="Calibri" w:hAnsi="Calibri" w:cs="Lucida Sans Unicode"/>
          <w:sz w:val="22"/>
          <w:szCs w:val="22"/>
        </w:rPr>
        <w:t xml:space="preserve"> </w:t>
      </w:r>
      <w:r w:rsidR="00AF5906">
        <w:rPr>
          <w:rFonts w:ascii="Calibri" w:hAnsi="Calibri" w:cs="Lucida Sans Unicode"/>
          <w:sz w:val="22"/>
          <w:szCs w:val="22"/>
        </w:rPr>
        <w:t xml:space="preserve">from about 16% </w:t>
      </w:r>
      <w:r w:rsidR="008772FC" w:rsidRPr="00544641">
        <w:rPr>
          <w:rFonts w:ascii="Calibri" w:hAnsi="Calibri" w:cs="Lucida Sans Unicode"/>
          <w:sz w:val="22"/>
          <w:szCs w:val="22"/>
        </w:rPr>
        <w:t xml:space="preserve">to </w:t>
      </w:r>
      <w:r w:rsidR="009312E3">
        <w:rPr>
          <w:rFonts w:ascii="Calibri" w:hAnsi="Calibri" w:cs="Lucida Sans Unicode"/>
          <w:sz w:val="22"/>
          <w:szCs w:val="22"/>
        </w:rPr>
        <w:t>24</w:t>
      </w:r>
      <w:r w:rsidR="008772FC" w:rsidRPr="00544641">
        <w:rPr>
          <w:rFonts w:ascii="Calibri" w:hAnsi="Calibri" w:cs="Lucida Sans Unicode"/>
          <w:sz w:val="22"/>
          <w:szCs w:val="22"/>
        </w:rPr>
        <w:t>% of the population</w:t>
      </w:r>
      <w:r w:rsidR="00BF7258">
        <w:rPr>
          <w:rFonts w:ascii="Calibri" w:hAnsi="Calibri" w:cs="Lucida Sans Unicode"/>
          <w:sz w:val="22"/>
          <w:szCs w:val="22"/>
        </w:rPr>
        <w:t xml:space="preserve"> between 2010 and 2030</w:t>
      </w:r>
      <w:r w:rsidR="00C708AC">
        <w:rPr>
          <w:rFonts w:ascii="Calibri" w:hAnsi="Calibri" w:cs="Lucida Sans Unicode"/>
          <w:sz w:val="22"/>
          <w:szCs w:val="22"/>
        </w:rPr>
        <w:t>,</w:t>
      </w:r>
      <w:r w:rsidR="008772FC" w:rsidRPr="00544641">
        <w:rPr>
          <w:rFonts w:ascii="Calibri" w:hAnsi="Calibri" w:cs="Lucida Sans Unicode"/>
          <w:sz w:val="22"/>
          <w:szCs w:val="22"/>
        </w:rPr>
        <w:t xml:space="preserve"> </w:t>
      </w:r>
      <w:r w:rsidR="00BF7258">
        <w:rPr>
          <w:rFonts w:ascii="Calibri" w:hAnsi="Calibri" w:cs="Lucida Sans Unicode"/>
          <w:sz w:val="22"/>
          <w:szCs w:val="22"/>
        </w:rPr>
        <w:t xml:space="preserve">with </w:t>
      </w:r>
      <w:r w:rsidR="008772FC" w:rsidRPr="00544641">
        <w:rPr>
          <w:rFonts w:ascii="Calibri" w:hAnsi="Calibri" w:cs="Lucida Sans Unicode"/>
          <w:sz w:val="22"/>
          <w:szCs w:val="22"/>
        </w:rPr>
        <w:t xml:space="preserve">some fall-off of </w:t>
      </w:r>
      <w:r w:rsidR="00CF13E7" w:rsidRPr="00544641">
        <w:rPr>
          <w:rFonts w:ascii="Calibri" w:hAnsi="Calibri" w:cs="Lucida Sans Unicode"/>
          <w:sz w:val="22"/>
          <w:szCs w:val="22"/>
        </w:rPr>
        <w:t>those under age 20</w:t>
      </w:r>
      <w:r w:rsidR="00C708AC">
        <w:rPr>
          <w:rFonts w:ascii="Calibri" w:hAnsi="Calibri" w:cs="Lucida Sans Unicode"/>
          <w:sz w:val="22"/>
          <w:szCs w:val="22"/>
        </w:rPr>
        <w:t>,</w:t>
      </w:r>
      <w:r w:rsidR="00CF13E7" w:rsidRPr="00544641">
        <w:rPr>
          <w:rFonts w:ascii="Calibri" w:hAnsi="Calibri" w:cs="Lucida Sans Unicode"/>
          <w:sz w:val="22"/>
          <w:szCs w:val="22"/>
        </w:rPr>
        <w:t xml:space="preserve"> from 30.1% in 2010 to </w:t>
      </w:r>
      <w:r w:rsidR="00AF5906">
        <w:rPr>
          <w:rFonts w:ascii="Calibri" w:hAnsi="Calibri" w:cs="Lucida Sans Unicode"/>
          <w:sz w:val="22"/>
          <w:szCs w:val="22"/>
        </w:rPr>
        <w:t>about 25</w:t>
      </w:r>
      <w:r w:rsidR="00CF13E7" w:rsidRPr="00544641">
        <w:rPr>
          <w:rFonts w:ascii="Calibri" w:hAnsi="Calibri" w:cs="Lucida Sans Unicode"/>
          <w:sz w:val="22"/>
          <w:szCs w:val="22"/>
        </w:rPr>
        <w:t xml:space="preserve">% by 2030. </w:t>
      </w:r>
      <w:r w:rsidR="008772FC" w:rsidRPr="00544641">
        <w:rPr>
          <w:rFonts w:ascii="Calibri" w:hAnsi="Calibri" w:cs="Lucida Sans Unicode"/>
          <w:sz w:val="22"/>
          <w:szCs w:val="22"/>
        </w:rPr>
        <w:t xml:space="preserve"> There were also </w:t>
      </w:r>
      <w:r w:rsidR="00CF13E7" w:rsidRPr="00544641">
        <w:rPr>
          <w:rFonts w:ascii="Calibri" w:hAnsi="Calibri" w:cs="Lucida Sans Unicode"/>
          <w:sz w:val="22"/>
          <w:szCs w:val="22"/>
        </w:rPr>
        <w:t>some gains in younger adults age 20 to 34 and modest</w:t>
      </w:r>
      <w:r w:rsidR="008772FC" w:rsidRPr="00544641">
        <w:rPr>
          <w:rFonts w:ascii="Calibri" w:hAnsi="Calibri" w:cs="Lucida Sans Unicode"/>
          <w:sz w:val="22"/>
          <w:szCs w:val="22"/>
        </w:rPr>
        <w:t xml:space="preserve"> projected decreases in </w:t>
      </w:r>
      <w:r w:rsidR="00CF13E7" w:rsidRPr="00544641">
        <w:rPr>
          <w:rFonts w:ascii="Calibri" w:hAnsi="Calibri" w:cs="Lucida Sans Unicode"/>
          <w:sz w:val="22"/>
          <w:szCs w:val="22"/>
        </w:rPr>
        <w:t>those 35 to 64</w:t>
      </w:r>
      <w:r w:rsidR="00AF5906">
        <w:rPr>
          <w:rFonts w:ascii="Calibri" w:hAnsi="Calibri" w:cs="Lucida Sans Unicode"/>
          <w:sz w:val="22"/>
          <w:szCs w:val="22"/>
        </w:rPr>
        <w:t xml:space="preserve"> years of age</w:t>
      </w:r>
      <w:r w:rsidR="008772FC" w:rsidRPr="00544641">
        <w:rPr>
          <w:rFonts w:ascii="Calibri" w:hAnsi="Calibri" w:cs="Lucida Sans Unicode"/>
          <w:sz w:val="22"/>
          <w:szCs w:val="22"/>
        </w:rPr>
        <w:t xml:space="preserve">. </w:t>
      </w:r>
    </w:p>
    <w:p w14:paraId="76519BEE" w14:textId="1E83D80F" w:rsidR="008772FC" w:rsidRPr="00544641" w:rsidRDefault="008772FC" w:rsidP="00544641">
      <w:pPr>
        <w:pStyle w:val="Footer"/>
        <w:jc w:val="both"/>
        <w:rPr>
          <w:rFonts w:ascii="Calibri" w:hAnsi="Calibri" w:cs="Lucida Sans Unicode"/>
          <w:sz w:val="22"/>
          <w:szCs w:val="22"/>
        </w:rPr>
      </w:pPr>
    </w:p>
    <w:p w14:paraId="33D7E210" w14:textId="6AA883C9" w:rsidR="00544641" w:rsidRPr="003A2B96" w:rsidRDefault="00544641" w:rsidP="00544641">
      <w:pPr>
        <w:jc w:val="center"/>
        <w:rPr>
          <w:rFonts w:ascii="Calibri" w:hAnsi="Calibri" w:cs="Lucida Sans Unicode"/>
          <w:b/>
          <w:sz w:val="22"/>
          <w:szCs w:val="22"/>
        </w:rPr>
      </w:pPr>
      <w:r w:rsidRPr="003A2B96">
        <w:rPr>
          <w:rFonts w:ascii="Calibri" w:hAnsi="Calibri" w:cs="Lucida Sans Unicode"/>
          <w:b/>
          <w:sz w:val="22"/>
          <w:szCs w:val="22"/>
        </w:rPr>
        <w:t xml:space="preserve">Table </w:t>
      </w:r>
      <w:r w:rsidR="0086490C">
        <w:rPr>
          <w:rFonts w:ascii="Calibri" w:hAnsi="Calibri" w:cs="Lucida Sans Unicode"/>
          <w:b/>
          <w:sz w:val="22"/>
          <w:szCs w:val="22"/>
        </w:rPr>
        <w:t>III-4</w:t>
      </w:r>
      <w:r>
        <w:rPr>
          <w:rFonts w:ascii="Calibri" w:hAnsi="Calibri" w:cs="Lucida Sans Unicode"/>
          <w:b/>
          <w:sz w:val="22"/>
          <w:szCs w:val="22"/>
        </w:rPr>
        <w:t>:</w:t>
      </w:r>
      <w:r w:rsidRPr="003A2B96">
        <w:rPr>
          <w:rFonts w:ascii="Calibri" w:hAnsi="Calibri" w:cs="Lucida Sans Unicode"/>
          <w:b/>
          <w:sz w:val="22"/>
          <w:szCs w:val="22"/>
        </w:rPr>
        <w:t xml:space="preserve"> MAPC Population Projections for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080"/>
        <w:gridCol w:w="1134"/>
        <w:gridCol w:w="1110"/>
        <w:gridCol w:w="1104"/>
        <w:gridCol w:w="1140"/>
        <w:gridCol w:w="1074"/>
      </w:tblGrid>
      <w:tr w:rsidR="00544641" w:rsidRPr="003A2B96" w14:paraId="7826B998" w14:textId="77777777" w:rsidTr="00990278">
        <w:trPr>
          <w:jc w:val="center"/>
        </w:trPr>
        <w:tc>
          <w:tcPr>
            <w:tcW w:w="2214" w:type="dxa"/>
            <w:vMerge w:val="restart"/>
            <w:shd w:val="clear" w:color="auto" w:fill="auto"/>
          </w:tcPr>
          <w:p w14:paraId="7C08492A" w14:textId="77777777" w:rsidR="00544641" w:rsidRPr="003A2B96" w:rsidRDefault="00544641" w:rsidP="00990278">
            <w:pPr>
              <w:rPr>
                <w:rFonts w:ascii="Calibri" w:hAnsi="Calibri" w:cs="Lucida Sans Unicode"/>
                <w:b/>
              </w:rPr>
            </w:pPr>
            <w:r w:rsidRPr="003A2B96">
              <w:rPr>
                <w:rFonts w:ascii="Calibri" w:hAnsi="Calibri" w:cs="Lucida Sans Unicode"/>
                <w:b/>
                <w:sz w:val="22"/>
                <w:szCs w:val="22"/>
              </w:rPr>
              <w:t>Age Range</w:t>
            </w:r>
          </w:p>
        </w:tc>
        <w:tc>
          <w:tcPr>
            <w:tcW w:w="2214" w:type="dxa"/>
            <w:gridSpan w:val="2"/>
            <w:shd w:val="clear" w:color="auto" w:fill="auto"/>
          </w:tcPr>
          <w:p w14:paraId="64EBC9CA" w14:textId="77777777" w:rsidR="00544641" w:rsidRPr="003A2B96" w:rsidRDefault="00544641" w:rsidP="00990278">
            <w:pPr>
              <w:jc w:val="center"/>
              <w:rPr>
                <w:rFonts w:ascii="Calibri" w:hAnsi="Calibri" w:cs="Lucida Sans Unicode"/>
                <w:b/>
              </w:rPr>
            </w:pPr>
            <w:r w:rsidRPr="003A2B96">
              <w:rPr>
                <w:rFonts w:ascii="Calibri" w:hAnsi="Calibri" w:cs="Lucida Sans Unicode"/>
                <w:b/>
                <w:sz w:val="22"/>
                <w:szCs w:val="22"/>
              </w:rPr>
              <w:t>2010 Census</w:t>
            </w:r>
          </w:p>
        </w:tc>
        <w:tc>
          <w:tcPr>
            <w:tcW w:w="2214" w:type="dxa"/>
            <w:gridSpan w:val="2"/>
            <w:shd w:val="clear" w:color="auto" w:fill="auto"/>
          </w:tcPr>
          <w:p w14:paraId="44A93C33" w14:textId="77777777" w:rsidR="00544641" w:rsidRDefault="00544641" w:rsidP="00990278">
            <w:pPr>
              <w:jc w:val="center"/>
              <w:rPr>
                <w:rFonts w:ascii="Calibri" w:hAnsi="Calibri" w:cs="Lucida Sans Unicode"/>
                <w:b/>
              </w:rPr>
            </w:pPr>
            <w:r>
              <w:rPr>
                <w:rFonts w:ascii="Calibri" w:hAnsi="Calibri" w:cs="Lucida Sans Unicode"/>
                <w:b/>
                <w:sz w:val="22"/>
                <w:szCs w:val="22"/>
              </w:rPr>
              <w:t>2030 Status Quo</w:t>
            </w:r>
          </w:p>
          <w:p w14:paraId="2B7746FF" w14:textId="77777777" w:rsidR="00544641" w:rsidRPr="003A2B96" w:rsidRDefault="00544641" w:rsidP="00990278">
            <w:pPr>
              <w:jc w:val="center"/>
              <w:rPr>
                <w:rFonts w:ascii="Calibri" w:hAnsi="Calibri" w:cs="Lucida Sans Unicode"/>
                <w:b/>
              </w:rPr>
            </w:pPr>
            <w:r>
              <w:rPr>
                <w:rFonts w:ascii="Calibri" w:hAnsi="Calibri" w:cs="Lucida Sans Unicode"/>
                <w:b/>
                <w:sz w:val="22"/>
                <w:szCs w:val="22"/>
              </w:rPr>
              <w:t>Projections</w:t>
            </w:r>
          </w:p>
        </w:tc>
        <w:tc>
          <w:tcPr>
            <w:tcW w:w="2214" w:type="dxa"/>
            <w:gridSpan w:val="2"/>
            <w:shd w:val="clear" w:color="auto" w:fill="auto"/>
          </w:tcPr>
          <w:p w14:paraId="19EB6FA5" w14:textId="77777777" w:rsidR="00544641" w:rsidRPr="003A2B96" w:rsidRDefault="00544641" w:rsidP="00990278">
            <w:pPr>
              <w:jc w:val="center"/>
              <w:rPr>
                <w:rFonts w:ascii="Calibri" w:hAnsi="Calibri" w:cs="Lucida Sans Unicode"/>
                <w:b/>
              </w:rPr>
            </w:pPr>
            <w:r w:rsidRPr="003A2B96">
              <w:rPr>
                <w:rFonts w:ascii="Calibri" w:hAnsi="Calibri" w:cs="Lucida Sans Unicode"/>
                <w:b/>
                <w:sz w:val="22"/>
                <w:szCs w:val="22"/>
              </w:rPr>
              <w:t xml:space="preserve">2030 </w:t>
            </w:r>
            <w:r>
              <w:rPr>
                <w:rFonts w:ascii="Calibri" w:hAnsi="Calibri" w:cs="Lucida Sans Unicode"/>
                <w:b/>
                <w:sz w:val="22"/>
                <w:szCs w:val="22"/>
              </w:rPr>
              <w:t xml:space="preserve">Stronger Region </w:t>
            </w:r>
            <w:r w:rsidRPr="003A2B96">
              <w:rPr>
                <w:rFonts w:ascii="Calibri" w:hAnsi="Calibri" w:cs="Lucida Sans Unicode"/>
                <w:b/>
                <w:sz w:val="22"/>
                <w:szCs w:val="22"/>
              </w:rPr>
              <w:t>Projections</w:t>
            </w:r>
          </w:p>
        </w:tc>
      </w:tr>
      <w:tr w:rsidR="00544641" w:rsidRPr="003A2B96" w14:paraId="5326D7BA" w14:textId="77777777" w:rsidTr="00990278">
        <w:trPr>
          <w:jc w:val="center"/>
        </w:trPr>
        <w:tc>
          <w:tcPr>
            <w:tcW w:w="2214" w:type="dxa"/>
            <w:vMerge/>
            <w:shd w:val="clear" w:color="auto" w:fill="auto"/>
          </w:tcPr>
          <w:p w14:paraId="00AB0651" w14:textId="77777777" w:rsidR="00544641" w:rsidRPr="003A2B96" w:rsidRDefault="00544641" w:rsidP="00990278">
            <w:pPr>
              <w:rPr>
                <w:rFonts w:ascii="Calibri" w:hAnsi="Calibri" w:cs="Lucida Sans Unicode"/>
              </w:rPr>
            </w:pPr>
          </w:p>
        </w:tc>
        <w:tc>
          <w:tcPr>
            <w:tcW w:w="1080" w:type="dxa"/>
            <w:shd w:val="clear" w:color="auto" w:fill="auto"/>
          </w:tcPr>
          <w:p w14:paraId="3C1DFBE9"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c>
          <w:tcPr>
            <w:tcW w:w="1134" w:type="dxa"/>
            <w:shd w:val="clear" w:color="auto" w:fill="auto"/>
          </w:tcPr>
          <w:p w14:paraId="6555F31C"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c>
          <w:tcPr>
            <w:tcW w:w="1110" w:type="dxa"/>
            <w:shd w:val="clear" w:color="auto" w:fill="auto"/>
          </w:tcPr>
          <w:p w14:paraId="2D5C59D5"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c>
          <w:tcPr>
            <w:tcW w:w="1104" w:type="dxa"/>
            <w:shd w:val="clear" w:color="auto" w:fill="auto"/>
          </w:tcPr>
          <w:p w14:paraId="4AEEFFFE"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c>
          <w:tcPr>
            <w:tcW w:w="1140" w:type="dxa"/>
            <w:shd w:val="clear" w:color="auto" w:fill="auto"/>
          </w:tcPr>
          <w:p w14:paraId="4DDF9547"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c>
          <w:tcPr>
            <w:tcW w:w="1074" w:type="dxa"/>
            <w:shd w:val="clear" w:color="auto" w:fill="auto"/>
          </w:tcPr>
          <w:p w14:paraId="156EB51D" w14:textId="77777777" w:rsidR="00544641" w:rsidRPr="00A52E6C" w:rsidRDefault="00544641" w:rsidP="00990278">
            <w:pPr>
              <w:rPr>
                <w:rFonts w:ascii="Calibri" w:hAnsi="Calibri" w:cs="Lucida Sans Unicode"/>
                <w:b/>
              </w:rPr>
            </w:pPr>
            <w:r w:rsidRPr="00A52E6C">
              <w:rPr>
                <w:rFonts w:ascii="Calibri" w:hAnsi="Calibri" w:cs="Lucida Sans Unicode"/>
                <w:b/>
                <w:sz w:val="22"/>
                <w:szCs w:val="22"/>
              </w:rPr>
              <w:t>%</w:t>
            </w:r>
          </w:p>
        </w:tc>
      </w:tr>
      <w:tr w:rsidR="00544641" w:rsidRPr="003A2B96" w14:paraId="355B987A" w14:textId="77777777" w:rsidTr="00990278">
        <w:trPr>
          <w:jc w:val="center"/>
        </w:trPr>
        <w:tc>
          <w:tcPr>
            <w:tcW w:w="2214" w:type="dxa"/>
            <w:shd w:val="clear" w:color="auto" w:fill="auto"/>
          </w:tcPr>
          <w:p w14:paraId="142ECB45"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Under</w:t>
            </w:r>
            <w:r w:rsidRPr="003A2B96">
              <w:rPr>
                <w:rFonts w:ascii="Calibri" w:hAnsi="Calibri" w:cs="Lucida Sans Unicode"/>
                <w:sz w:val="20"/>
                <w:szCs w:val="20"/>
              </w:rPr>
              <w:t xml:space="preserve"> 5 </w:t>
            </w:r>
            <w:r>
              <w:rPr>
                <w:rFonts w:ascii="Calibri" w:hAnsi="Calibri" w:cs="Lucida Sans Unicode"/>
                <w:sz w:val="20"/>
                <w:szCs w:val="20"/>
              </w:rPr>
              <w:t>Y</w:t>
            </w:r>
            <w:r w:rsidRPr="003A2B96">
              <w:rPr>
                <w:rFonts w:ascii="Calibri" w:hAnsi="Calibri" w:cs="Lucida Sans Unicode"/>
                <w:sz w:val="20"/>
                <w:szCs w:val="20"/>
              </w:rPr>
              <w:t>ears</w:t>
            </w:r>
          </w:p>
        </w:tc>
        <w:tc>
          <w:tcPr>
            <w:tcW w:w="1080" w:type="dxa"/>
            <w:shd w:val="clear" w:color="auto" w:fill="auto"/>
          </w:tcPr>
          <w:p w14:paraId="6238E198"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1,869</w:t>
            </w:r>
          </w:p>
        </w:tc>
        <w:tc>
          <w:tcPr>
            <w:tcW w:w="1134" w:type="dxa"/>
            <w:shd w:val="clear" w:color="auto" w:fill="auto"/>
          </w:tcPr>
          <w:p w14:paraId="3B3361A8"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6.5</w:t>
            </w:r>
          </w:p>
        </w:tc>
        <w:tc>
          <w:tcPr>
            <w:tcW w:w="1110" w:type="dxa"/>
            <w:shd w:val="clear" w:color="auto" w:fill="auto"/>
          </w:tcPr>
          <w:p w14:paraId="3D3630EA"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1,572</w:t>
            </w:r>
          </w:p>
        </w:tc>
        <w:tc>
          <w:tcPr>
            <w:tcW w:w="1104" w:type="dxa"/>
            <w:shd w:val="clear" w:color="auto" w:fill="auto"/>
          </w:tcPr>
          <w:p w14:paraId="62FF5467"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5.3</w:t>
            </w:r>
          </w:p>
        </w:tc>
        <w:tc>
          <w:tcPr>
            <w:tcW w:w="1140" w:type="dxa"/>
            <w:shd w:val="clear" w:color="auto" w:fill="auto"/>
          </w:tcPr>
          <w:p w14:paraId="7855D39F"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1,650</w:t>
            </w:r>
          </w:p>
        </w:tc>
        <w:tc>
          <w:tcPr>
            <w:tcW w:w="1074" w:type="dxa"/>
            <w:shd w:val="clear" w:color="auto" w:fill="auto"/>
          </w:tcPr>
          <w:p w14:paraId="0FA483A9"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5.4</w:t>
            </w:r>
          </w:p>
        </w:tc>
      </w:tr>
      <w:tr w:rsidR="00544641" w:rsidRPr="003A2B96" w14:paraId="5343943A" w14:textId="77777777" w:rsidTr="00990278">
        <w:trPr>
          <w:jc w:val="center"/>
        </w:trPr>
        <w:tc>
          <w:tcPr>
            <w:tcW w:w="2214" w:type="dxa"/>
            <w:shd w:val="clear" w:color="auto" w:fill="auto"/>
          </w:tcPr>
          <w:p w14:paraId="15F54EFF" w14:textId="77777777" w:rsidR="00544641" w:rsidRPr="003A2B96" w:rsidRDefault="00544641" w:rsidP="00990278">
            <w:pPr>
              <w:rPr>
                <w:rFonts w:ascii="Calibri" w:hAnsi="Calibri" w:cs="Lucida Sans Unicode"/>
                <w:sz w:val="20"/>
                <w:szCs w:val="20"/>
              </w:rPr>
            </w:pPr>
            <w:r w:rsidRPr="003A2B96">
              <w:rPr>
                <w:rFonts w:ascii="Calibri" w:hAnsi="Calibri" w:cs="Lucida Sans Unicode"/>
                <w:sz w:val="20"/>
                <w:szCs w:val="20"/>
              </w:rPr>
              <w:t xml:space="preserve">5 to 19 </w:t>
            </w:r>
            <w:r>
              <w:rPr>
                <w:rFonts w:ascii="Calibri" w:hAnsi="Calibri" w:cs="Lucida Sans Unicode"/>
                <w:sz w:val="20"/>
                <w:szCs w:val="20"/>
              </w:rPr>
              <w:t>Y</w:t>
            </w:r>
            <w:r w:rsidRPr="003A2B96">
              <w:rPr>
                <w:rFonts w:ascii="Calibri" w:hAnsi="Calibri" w:cs="Lucida Sans Unicode"/>
                <w:sz w:val="20"/>
                <w:szCs w:val="20"/>
              </w:rPr>
              <w:t>ears</w:t>
            </w:r>
          </w:p>
        </w:tc>
        <w:tc>
          <w:tcPr>
            <w:tcW w:w="1080" w:type="dxa"/>
            <w:shd w:val="clear" w:color="auto" w:fill="auto"/>
          </w:tcPr>
          <w:p w14:paraId="7EE45BD5"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6,814</w:t>
            </w:r>
          </w:p>
        </w:tc>
        <w:tc>
          <w:tcPr>
            <w:tcW w:w="1134" w:type="dxa"/>
            <w:shd w:val="clear" w:color="auto" w:fill="auto"/>
          </w:tcPr>
          <w:p w14:paraId="19A3FA5C"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23.6</w:t>
            </w:r>
          </w:p>
        </w:tc>
        <w:tc>
          <w:tcPr>
            <w:tcW w:w="1110" w:type="dxa"/>
            <w:shd w:val="clear" w:color="auto" w:fill="auto"/>
          </w:tcPr>
          <w:p w14:paraId="42C85830"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5,763</w:t>
            </w:r>
          </w:p>
        </w:tc>
        <w:tc>
          <w:tcPr>
            <w:tcW w:w="1104" w:type="dxa"/>
            <w:shd w:val="clear" w:color="auto" w:fill="auto"/>
          </w:tcPr>
          <w:p w14:paraId="1AEC0F31"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19.4</w:t>
            </w:r>
          </w:p>
        </w:tc>
        <w:tc>
          <w:tcPr>
            <w:tcW w:w="1140" w:type="dxa"/>
            <w:shd w:val="clear" w:color="auto" w:fill="auto"/>
          </w:tcPr>
          <w:p w14:paraId="6D0F97E6"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5,935</w:t>
            </w:r>
          </w:p>
        </w:tc>
        <w:tc>
          <w:tcPr>
            <w:tcW w:w="1074" w:type="dxa"/>
            <w:shd w:val="clear" w:color="auto" w:fill="auto"/>
          </w:tcPr>
          <w:p w14:paraId="0A434F3D"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19.3</w:t>
            </w:r>
          </w:p>
        </w:tc>
      </w:tr>
      <w:tr w:rsidR="00544641" w:rsidRPr="003A2B96" w14:paraId="669C630E" w14:textId="77777777" w:rsidTr="00990278">
        <w:trPr>
          <w:jc w:val="center"/>
        </w:trPr>
        <w:tc>
          <w:tcPr>
            <w:tcW w:w="2214" w:type="dxa"/>
            <w:shd w:val="clear" w:color="auto" w:fill="auto"/>
          </w:tcPr>
          <w:p w14:paraId="629A5055" w14:textId="77777777" w:rsidR="00544641" w:rsidRPr="003A2B96" w:rsidRDefault="00544641" w:rsidP="00990278">
            <w:pPr>
              <w:rPr>
                <w:rFonts w:ascii="Calibri" w:hAnsi="Calibri" w:cs="Lucida Sans Unicode"/>
                <w:sz w:val="20"/>
                <w:szCs w:val="20"/>
              </w:rPr>
            </w:pPr>
            <w:r w:rsidRPr="003A2B96">
              <w:rPr>
                <w:rFonts w:ascii="Calibri" w:hAnsi="Calibri" w:cs="Lucida Sans Unicode"/>
                <w:sz w:val="20"/>
                <w:szCs w:val="20"/>
              </w:rPr>
              <w:t xml:space="preserve">20 to 34 </w:t>
            </w:r>
            <w:r>
              <w:rPr>
                <w:rFonts w:ascii="Calibri" w:hAnsi="Calibri" w:cs="Lucida Sans Unicode"/>
                <w:sz w:val="20"/>
                <w:szCs w:val="20"/>
              </w:rPr>
              <w:t>Y</w:t>
            </w:r>
            <w:r w:rsidRPr="003A2B96">
              <w:rPr>
                <w:rFonts w:ascii="Calibri" w:hAnsi="Calibri" w:cs="Lucida Sans Unicode"/>
                <w:sz w:val="20"/>
                <w:szCs w:val="20"/>
              </w:rPr>
              <w:t>ears</w:t>
            </w:r>
          </w:p>
        </w:tc>
        <w:tc>
          <w:tcPr>
            <w:tcW w:w="1080" w:type="dxa"/>
            <w:shd w:val="clear" w:color="auto" w:fill="auto"/>
          </w:tcPr>
          <w:p w14:paraId="5508AFDC"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2,677</w:t>
            </w:r>
          </w:p>
        </w:tc>
        <w:tc>
          <w:tcPr>
            <w:tcW w:w="1134" w:type="dxa"/>
            <w:shd w:val="clear" w:color="auto" w:fill="auto"/>
          </w:tcPr>
          <w:p w14:paraId="494F62BD"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9.3</w:t>
            </w:r>
          </w:p>
        </w:tc>
        <w:tc>
          <w:tcPr>
            <w:tcW w:w="1110" w:type="dxa"/>
            <w:shd w:val="clear" w:color="auto" w:fill="auto"/>
          </w:tcPr>
          <w:p w14:paraId="058BC202"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3,400</w:t>
            </w:r>
          </w:p>
        </w:tc>
        <w:tc>
          <w:tcPr>
            <w:tcW w:w="1104" w:type="dxa"/>
            <w:shd w:val="clear" w:color="auto" w:fill="auto"/>
          </w:tcPr>
          <w:p w14:paraId="5D9E75EE"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11.4</w:t>
            </w:r>
          </w:p>
        </w:tc>
        <w:tc>
          <w:tcPr>
            <w:tcW w:w="1140" w:type="dxa"/>
            <w:shd w:val="clear" w:color="auto" w:fill="auto"/>
          </w:tcPr>
          <w:p w14:paraId="231F15F0"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3,680</w:t>
            </w:r>
          </w:p>
        </w:tc>
        <w:tc>
          <w:tcPr>
            <w:tcW w:w="1074" w:type="dxa"/>
            <w:shd w:val="clear" w:color="auto" w:fill="auto"/>
          </w:tcPr>
          <w:p w14:paraId="7A994FEE"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12.0</w:t>
            </w:r>
          </w:p>
        </w:tc>
      </w:tr>
      <w:tr w:rsidR="00544641" w:rsidRPr="003A2B96" w14:paraId="30B36AB5" w14:textId="77777777" w:rsidTr="00990278">
        <w:trPr>
          <w:jc w:val="center"/>
        </w:trPr>
        <w:tc>
          <w:tcPr>
            <w:tcW w:w="2214" w:type="dxa"/>
            <w:shd w:val="clear" w:color="auto" w:fill="auto"/>
          </w:tcPr>
          <w:p w14:paraId="18910B32"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35 to 64 Y</w:t>
            </w:r>
            <w:r w:rsidRPr="003A2B96">
              <w:rPr>
                <w:rFonts w:ascii="Calibri" w:hAnsi="Calibri" w:cs="Lucida Sans Unicode"/>
                <w:sz w:val="20"/>
                <w:szCs w:val="20"/>
              </w:rPr>
              <w:t>ears</w:t>
            </w:r>
          </w:p>
        </w:tc>
        <w:tc>
          <w:tcPr>
            <w:tcW w:w="1080" w:type="dxa"/>
            <w:shd w:val="clear" w:color="auto" w:fill="auto"/>
          </w:tcPr>
          <w:p w14:paraId="0F67415A"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12,826</w:t>
            </w:r>
          </w:p>
        </w:tc>
        <w:tc>
          <w:tcPr>
            <w:tcW w:w="1134" w:type="dxa"/>
            <w:shd w:val="clear" w:color="auto" w:fill="auto"/>
          </w:tcPr>
          <w:p w14:paraId="0742D86A"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44.4</w:t>
            </w:r>
          </w:p>
        </w:tc>
        <w:tc>
          <w:tcPr>
            <w:tcW w:w="1110" w:type="dxa"/>
            <w:shd w:val="clear" w:color="auto" w:fill="auto"/>
          </w:tcPr>
          <w:p w14:paraId="2A750F42"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11,593</w:t>
            </w:r>
          </w:p>
        </w:tc>
        <w:tc>
          <w:tcPr>
            <w:tcW w:w="1104" w:type="dxa"/>
            <w:shd w:val="clear" w:color="auto" w:fill="auto"/>
          </w:tcPr>
          <w:p w14:paraId="67D72C05"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39.0</w:t>
            </w:r>
          </w:p>
        </w:tc>
        <w:tc>
          <w:tcPr>
            <w:tcW w:w="1140" w:type="dxa"/>
            <w:shd w:val="clear" w:color="auto" w:fill="auto"/>
          </w:tcPr>
          <w:p w14:paraId="44C09BE0"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12,002</w:t>
            </w:r>
          </w:p>
        </w:tc>
        <w:tc>
          <w:tcPr>
            <w:tcW w:w="1074" w:type="dxa"/>
            <w:shd w:val="clear" w:color="auto" w:fill="auto"/>
          </w:tcPr>
          <w:p w14:paraId="2C28B4F8"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39.0</w:t>
            </w:r>
          </w:p>
        </w:tc>
      </w:tr>
      <w:tr w:rsidR="00544641" w:rsidRPr="003A2B96" w14:paraId="17E18625" w14:textId="77777777" w:rsidTr="00990278">
        <w:trPr>
          <w:jc w:val="center"/>
        </w:trPr>
        <w:tc>
          <w:tcPr>
            <w:tcW w:w="2214" w:type="dxa"/>
            <w:shd w:val="clear" w:color="auto" w:fill="auto"/>
          </w:tcPr>
          <w:p w14:paraId="6E1168B5" w14:textId="77777777" w:rsidR="00544641" w:rsidRPr="003A2B96" w:rsidRDefault="00544641" w:rsidP="00990278">
            <w:pPr>
              <w:rPr>
                <w:rFonts w:ascii="Calibri" w:hAnsi="Calibri" w:cs="Lucida Sans Unicode"/>
                <w:sz w:val="20"/>
                <w:szCs w:val="20"/>
              </w:rPr>
            </w:pPr>
            <w:r w:rsidRPr="003A2B96">
              <w:rPr>
                <w:rFonts w:ascii="Calibri" w:hAnsi="Calibri" w:cs="Lucida Sans Unicode"/>
                <w:sz w:val="20"/>
                <w:szCs w:val="20"/>
              </w:rPr>
              <w:t xml:space="preserve">65+ </w:t>
            </w:r>
            <w:r>
              <w:rPr>
                <w:rFonts w:ascii="Calibri" w:hAnsi="Calibri" w:cs="Lucida Sans Unicode"/>
                <w:sz w:val="20"/>
                <w:szCs w:val="20"/>
              </w:rPr>
              <w:t>Y</w:t>
            </w:r>
            <w:r w:rsidRPr="003A2B96">
              <w:rPr>
                <w:rFonts w:ascii="Calibri" w:hAnsi="Calibri" w:cs="Lucida Sans Unicode"/>
                <w:sz w:val="20"/>
                <w:szCs w:val="20"/>
              </w:rPr>
              <w:t>ears</w:t>
            </w:r>
          </w:p>
        </w:tc>
        <w:tc>
          <w:tcPr>
            <w:tcW w:w="1080" w:type="dxa"/>
            <w:shd w:val="clear" w:color="auto" w:fill="auto"/>
          </w:tcPr>
          <w:p w14:paraId="2CEAE87B"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4,700</w:t>
            </w:r>
          </w:p>
        </w:tc>
        <w:tc>
          <w:tcPr>
            <w:tcW w:w="1134" w:type="dxa"/>
            <w:shd w:val="clear" w:color="auto" w:fill="auto"/>
          </w:tcPr>
          <w:p w14:paraId="4AE592EC"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16.3</w:t>
            </w:r>
          </w:p>
        </w:tc>
        <w:tc>
          <w:tcPr>
            <w:tcW w:w="1110" w:type="dxa"/>
            <w:shd w:val="clear" w:color="auto" w:fill="auto"/>
          </w:tcPr>
          <w:p w14:paraId="64423236"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7,378</w:t>
            </w:r>
          </w:p>
        </w:tc>
        <w:tc>
          <w:tcPr>
            <w:tcW w:w="1104" w:type="dxa"/>
            <w:shd w:val="clear" w:color="auto" w:fill="auto"/>
          </w:tcPr>
          <w:p w14:paraId="5A8D3096"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24.8</w:t>
            </w:r>
          </w:p>
        </w:tc>
        <w:tc>
          <w:tcPr>
            <w:tcW w:w="1140" w:type="dxa"/>
            <w:shd w:val="clear" w:color="auto" w:fill="auto"/>
          </w:tcPr>
          <w:p w14:paraId="758DC4B4"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7,479</w:t>
            </w:r>
          </w:p>
        </w:tc>
        <w:tc>
          <w:tcPr>
            <w:tcW w:w="1074" w:type="dxa"/>
            <w:shd w:val="clear" w:color="auto" w:fill="auto"/>
          </w:tcPr>
          <w:p w14:paraId="5AC021E7"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24.3</w:t>
            </w:r>
          </w:p>
        </w:tc>
      </w:tr>
      <w:tr w:rsidR="00544641" w:rsidRPr="003A2B96" w14:paraId="59230AB2" w14:textId="77777777" w:rsidTr="00990278">
        <w:trPr>
          <w:jc w:val="center"/>
        </w:trPr>
        <w:tc>
          <w:tcPr>
            <w:tcW w:w="2214" w:type="dxa"/>
            <w:shd w:val="clear" w:color="auto" w:fill="auto"/>
          </w:tcPr>
          <w:p w14:paraId="41E3EA25" w14:textId="77777777" w:rsidR="00544641" w:rsidRPr="003A2B96" w:rsidRDefault="00544641" w:rsidP="00990278">
            <w:pPr>
              <w:rPr>
                <w:rFonts w:ascii="Calibri" w:hAnsi="Calibri" w:cs="Lucida Sans Unicode"/>
                <w:sz w:val="20"/>
                <w:szCs w:val="20"/>
              </w:rPr>
            </w:pPr>
            <w:r w:rsidRPr="003A2B96">
              <w:rPr>
                <w:rFonts w:ascii="Calibri" w:hAnsi="Calibri" w:cs="Lucida Sans Unicode"/>
                <w:sz w:val="20"/>
                <w:szCs w:val="20"/>
              </w:rPr>
              <w:t xml:space="preserve">Total </w:t>
            </w:r>
          </w:p>
        </w:tc>
        <w:tc>
          <w:tcPr>
            <w:tcW w:w="1080" w:type="dxa"/>
            <w:shd w:val="clear" w:color="auto" w:fill="auto"/>
          </w:tcPr>
          <w:p w14:paraId="5F9A69D4"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28,886</w:t>
            </w:r>
          </w:p>
        </w:tc>
        <w:tc>
          <w:tcPr>
            <w:tcW w:w="1134" w:type="dxa"/>
            <w:shd w:val="clear" w:color="auto" w:fill="auto"/>
          </w:tcPr>
          <w:p w14:paraId="41DAC26E"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100.0</w:t>
            </w:r>
          </w:p>
        </w:tc>
        <w:tc>
          <w:tcPr>
            <w:tcW w:w="1110" w:type="dxa"/>
            <w:shd w:val="clear" w:color="auto" w:fill="auto"/>
          </w:tcPr>
          <w:p w14:paraId="0061DCB1"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29,706</w:t>
            </w:r>
          </w:p>
        </w:tc>
        <w:tc>
          <w:tcPr>
            <w:tcW w:w="1104" w:type="dxa"/>
            <w:shd w:val="clear" w:color="auto" w:fill="auto"/>
          </w:tcPr>
          <w:p w14:paraId="455C26E7"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100.0</w:t>
            </w:r>
          </w:p>
        </w:tc>
        <w:tc>
          <w:tcPr>
            <w:tcW w:w="1140" w:type="dxa"/>
            <w:shd w:val="clear" w:color="auto" w:fill="auto"/>
          </w:tcPr>
          <w:p w14:paraId="7B4D3306"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30,746</w:t>
            </w:r>
          </w:p>
        </w:tc>
        <w:tc>
          <w:tcPr>
            <w:tcW w:w="1074" w:type="dxa"/>
            <w:shd w:val="clear" w:color="auto" w:fill="auto"/>
          </w:tcPr>
          <w:p w14:paraId="5BAB63DD" w14:textId="77777777" w:rsidR="00544641" w:rsidRPr="003A2B96" w:rsidRDefault="00544641" w:rsidP="00990278">
            <w:pPr>
              <w:rPr>
                <w:rFonts w:ascii="Calibri" w:hAnsi="Calibri" w:cs="Lucida Sans Unicode"/>
                <w:sz w:val="20"/>
                <w:szCs w:val="20"/>
              </w:rPr>
            </w:pPr>
            <w:r>
              <w:rPr>
                <w:rFonts w:ascii="Calibri" w:hAnsi="Calibri" w:cs="Lucida Sans Unicode"/>
                <w:sz w:val="20"/>
                <w:szCs w:val="20"/>
              </w:rPr>
              <w:t>100.0</w:t>
            </w:r>
          </w:p>
        </w:tc>
      </w:tr>
    </w:tbl>
    <w:p w14:paraId="305E40B5" w14:textId="77777777" w:rsidR="00544641" w:rsidRPr="003A2B96" w:rsidRDefault="00544641" w:rsidP="00544641">
      <w:pPr>
        <w:ind w:firstLine="720"/>
        <w:rPr>
          <w:rFonts w:ascii="Calibri" w:hAnsi="Calibri" w:cs="Lucida Sans Unicode"/>
          <w:sz w:val="20"/>
          <w:szCs w:val="20"/>
        </w:rPr>
      </w:pPr>
      <w:r w:rsidRPr="003A2B96">
        <w:rPr>
          <w:rFonts w:ascii="Calibri" w:hAnsi="Calibri" w:cs="Lucida Sans Unicode"/>
          <w:sz w:val="20"/>
          <w:szCs w:val="20"/>
        </w:rPr>
        <w:t>Source: Metropolitan Area Planning Council (MAPC), Massachusetts Housing Data Portal, January 2014.</w:t>
      </w:r>
    </w:p>
    <w:p w14:paraId="2AE524C4" w14:textId="77777777" w:rsidR="00544641" w:rsidRDefault="00544641" w:rsidP="00544641">
      <w:pPr>
        <w:rPr>
          <w:rFonts w:asciiTheme="minorHAnsi" w:hAnsiTheme="minorHAnsi"/>
          <w:sz w:val="22"/>
          <w:szCs w:val="22"/>
        </w:rPr>
      </w:pPr>
    </w:p>
    <w:p w14:paraId="4311B56F" w14:textId="28BEDE32" w:rsidR="00BA2057" w:rsidRDefault="00F859D8" w:rsidP="00F859D8">
      <w:pPr>
        <w:jc w:val="both"/>
        <w:rPr>
          <w:rFonts w:ascii="Calibri" w:hAnsi="Calibri"/>
          <w:bCs/>
          <w:iCs/>
          <w:sz w:val="22"/>
        </w:rPr>
      </w:pPr>
      <w:r w:rsidRPr="00544641">
        <w:rPr>
          <w:rFonts w:ascii="Calibri" w:hAnsi="Calibri"/>
          <w:bCs/>
          <w:iCs/>
          <w:sz w:val="22"/>
          <w:szCs w:val="22"/>
        </w:rPr>
        <w:t>Figure</w:t>
      </w:r>
      <w:r w:rsidR="0078344E">
        <w:rPr>
          <w:rFonts w:ascii="Calibri" w:hAnsi="Calibri"/>
          <w:bCs/>
          <w:iCs/>
          <w:sz w:val="22"/>
          <w:szCs w:val="22"/>
        </w:rPr>
        <w:t xml:space="preserve"> III-</w:t>
      </w:r>
      <w:r w:rsidR="00CF13E7" w:rsidRPr="00544641">
        <w:rPr>
          <w:rFonts w:ascii="Calibri" w:hAnsi="Calibri"/>
          <w:bCs/>
          <w:iCs/>
          <w:sz w:val="22"/>
          <w:szCs w:val="22"/>
        </w:rPr>
        <w:t>3</w:t>
      </w:r>
      <w:r w:rsidRPr="00544641">
        <w:rPr>
          <w:rFonts w:ascii="Calibri" w:hAnsi="Calibri"/>
          <w:bCs/>
          <w:iCs/>
          <w:sz w:val="22"/>
          <w:szCs w:val="22"/>
        </w:rPr>
        <w:t xml:space="preserve"> shows the projected percentage change in total population for those unde</w:t>
      </w:r>
      <w:r>
        <w:rPr>
          <w:rFonts w:ascii="Calibri" w:hAnsi="Calibri"/>
          <w:bCs/>
          <w:iCs/>
          <w:sz w:val="22"/>
        </w:rPr>
        <w:t xml:space="preserve">r 15 years of age and for those over </w:t>
      </w:r>
      <w:r w:rsidR="00C708AC">
        <w:rPr>
          <w:rFonts w:ascii="Calibri" w:hAnsi="Calibri"/>
          <w:bCs/>
          <w:iCs/>
          <w:sz w:val="22"/>
        </w:rPr>
        <w:t xml:space="preserve">age </w:t>
      </w:r>
      <w:r>
        <w:rPr>
          <w:rFonts w:ascii="Calibri" w:hAnsi="Calibri"/>
          <w:bCs/>
          <w:iCs/>
          <w:sz w:val="22"/>
        </w:rPr>
        <w:t>65 for Needham from 2010 and 2030</w:t>
      </w:r>
      <w:r w:rsidR="009312E3">
        <w:rPr>
          <w:rFonts w:ascii="Calibri" w:hAnsi="Calibri"/>
          <w:bCs/>
          <w:iCs/>
          <w:sz w:val="22"/>
        </w:rPr>
        <w:t>.  These changes are compared to</w:t>
      </w:r>
      <w:r>
        <w:rPr>
          <w:rFonts w:ascii="Calibri" w:hAnsi="Calibri"/>
          <w:bCs/>
          <w:iCs/>
          <w:sz w:val="22"/>
        </w:rPr>
        <w:t xml:space="preserve"> other Maturing Suburbs in the Boston region, </w:t>
      </w:r>
      <w:r w:rsidR="0078344E">
        <w:rPr>
          <w:rFonts w:ascii="Calibri" w:hAnsi="Calibri"/>
          <w:bCs/>
          <w:iCs/>
          <w:sz w:val="22"/>
        </w:rPr>
        <w:t xml:space="preserve">MAPC’s </w:t>
      </w:r>
      <w:r>
        <w:rPr>
          <w:rFonts w:ascii="Calibri" w:hAnsi="Calibri"/>
          <w:bCs/>
          <w:iCs/>
          <w:sz w:val="22"/>
        </w:rPr>
        <w:t xml:space="preserve">Three Rivers Interlocal Council subregion, and the entire Metro Boston area, once again based on MAPC’s Stronger Region figures. This data indicates that Needham’s total projected growth of </w:t>
      </w:r>
      <w:r w:rsidR="00CF13E7">
        <w:rPr>
          <w:rFonts w:ascii="Calibri" w:hAnsi="Calibri"/>
          <w:bCs/>
          <w:iCs/>
          <w:sz w:val="22"/>
        </w:rPr>
        <w:t>3</w:t>
      </w:r>
      <w:r>
        <w:rPr>
          <w:rFonts w:ascii="Calibri" w:hAnsi="Calibri"/>
          <w:bCs/>
          <w:iCs/>
          <w:sz w:val="22"/>
        </w:rPr>
        <w:t xml:space="preserve">% </w:t>
      </w:r>
      <w:r w:rsidR="000A75BC">
        <w:rPr>
          <w:rFonts w:ascii="Calibri" w:hAnsi="Calibri"/>
          <w:bCs/>
          <w:iCs/>
          <w:sz w:val="22"/>
        </w:rPr>
        <w:t xml:space="preserve">between 2010 and 2030 </w:t>
      </w:r>
      <w:r>
        <w:rPr>
          <w:rFonts w:ascii="Calibri" w:hAnsi="Calibri"/>
          <w:bCs/>
          <w:iCs/>
          <w:sz w:val="22"/>
        </w:rPr>
        <w:t>is comparable to what is estimated in other Maturing Suburbs and the subregion. The data also identified Needham with the greatest predicted decrease in the number of children although this 1</w:t>
      </w:r>
      <w:r w:rsidR="00CF13E7">
        <w:rPr>
          <w:rFonts w:ascii="Calibri" w:hAnsi="Calibri"/>
          <w:bCs/>
          <w:iCs/>
          <w:sz w:val="22"/>
        </w:rPr>
        <w:t>9</w:t>
      </w:r>
      <w:r>
        <w:rPr>
          <w:rFonts w:ascii="Calibri" w:hAnsi="Calibri"/>
          <w:bCs/>
          <w:iCs/>
          <w:sz w:val="22"/>
        </w:rPr>
        <w:t>% population loss is about the same as the estimated 1</w:t>
      </w:r>
      <w:r w:rsidR="00CF13E7">
        <w:rPr>
          <w:rFonts w:ascii="Calibri" w:hAnsi="Calibri"/>
          <w:bCs/>
          <w:iCs/>
          <w:sz w:val="22"/>
        </w:rPr>
        <w:t>8</w:t>
      </w:r>
      <w:r>
        <w:rPr>
          <w:rFonts w:ascii="Calibri" w:hAnsi="Calibri"/>
          <w:bCs/>
          <w:iCs/>
          <w:sz w:val="22"/>
        </w:rPr>
        <w:t>% decline in other Maturing Suburbs. While not as extreme as the other areas, Needham is also projected to experience increases in those over the age of 65</w:t>
      </w:r>
      <w:r w:rsidR="00C708AC">
        <w:rPr>
          <w:rFonts w:ascii="Calibri" w:hAnsi="Calibri"/>
          <w:bCs/>
          <w:iCs/>
          <w:sz w:val="22"/>
        </w:rPr>
        <w:t>,</w:t>
      </w:r>
      <w:r>
        <w:rPr>
          <w:rFonts w:ascii="Calibri" w:hAnsi="Calibri"/>
          <w:bCs/>
          <w:iCs/>
          <w:sz w:val="22"/>
        </w:rPr>
        <w:t xml:space="preserve"> at a 5</w:t>
      </w:r>
      <w:r w:rsidR="00CF13E7">
        <w:rPr>
          <w:rFonts w:ascii="Calibri" w:hAnsi="Calibri"/>
          <w:bCs/>
          <w:iCs/>
          <w:sz w:val="22"/>
        </w:rPr>
        <w:t>7</w:t>
      </w:r>
      <w:r>
        <w:rPr>
          <w:rFonts w:ascii="Calibri" w:hAnsi="Calibri"/>
          <w:bCs/>
          <w:iCs/>
          <w:sz w:val="22"/>
        </w:rPr>
        <w:t>% gain</w:t>
      </w:r>
      <w:r w:rsidR="009875A9">
        <w:rPr>
          <w:rFonts w:ascii="Calibri" w:hAnsi="Calibri"/>
          <w:bCs/>
          <w:iCs/>
          <w:sz w:val="22"/>
        </w:rPr>
        <w:t>.</w:t>
      </w:r>
      <w:r>
        <w:rPr>
          <w:rFonts w:ascii="Calibri" w:hAnsi="Calibri"/>
          <w:bCs/>
          <w:iCs/>
          <w:sz w:val="22"/>
        </w:rPr>
        <w:t xml:space="preserve"> </w:t>
      </w:r>
    </w:p>
    <w:p w14:paraId="53E350C7" w14:textId="77777777" w:rsidR="009875A9" w:rsidRDefault="009875A9" w:rsidP="00F859D8">
      <w:pPr>
        <w:jc w:val="both"/>
        <w:rPr>
          <w:rFonts w:ascii="Calibri" w:hAnsi="Calibri"/>
          <w:bCs/>
          <w:iCs/>
          <w:sz w:val="22"/>
        </w:rPr>
      </w:pPr>
    </w:p>
    <w:p w14:paraId="450F0333" w14:textId="4445969C" w:rsidR="008772FC" w:rsidRPr="0003269A" w:rsidRDefault="008772FC" w:rsidP="008772FC">
      <w:pPr>
        <w:jc w:val="center"/>
        <w:rPr>
          <w:rFonts w:ascii="Calibri" w:hAnsi="Calibri"/>
          <w:b/>
          <w:bCs/>
          <w:iCs/>
          <w:sz w:val="22"/>
        </w:rPr>
      </w:pPr>
      <w:r>
        <w:rPr>
          <w:rFonts w:ascii="Calibri" w:hAnsi="Calibri"/>
          <w:b/>
          <w:bCs/>
          <w:iCs/>
          <w:sz w:val="22"/>
        </w:rPr>
        <w:t xml:space="preserve">Figure </w:t>
      </w:r>
      <w:r w:rsidR="0086490C">
        <w:rPr>
          <w:rFonts w:ascii="Calibri" w:hAnsi="Calibri"/>
          <w:b/>
          <w:bCs/>
          <w:iCs/>
          <w:sz w:val="22"/>
        </w:rPr>
        <w:t>III-</w:t>
      </w:r>
      <w:r w:rsidR="0001506D">
        <w:rPr>
          <w:rFonts w:ascii="Calibri" w:hAnsi="Calibri"/>
          <w:b/>
          <w:bCs/>
          <w:iCs/>
          <w:sz w:val="22"/>
        </w:rPr>
        <w:t>3</w:t>
      </w:r>
      <w:r>
        <w:rPr>
          <w:rFonts w:ascii="Calibri" w:hAnsi="Calibri"/>
          <w:b/>
          <w:bCs/>
          <w:iCs/>
          <w:sz w:val="22"/>
        </w:rPr>
        <w:t>: Population Change Comparison, 2010 to 2030</w:t>
      </w:r>
      <w:r w:rsidR="00BA2057">
        <w:rPr>
          <w:rStyle w:val="FootnoteReference"/>
          <w:rFonts w:ascii="Calibri" w:hAnsi="Calibri"/>
          <w:b/>
          <w:bCs/>
          <w:iCs/>
          <w:sz w:val="22"/>
        </w:rPr>
        <w:footnoteReference w:id="14"/>
      </w:r>
    </w:p>
    <w:p w14:paraId="6BFA9B5C" w14:textId="77777777" w:rsidR="008772FC" w:rsidRDefault="008772FC" w:rsidP="00F859D8">
      <w:pPr>
        <w:jc w:val="center"/>
        <w:rPr>
          <w:rFonts w:ascii="Calibri" w:hAnsi="Calibri"/>
          <w:sz w:val="22"/>
        </w:rPr>
      </w:pPr>
      <w:r>
        <w:rPr>
          <w:rFonts w:ascii="Calibri" w:hAnsi="Calibri" w:cs="Lucida Sans Unicode"/>
          <w:noProof/>
        </w:rPr>
        <w:drawing>
          <wp:inline distT="0" distB="0" distL="0" distR="0" wp14:anchorId="675C2112" wp14:editId="5F2690BF">
            <wp:extent cx="3743325" cy="2120265"/>
            <wp:effectExtent l="0" t="0" r="9525"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67AD3B" w14:textId="77777777" w:rsidR="009875A9" w:rsidRDefault="009875A9" w:rsidP="000B3F50">
      <w:pPr>
        <w:pStyle w:val="Footer"/>
        <w:jc w:val="both"/>
        <w:rPr>
          <w:rFonts w:ascii="Calibri" w:hAnsi="Calibri" w:cs="Lucida Sans Unicode"/>
          <w:sz w:val="22"/>
          <w:szCs w:val="22"/>
        </w:rPr>
      </w:pPr>
    </w:p>
    <w:p w14:paraId="431C6666" w14:textId="529EC13A" w:rsidR="000B3F50" w:rsidRDefault="000B3F50" w:rsidP="000B3F50">
      <w:pPr>
        <w:pStyle w:val="Footer"/>
        <w:jc w:val="both"/>
        <w:rPr>
          <w:rFonts w:ascii="Calibri" w:hAnsi="Calibri" w:cs="Lucida Sans Unicode"/>
          <w:sz w:val="22"/>
        </w:rPr>
      </w:pPr>
      <w:r w:rsidRPr="003A2B96">
        <w:rPr>
          <w:rFonts w:ascii="Calibri" w:hAnsi="Calibri" w:cs="Lucida Sans Unicode"/>
          <w:sz w:val="22"/>
          <w:szCs w:val="22"/>
        </w:rPr>
        <w:t xml:space="preserve">Table </w:t>
      </w:r>
      <w:r w:rsidR="00BA2057">
        <w:rPr>
          <w:rFonts w:ascii="Calibri" w:hAnsi="Calibri" w:cs="Lucida Sans Unicode"/>
          <w:sz w:val="22"/>
          <w:szCs w:val="22"/>
        </w:rPr>
        <w:t>III-5</w:t>
      </w:r>
      <w:r w:rsidRPr="003A2B96">
        <w:rPr>
          <w:rFonts w:ascii="Calibri" w:hAnsi="Calibri" w:cs="Lucida Sans Unicode"/>
          <w:sz w:val="22"/>
          <w:szCs w:val="22"/>
        </w:rPr>
        <w:t xml:space="preserve"> </w:t>
      </w:r>
      <w:r>
        <w:rPr>
          <w:rFonts w:ascii="Calibri" w:hAnsi="Calibri" w:cs="Lucida Sans Unicode"/>
          <w:sz w:val="22"/>
          <w:szCs w:val="22"/>
        </w:rPr>
        <w:t>and Figure</w:t>
      </w:r>
      <w:r w:rsidR="0001506D">
        <w:rPr>
          <w:rFonts w:ascii="Calibri" w:hAnsi="Calibri" w:cs="Lucida Sans Unicode"/>
          <w:sz w:val="22"/>
          <w:szCs w:val="22"/>
        </w:rPr>
        <w:t xml:space="preserve"> </w:t>
      </w:r>
      <w:r w:rsidR="00BA2057">
        <w:rPr>
          <w:rFonts w:ascii="Calibri" w:hAnsi="Calibri" w:cs="Lucida Sans Unicode"/>
          <w:sz w:val="22"/>
          <w:szCs w:val="22"/>
        </w:rPr>
        <w:t>III-</w:t>
      </w:r>
      <w:r w:rsidR="0001506D">
        <w:rPr>
          <w:rFonts w:ascii="Calibri" w:hAnsi="Calibri" w:cs="Lucida Sans Unicode"/>
          <w:sz w:val="22"/>
          <w:szCs w:val="22"/>
        </w:rPr>
        <w:t>4</w:t>
      </w:r>
      <w:r>
        <w:rPr>
          <w:rFonts w:ascii="Calibri" w:hAnsi="Calibri" w:cs="Lucida Sans Unicode"/>
          <w:sz w:val="22"/>
          <w:szCs w:val="22"/>
        </w:rPr>
        <w:t xml:space="preserve"> p</w:t>
      </w:r>
      <w:r w:rsidRPr="003A2B96">
        <w:rPr>
          <w:rFonts w:ascii="Calibri" w:hAnsi="Calibri" w:cs="Lucida Sans Unicode"/>
          <w:sz w:val="22"/>
          <w:szCs w:val="22"/>
        </w:rPr>
        <w:t xml:space="preserve">resent </w:t>
      </w:r>
      <w:r>
        <w:rPr>
          <w:rFonts w:ascii="Calibri" w:hAnsi="Calibri" w:cs="Lucida Sans Unicode"/>
          <w:sz w:val="22"/>
          <w:szCs w:val="22"/>
        </w:rPr>
        <w:t xml:space="preserve">more detailed MAPC Stronger Region </w:t>
      </w:r>
      <w:r w:rsidRPr="003A2B96">
        <w:rPr>
          <w:rFonts w:ascii="Calibri" w:hAnsi="Calibri" w:cs="Lucida Sans Unicode"/>
          <w:sz w:val="22"/>
          <w:szCs w:val="22"/>
        </w:rPr>
        <w:t xml:space="preserve">figures </w:t>
      </w:r>
      <w:r>
        <w:rPr>
          <w:rFonts w:ascii="Calibri" w:hAnsi="Calibri" w:cs="Lucida Sans Unicode"/>
          <w:sz w:val="22"/>
          <w:szCs w:val="22"/>
        </w:rPr>
        <w:t>for 2020 and 2030</w:t>
      </w:r>
      <w:r w:rsidR="009C466F">
        <w:rPr>
          <w:rFonts w:ascii="Calibri" w:hAnsi="Calibri" w:cs="Lucida Sans Unicode"/>
          <w:sz w:val="22"/>
          <w:szCs w:val="22"/>
        </w:rPr>
        <w:t xml:space="preserve"> for Needham</w:t>
      </w:r>
      <w:r>
        <w:rPr>
          <w:rFonts w:ascii="Calibri" w:hAnsi="Calibri" w:cs="Lucida Sans Unicode"/>
          <w:sz w:val="22"/>
          <w:szCs w:val="22"/>
        </w:rPr>
        <w:t xml:space="preserve"> in comparison to the 2010 U.S. census counts,</w:t>
      </w:r>
      <w:r>
        <w:rPr>
          <w:rFonts w:ascii="Calibri" w:hAnsi="Calibri" w:cs="Lucida Sans Unicode"/>
          <w:sz w:val="22"/>
        </w:rPr>
        <w:t xml:space="preserve"> suggesting the following more specific population trends:</w:t>
      </w:r>
    </w:p>
    <w:p w14:paraId="339133BE" w14:textId="77777777" w:rsidR="000B3F50" w:rsidRDefault="000B3F50" w:rsidP="000B3F50">
      <w:pPr>
        <w:pStyle w:val="Footer"/>
        <w:jc w:val="both"/>
        <w:rPr>
          <w:rFonts w:ascii="Calibri" w:hAnsi="Calibri" w:cs="Lucida Sans Unicode"/>
          <w:sz w:val="22"/>
        </w:rPr>
      </w:pPr>
    </w:p>
    <w:p w14:paraId="647ACDF2" w14:textId="6A93DE6B" w:rsidR="000B3F50" w:rsidRDefault="000B3F50" w:rsidP="005D3FC9">
      <w:pPr>
        <w:numPr>
          <w:ilvl w:val="0"/>
          <w:numId w:val="10"/>
        </w:numPr>
        <w:tabs>
          <w:tab w:val="clear" w:pos="1440"/>
          <w:tab w:val="num" w:pos="720"/>
        </w:tabs>
        <w:ind w:left="720"/>
        <w:jc w:val="both"/>
        <w:rPr>
          <w:rFonts w:ascii="Calibri" w:hAnsi="Calibri"/>
          <w:sz w:val="22"/>
        </w:rPr>
      </w:pPr>
      <w:r w:rsidRPr="00963829">
        <w:rPr>
          <w:rFonts w:ascii="Calibri" w:hAnsi="Calibri"/>
          <w:i/>
          <w:sz w:val="22"/>
        </w:rPr>
        <w:t>Continuing declines in the number and percentage of children</w:t>
      </w:r>
      <w:r>
        <w:rPr>
          <w:rFonts w:ascii="Calibri" w:hAnsi="Calibri"/>
          <w:sz w:val="22"/>
        </w:rPr>
        <w:t xml:space="preserve"> with those under</w:t>
      </w:r>
      <w:r w:rsidR="00C708AC">
        <w:rPr>
          <w:rFonts w:ascii="Calibri" w:hAnsi="Calibri"/>
          <w:sz w:val="22"/>
        </w:rPr>
        <w:t xml:space="preserve"> age</w:t>
      </w:r>
      <w:r>
        <w:rPr>
          <w:rFonts w:ascii="Calibri" w:hAnsi="Calibri"/>
          <w:sz w:val="22"/>
        </w:rPr>
        <w:t xml:space="preserve"> 20 decreasing from 30.1% of the population in 2010</w:t>
      </w:r>
      <w:r w:rsidR="00C708AC">
        <w:rPr>
          <w:rFonts w:ascii="Calibri" w:hAnsi="Calibri"/>
          <w:sz w:val="22"/>
        </w:rPr>
        <w:t>,</w:t>
      </w:r>
      <w:r>
        <w:rPr>
          <w:rFonts w:ascii="Calibri" w:hAnsi="Calibri"/>
          <w:sz w:val="22"/>
        </w:rPr>
        <w:t xml:space="preserve"> to 26.8% by 2020</w:t>
      </w:r>
      <w:r w:rsidR="00C708AC">
        <w:rPr>
          <w:rFonts w:ascii="Calibri" w:hAnsi="Calibri"/>
          <w:sz w:val="22"/>
        </w:rPr>
        <w:t>,</w:t>
      </w:r>
      <w:r>
        <w:rPr>
          <w:rFonts w:ascii="Calibri" w:hAnsi="Calibri"/>
          <w:sz w:val="22"/>
        </w:rPr>
        <w:t xml:space="preserve"> and down further to 24.7% by 2030, representing a loss of 1,098 young residents during this period.  This decline, if realized, would have impacts on school enrollments and costs.</w:t>
      </w:r>
    </w:p>
    <w:p w14:paraId="563BB985" w14:textId="77777777" w:rsidR="000F1826" w:rsidRDefault="000F1826" w:rsidP="000F1826">
      <w:pPr>
        <w:ind w:left="720"/>
        <w:jc w:val="both"/>
        <w:rPr>
          <w:rFonts w:ascii="Calibri" w:hAnsi="Calibri"/>
          <w:sz w:val="22"/>
        </w:rPr>
      </w:pPr>
    </w:p>
    <w:p w14:paraId="4C48FFC7" w14:textId="5DD7DC74" w:rsidR="000B3F50" w:rsidRDefault="00EB4684" w:rsidP="005D3FC9">
      <w:pPr>
        <w:numPr>
          <w:ilvl w:val="0"/>
          <w:numId w:val="10"/>
        </w:numPr>
        <w:tabs>
          <w:tab w:val="clear" w:pos="1440"/>
          <w:tab w:val="num" w:pos="720"/>
        </w:tabs>
        <w:ind w:left="720"/>
        <w:jc w:val="both"/>
        <w:rPr>
          <w:rFonts w:ascii="Calibri" w:hAnsi="Calibri"/>
          <w:sz w:val="22"/>
        </w:rPr>
      </w:pPr>
      <w:r>
        <w:rPr>
          <w:rFonts w:ascii="Calibri" w:hAnsi="Calibri"/>
          <w:sz w:val="22"/>
        </w:rPr>
        <w:t>G</w:t>
      </w:r>
      <w:r w:rsidR="000B3F50">
        <w:rPr>
          <w:rFonts w:ascii="Calibri" w:hAnsi="Calibri"/>
          <w:sz w:val="22"/>
        </w:rPr>
        <w:t xml:space="preserve">ains of those in the 20 to 24 age range with a net increase of 173 such residents.  Given such high housing prices, many in this age range and recently out of college may need to live with their family or find rentals that they can share.  </w:t>
      </w:r>
    </w:p>
    <w:p w14:paraId="278954AE" w14:textId="77777777" w:rsidR="000F1826" w:rsidRDefault="000F1826" w:rsidP="000F1826">
      <w:pPr>
        <w:jc w:val="both"/>
        <w:rPr>
          <w:rFonts w:ascii="Calibri" w:hAnsi="Calibri"/>
          <w:sz w:val="22"/>
        </w:rPr>
      </w:pPr>
    </w:p>
    <w:p w14:paraId="5A825374" w14:textId="26BCE179" w:rsidR="000B3F50" w:rsidRDefault="00EB4684" w:rsidP="005D3FC9">
      <w:pPr>
        <w:numPr>
          <w:ilvl w:val="0"/>
          <w:numId w:val="10"/>
        </w:numPr>
        <w:tabs>
          <w:tab w:val="clear" w:pos="1440"/>
          <w:tab w:val="num" w:pos="720"/>
        </w:tabs>
        <w:ind w:left="720"/>
        <w:jc w:val="both"/>
        <w:rPr>
          <w:rFonts w:ascii="Calibri" w:hAnsi="Calibri"/>
          <w:sz w:val="22"/>
        </w:rPr>
      </w:pPr>
      <w:r>
        <w:rPr>
          <w:rFonts w:ascii="Calibri" w:hAnsi="Calibri"/>
          <w:sz w:val="22"/>
        </w:rPr>
        <w:t>I</w:t>
      </w:r>
      <w:r w:rsidR="000B3F50">
        <w:rPr>
          <w:rFonts w:ascii="Calibri" w:hAnsi="Calibri"/>
          <w:sz w:val="22"/>
        </w:rPr>
        <w:t xml:space="preserve">ncreases in those age 25 to 34, from 5.9% of all residents in 2010 to 8.2% by 2030 </w:t>
      </w:r>
      <w:r w:rsidR="00C708AC">
        <w:rPr>
          <w:rFonts w:ascii="Calibri" w:hAnsi="Calibri"/>
          <w:sz w:val="22"/>
        </w:rPr>
        <w:t xml:space="preserve">and </w:t>
      </w:r>
      <w:r w:rsidR="000B3F50">
        <w:rPr>
          <w:rFonts w:ascii="Calibri" w:hAnsi="Calibri"/>
          <w:sz w:val="22"/>
        </w:rPr>
        <w:t xml:space="preserve">with a net gain of 830 residents.  This group represents a major target market for the new Chapter 40B rental developments or other future multi-family construction, both rentals and ownership.  </w:t>
      </w:r>
    </w:p>
    <w:p w14:paraId="54C8647A" w14:textId="6EA63EF3" w:rsidR="000B3F50" w:rsidRPr="00166169" w:rsidRDefault="000B3F50" w:rsidP="00166169">
      <w:pPr>
        <w:pStyle w:val="Heading5"/>
        <w:jc w:val="center"/>
        <w:rPr>
          <w:rFonts w:ascii="Calibri" w:hAnsi="Calibri"/>
          <w:b/>
          <w:sz w:val="22"/>
          <w:szCs w:val="22"/>
        </w:rPr>
      </w:pPr>
      <w:r w:rsidRPr="0044066F">
        <w:rPr>
          <w:rFonts w:ascii="Calibri" w:hAnsi="Calibri"/>
          <w:b/>
          <w:color w:val="auto"/>
          <w:sz w:val="22"/>
          <w:szCs w:val="22"/>
        </w:rPr>
        <w:t>Table</w:t>
      </w:r>
      <w:r w:rsidR="0044066F" w:rsidRPr="0044066F">
        <w:rPr>
          <w:rFonts w:ascii="Calibri" w:hAnsi="Calibri"/>
          <w:b/>
          <w:color w:val="auto"/>
          <w:sz w:val="22"/>
          <w:szCs w:val="22"/>
        </w:rPr>
        <w:t xml:space="preserve"> </w:t>
      </w:r>
      <w:r w:rsidR="0086490C">
        <w:rPr>
          <w:rFonts w:ascii="Calibri" w:hAnsi="Calibri"/>
          <w:b/>
          <w:color w:val="auto"/>
          <w:sz w:val="22"/>
          <w:szCs w:val="22"/>
        </w:rPr>
        <w:t>III-5</w:t>
      </w:r>
      <w:r w:rsidRPr="0044066F">
        <w:rPr>
          <w:rFonts w:ascii="Calibri" w:hAnsi="Calibri"/>
          <w:b/>
          <w:color w:val="auto"/>
          <w:sz w:val="22"/>
          <w:szCs w:val="22"/>
        </w:rPr>
        <w:t>:  2010 Census and 2020 and 2030 MAPC Population Projections</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080"/>
        <w:gridCol w:w="1260"/>
        <w:gridCol w:w="990"/>
        <w:gridCol w:w="1170"/>
        <w:gridCol w:w="990"/>
      </w:tblGrid>
      <w:tr w:rsidR="000B3F50" w14:paraId="3BF0AABE" w14:textId="77777777" w:rsidTr="00CD48ED">
        <w:trPr>
          <w:cantSplit/>
          <w:jc w:val="center"/>
        </w:trPr>
        <w:tc>
          <w:tcPr>
            <w:tcW w:w="2088" w:type="dxa"/>
            <w:vMerge w:val="restart"/>
            <w:tcBorders>
              <w:top w:val="single" w:sz="4" w:space="0" w:color="auto"/>
              <w:left w:val="single" w:sz="4" w:space="0" w:color="auto"/>
            </w:tcBorders>
          </w:tcPr>
          <w:p w14:paraId="26C38645" w14:textId="77777777" w:rsidR="000B3F50" w:rsidRPr="005A352F" w:rsidRDefault="000B3F50" w:rsidP="00CD48ED">
            <w:pPr>
              <w:ind w:right="-720"/>
              <w:rPr>
                <w:rFonts w:ascii="Calibri" w:hAnsi="Calibri"/>
                <w:b/>
                <w:bCs/>
              </w:rPr>
            </w:pPr>
          </w:p>
          <w:p w14:paraId="3602D8C3" w14:textId="77777777" w:rsidR="000B3F50" w:rsidRPr="00592342" w:rsidRDefault="000B3F50" w:rsidP="00CD48ED">
            <w:pPr>
              <w:pStyle w:val="Heading8"/>
              <w:rPr>
                <w:rFonts w:ascii="Calibri" w:hAnsi="Calibri"/>
                <w:b/>
                <w:sz w:val="22"/>
                <w:szCs w:val="22"/>
              </w:rPr>
            </w:pPr>
            <w:r w:rsidRPr="00592342">
              <w:rPr>
                <w:rFonts w:ascii="Calibri" w:hAnsi="Calibri"/>
                <w:b/>
                <w:sz w:val="22"/>
                <w:szCs w:val="22"/>
              </w:rPr>
              <w:t>Age Range</w:t>
            </w:r>
          </w:p>
        </w:tc>
        <w:tc>
          <w:tcPr>
            <w:tcW w:w="2160" w:type="dxa"/>
            <w:gridSpan w:val="2"/>
          </w:tcPr>
          <w:p w14:paraId="2642868F" w14:textId="77777777" w:rsidR="000B3F50" w:rsidRDefault="000B3F50" w:rsidP="00CD48ED">
            <w:pPr>
              <w:ind w:right="-720"/>
              <w:jc w:val="center"/>
              <w:rPr>
                <w:rFonts w:ascii="Calibri" w:hAnsi="Calibri"/>
                <w:b/>
                <w:bCs/>
              </w:rPr>
            </w:pPr>
          </w:p>
          <w:p w14:paraId="6130EDFE" w14:textId="77777777" w:rsidR="000B3F50" w:rsidRDefault="000B3F50" w:rsidP="00C708AC">
            <w:pPr>
              <w:ind w:right="-720"/>
              <w:rPr>
                <w:rFonts w:ascii="Calibri" w:hAnsi="Calibri"/>
                <w:b/>
                <w:bCs/>
              </w:rPr>
            </w:pPr>
            <w:r>
              <w:rPr>
                <w:rFonts w:ascii="Calibri" w:hAnsi="Calibri"/>
                <w:b/>
                <w:bCs/>
                <w:sz w:val="22"/>
              </w:rPr>
              <w:t>2010 Census</w:t>
            </w:r>
          </w:p>
        </w:tc>
        <w:tc>
          <w:tcPr>
            <w:tcW w:w="2250" w:type="dxa"/>
            <w:gridSpan w:val="2"/>
          </w:tcPr>
          <w:p w14:paraId="2D272582" w14:textId="77777777" w:rsidR="000B3F50" w:rsidRDefault="000B3F50" w:rsidP="00CD48ED">
            <w:pPr>
              <w:ind w:right="-720"/>
              <w:rPr>
                <w:rFonts w:ascii="Calibri" w:hAnsi="Calibri"/>
                <w:b/>
                <w:bCs/>
              </w:rPr>
            </w:pPr>
            <w:r>
              <w:rPr>
                <w:rFonts w:ascii="Calibri" w:hAnsi="Calibri"/>
                <w:b/>
                <w:bCs/>
                <w:sz w:val="22"/>
              </w:rPr>
              <w:t>2020 Projections</w:t>
            </w:r>
          </w:p>
          <w:p w14:paraId="51D6A5D8" w14:textId="77777777" w:rsidR="000B3F50" w:rsidRDefault="000B3F50" w:rsidP="00CD48ED">
            <w:pPr>
              <w:ind w:right="-720"/>
              <w:rPr>
                <w:rFonts w:ascii="Calibri" w:hAnsi="Calibri"/>
                <w:b/>
                <w:bCs/>
              </w:rPr>
            </w:pPr>
            <w:r>
              <w:rPr>
                <w:rFonts w:ascii="Calibri" w:hAnsi="Calibri"/>
                <w:b/>
                <w:bCs/>
                <w:sz w:val="22"/>
              </w:rPr>
              <w:t>Stronger Region</w:t>
            </w:r>
          </w:p>
        </w:tc>
        <w:tc>
          <w:tcPr>
            <w:tcW w:w="2160" w:type="dxa"/>
            <w:gridSpan w:val="2"/>
          </w:tcPr>
          <w:p w14:paraId="32A54375" w14:textId="77777777" w:rsidR="000B3F50" w:rsidRDefault="000B3F50" w:rsidP="00CD48ED">
            <w:pPr>
              <w:ind w:right="-720"/>
              <w:rPr>
                <w:rFonts w:ascii="Calibri" w:hAnsi="Calibri"/>
                <w:b/>
                <w:bCs/>
              </w:rPr>
            </w:pPr>
            <w:r>
              <w:rPr>
                <w:rFonts w:ascii="Calibri" w:hAnsi="Calibri"/>
                <w:b/>
                <w:bCs/>
                <w:sz w:val="22"/>
              </w:rPr>
              <w:t>2030 Projections</w:t>
            </w:r>
          </w:p>
          <w:p w14:paraId="0919C03D" w14:textId="77777777" w:rsidR="000B3F50" w:rsidRDefault="000B3F50" w:rsidP="00CD48ED">
            <w:pPr>
              <w:ind w:right="-720"/>
              <w:rPr>
                <w:rFonts w:ascii="Calibri" w:hAnsi="Calibri"/>
                <w:b/>
                <w:bCs/>
              </w:rPr>
            </w:pPr>
            <w:r>
              <w:rPr>
                <w:rFonts w:ascii="Calibri" w:hAnsi="Calibri"/>
                <w:b/>
                <w:bCs/>
                <w:sz w:val="22"/>
              </w:rPr>
              <w:t>Stronger Region</w:t>
            </w:r>
          </w:p>
        </w:tc>
      </w:tr>
      <w:tr w:rsidR="000B3F50" w14:paraId="597F9062" w14:textId="77777777" w:rsidTr="00CD48ED">
        <w:trPr>
          <w:cantSplit/>
          <w:jc w:val="center"/>
        </w:trPr>
        <w:tc>
          <w:tcPr>
            <w:tcW w:w="2088" w:type="dxa"/>
            <w:vMerge/>
            <w:tcBorders>
              <w:left w:val="single" w:sz="4" w:space="0" w:color="auto"/>
            </w:tcBorders>
          </w:tcPr>
          <w:p w14:paraId="1AD318E9" w14:textId="77777777" w:rsidR="000B3F50" w:rsidRDefault="000B3F50" w:rsidP="00CD48ED">
            <w:pPr>
              <w:ind w:right="-720"/>
              <w:rPr>
                <w:rFonts w:ascii="Calibri" w:hAnsi="Calibri"/>
                <w:b/>
                <w:bCs/>
              </w:rPr>
            </w:pPr>
          </w:p>
        </w:tc>
        <w:tc>
          <w:tcPr>
            <w:tcW w:w="1080" w:type="dxa"/>
          </w:tcPr>
          <w:p w14:paraId="2F6F6CFA" w14:textId="77777777" w:rsidR="000B3F50" w:rsidRDefault="000B3F50" w:rsidP="00CD48ED">
            <w:pPr>
              <w:ind w:right="-720"/>
              <w:rPr>
                <w:rFonts w:ascii="Calibri" w:hAnsi="Calibri"/>
                <w:b/>
                <w:bCs/>
              </w:rPr>
            </w:pPr>
            <w:r>
              <w:rPr>
                <w:rFonts w:ascii="Calibri" w:hAnsi="Calibri"/>
                <w:b/>
                <w:bCs/>
                <w:sz w:val="22"/>
              </w:rPr>
              <w:t>#</w:t>
            </w:r>
          </w:p>
        </w:tc>
        <w:tc>
          <w:tcPr>
            <w:tcW w:w="1080" w:type="dxa"/>
          </w:tcPr>
          <w:p w14:paraId="60B46D7D" w14:textId="77777777" w:rsidR="000B3F50" w:rsidRDefault="000B3F50" w:rsidP="00CD48ED">
            <w:pPr>
              <w:ind w:right="-720"/>
              <w:rPr>
                <w:rFonts w:ascii="Calibri" w:hAnsi="Calibri"/>
                <w:b/>
                <w:bCs/>
              </w:rPr>
            </w:pPr>
            <w:r>
              <w:rPr>
                <w:rFonts w:ascii="Calibri" w:hAnsi="Calibri"/>
                <w:b/>
                <w:bCs/>
                <w:sz w:val="22"/>
              </w:rPr>
              <w:t>%</w:t>
            </w:r>
          </w:p>
        </w:tc>
        <w:tc>
          <w:tcPr>
            <w:tcW w:w="1260" w:type="dxa"/>
          </w:tcPr>
          <w:p w14:paraId="04D936DF" w14:textId="77777777" w:rsidR="000B3F50" w:rsidRDefault="000B3F50" w:rsidP="00CD48ED">
            <w:pPr>
              <w:ind w:right="-720"/>
              <w:rPr>
                <w:rFonts w:ascii="Calibri" w:hAnsi="Calibri"/>
                <w:b/>
                <w:bCs/>
              </w:rPr>
            </w:pPr>
            <w:r>
              <w:rPr>
                <w:rFonts w:ascii="Calibri" w:hAnsi="Calibri"/>
                <w:b/>
                <w:bCs/>
                <w:sz w:val="22"/>
              </w:rPr>
              <w:t>#</w:t>
            </w:r>
          </w:p>
        </w:tc>
        <w:tc>
          <w:tcPr>
            <w:tcW w:w="990" w:type="dxa"/>
          </w:tcPr>
          <w:p w14:paraId="1C1AB00D" w14:textId="77777777" w:rsidR="000B3F50" w:rsidRDefault="000B3F50" w:rsidP="00CD48ED">
            <w:pPr>
              <w:ind w:right="-720"/>
              <w:rPr>
                <w:rFonts w:ascii="Calibri" w:hAnsi="Calibri"/>
                <w:b/>
                <w:bCs/>
              </w:rPr>
            </w:pPr>
            <w:r>
              <w:rPr>
                <w:rFonts w:ascii="Calibri" w:hAnsi="Calibri"/>
                <w:b/>
                <w:bCs/>
                <w:sz w:val="22"/>
              </w:rPr>
              <w:t>%</w:t>
            </w:r>
          </w:p>
        </w:tc>
        <w:tc>
          <w:tcPr>
            <w:tcW w:w="1170" w:type="dxa"/>
          </w:tcPr>
          <w:p w14:paraId="46E0AE8D" w14:textId="77777777" w:rsidR="000B3F50" w:rsidRDefault="000B3F50" w:rsidP="00CD48ED">
            <w:pPr>
              <w:ind w:right="-720"/>
              <w:rPr>
                <w:rFonts w:ascii="Calibri" w:hAnsi="Calibri"/>
                <w:b/>
                <w:bCs/>
              </w:rPr>
            </w:pPr>
            <w:r>
              <w:rPr>
                <w:rFonts w:ascii="Calibri" w:hAnsi="Calibri"/>
                <w:b/>
                <w:bCs/>
                <w:sz w:val="22"/>
              </w:rPr>
              <w:t>#</w:t>
            </w:r>
          </w:p>
        </w:tc>
        <w:tc>
          <w:tcPr>
            <w:tcW w:w="990" w:type="dxa"/>
          </w:tcPr>
          <w:p w14:paraId="34952A2B" w14:textId="77777777" w:rsidR="000B3F50" w:rsidRDefault="000B3F50" w:rsidP="00CD48ED">
            <w:pPr>
              <w:ind w:right="-720"/>
              <w:rPr>
                <w:rFonts w:ascii="Calibri" w:hAnsi="Calibri"/>
                <w:b/>
                <w:bCs/>
              </w:rPr>
            </w:pPr>
            <w:r>
              <w:rPr>
                <w:rFonts w:ascii="Calibri" w:hAnsi="Calibri"/>
                <w:b/>
                <w:bCs/>
                <w:sz w:val="22"/>
              </w:rPr>
              <w:t>%</w:t>
            </w:r>
          </w:p>
        </w:tc>
      </w:tr>
      <w:tr w:rsidR="000B3F50" w14:paraId="67F8F8E6" w14:textId="77777777" w:rsidTr="00CD48ED">
        <w:trPr>
          <w:jc w:val="center"/>
        </w:trPr>
        <w:tc>
          <w:tcPr>
            <w:tcW w:w="2088" w:type="dxa"/>
          </w:tcPr>
          <w:p w14:paraId="0DD2D480" w14:textId="77777777" w:rsidR="000B3F50" w:rsidRDefault="000B3F50" w:rsidP="00CD48ED">
            <w:pPr>
              <w:ind w:right="-720"/>
              <w:rPr>
                <w:rFonts w:ascii="Calibri" w:hAnsi="Calibri"/>
                <w:sz w:val="20"/>
              </w:rPr>
            </w:pPr>
            <w:r>
              <w:rPr>
                <w:rFonts w:ascii="Calibri" w:hAnsi="Calibri"/>
                <w:sz w:val="20"/>
              </w:rPr>
              <w:t>Under 5 Years</w:t>
            </w:r>
          </w:p>
        </w:tc>
        <w:tc>
          <w:tcPr>
            <w:tcW w:w="1080" w:type="dxa"/>
          </w:tcPr>
          <w:p w14:paraId="6C2EDE41" w14:textId="77777777" w:rsidR="000B3F50" w:rsidRPr="00345617" w:rsidRDefault="000B3F50" w:rsidP="00CD48ED">
            <w:pPr>
              <w:pStyle w:val="ecmsonormal"/>
              <w:rPr>
                <w:rFonts w:ascii="Calibri" w:hAnsi="Calibri"/>
                <w:sz w:val="20"/>
                <w:szCs w:val="20"/>
              </w:rPr>
            </w:pPr>
            <w:r>
              <w:rPr>
                <w:rFonts w:ascii="Calibri" w:hAnsi="Calibri"/>
                <w:sz w:val="20"/>
                <w:szCs w:val="20"/>
              </w:rPr>
              <w:t>1,869</w:t>
            </w:r>
          </w:p>
        </w:tc>
        <w:tc>
          <w:tcPr>
            <w:tcW w:w="1080" w:type="dxa"/>
          </w:tcPr>
          <w:p w14:paraId="5D1166D0" w14:textId="77777777" w:rsidR="000B3F50" w:rsidRPr="00345617" w:rsidRDefault="000B3F50" w:rsidP="00CD48ED">
            <w:pPr>
              <w:pStyle w:val="ecmsonormal"/>
              <w:rPr>
                <w:rFonts w:ascii="Calibri" w:hAnsi="Calibri"/>
                <w:sz w:val="20"/>
                <w:szCs w:val="20"/>
              </w:rPr>
            </w:pPr>
            <w:r>
              <w:rPr>
                <w:rFonts w:ascii="Calibri" w:hAnsi="Calibri"/>
                <w:sz w:val="20"/>
                <w:szCs w:val="20"/>
              </w:rPr>
              <w:t>6.5</w:t>
            </w:r>
          </w:p>
        </w:tc>
        <w:tc>
          <w:tcPr>
            <w:tcW w:w="1260" w:type="dxa"/>
          </w:tcPr>
          <w:p w14:paraId="7FA2157F" w14:textId="77777777" w:rsidR="000B3F50" w:rsidRDefault="000B3F50" w:rsidP="00CD48ED">
            <w:pPr>
              <w:ind w:right="-720"/>
              <w:rPr>
                <w:rFonts w:ascii="Calibri" w:hAnsi="Calibri"/>
                <w:sz w:val="20"/>
              </w:rPr>
            </w:pPr>
            <w:r>
              <w:rPr>
                <w:rFonts w:ascii="Calibri" w:hAnsi="Calibri"/>
                <w:sz w:val="20"/>
              </w:rPr>
              <w:t>1,438</w:t>
            </w:r>
          </w:p>
        </w:tc>
        <w:tc>
          <w:tcPr>
            <w:tcW w:w="990" w:type="dxa"/>
          </w:tcPr>
          <w:p w14:paraId="081FA479" w14:textId="77777777" w:rsidR="000B3F50" w:rsidRDefault="000B3F50" w:rsidP="00CD48ED">
            <w:pPr>
              <w:ind w:right="-720"/>
              <w:rPr>
                <w:rFonts w:ascii="Calibri" w:hAnsi="Calibri"/>
                <w:sz w:val="20"/>
              </w:rPr>
            </w:pPr>
            <w:r>
              <w:rPr>
                <w:rFonts w:ascii="Calibri" w:hAnsi="Calibri"/>
                <w:sz w:val="20"/>
              </w:rPr>
              <w:t>4.9</w:t>
            </w:r>
          </w:p>
        </w:tc>
        <w:tc>
          <w:tcPr>
            <w:tcW w:w="1170" w:type="dxa"/>
          </w:tcPr>
          <w:p w14:paraId="40F568D5" w14:textId="77777777" w:rsidR="000B3F50" w:rsidRDefault="000B3F50" w:rsidP="00CD48ED">
            <w:pPr>
              <w:ind w:right="-720"/>
              <w:rPr>
                <w:rFonts w:ascii="Calibri" w:hAnsi="Calibri"/>
                <w:sz w:val="20"/>
              </w:rPr>
            </w:pPr>
            <w:r>
              <w:rPr>
                <w:rFonts w:ascii="Calibri" w:hAnsi="Calibri"/>
                <w:sz w:val="20"/>
              </w:rPr>
              <w:t>1,650</w:t>
            </w:r>
          </w:p>
        </w:tc>
        <w:tc>
          <w:tcPr>
            <w:tcW w:w="990" w:type="dxa"/>
          </w:tcPr>
          <w:p w14:paraId="21C39A08" w14:textId="77777777" w:rsidR="000B3F50" w:rsidRDefault="000B3F50" w:rsidP="00CD48ED">
            <w:pPr>
              <w:ind w:right="-720"/>
              <w:rPr>
                <w:rFonts w:ascii="Calibri" w:hAnsi="Calibri"/>
                <w:sz w:val="20"/>
              </w:rPr>
            </w:pPr>
            <w:r>
              <w:rPr>
                <w:rFonts w:ascii="Calibri" w:hAnsi="Calibri"/>
                <w:sz w:val="20"/>
              </w:rPr>
              <w:t>5.4</w:t>
            </w:r>
          </w:p>
        </w:tc>
      </w:tr>
      <w:tr w:rsidR="000B3F50" w14:paraId="3AEECD0E" w14:textId="77777777" w:rsidTr="00CD48ED">
        <w:trPr>
          <w:cantSplit/>
          <w:jc w:val="center"/>
        </w:trPr>
        <w:tc>
          <w:tcPr>
            <w:tcW w:w="2088" w:type="dxa"/>
          </w:tcPr>
          <w:p w14:paraId="55718125" w14:textId="77777777" w:rsidR="000B3F50" w:rsidRDefault="000B3F50" w:rsidP="00CD48ED">
            <w:pPr>
              <w:ind w:right="-720"/>
              <w:rPr>
                <w:rFonts w:ascii="Calibri" w:hAnsi="Calibri"/>
                <w:sz w:val="20"/>
              </w:rPr>
            </w:pPr>
            <w:r>
              <w:rPr>
                <w:rFonts w:ascii="Calibri" w:hAnsi="Calibri"/>
                <w:sz w:val="20"/>
              </w:rPr>
              <w:t>5 –14 Years</w:t>
            </w:r>
          </w:p>
        </w:tc>
        <w:tc>
          <w:tcPr>
            <w:tcW w:w="1080" w:type="dxa"/>
          </w:tcPr>
          <w:p w14:paraId="7E74505D" w14:textId="77777777" w:rsidR="000B3F50" w:rsidRPr="00345617" w:rsidRDefault="000B3F50" w:rsidP="00CD48ED">
            <w:pPr>
              <w:pStyle w:val="ecmsonormal"/>
              <w:rPr>
                <w:rFonts w:ascii="Calibri" w:hAnsi="Calibri"/>
                <w:sz w:val="20"/>
                <w:szCs w:val="20"/>
              </w:rPr>
            </w:pPr>
            <w:r>
              <w:rPr>
                <w:rFonts w:ascii="Calibri" w:hAnsi="Calibri"/>
                <w:sz w:val="20"/>
                <w:szCs w:val="20"/>
              </w:rPr>
              <w:t>4,952</w:t>
            </w:r>
          </w:p>
        </w:tc>
        <w:tc>
          <w:tcPr>
            <w:tcW w:w="1080" w:type="dxa"/>
          </w:tcPr>
          <w:p w14:paraId="4F3BFD84"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0" w:type="dxa"/>
          </w:tcPr>
          <w:p w14:paraId="4B798300" w14:textId="77777777" w:rsidR="000B3F50" w:rsidRDefault="000B3F50" w:rsidP="00CD48ED">
            <w:pPr>
              <w:ind w:right="-720"/>
              <w:rPr>
                <w:rFonts w:ascii="Calibri" w:hAnsi="Calibri"/>
                <w:sz w:val="20"/>
              </w:rPr>
            </w:pPr>
            <w:r>
              <w:rPr>
                <w:rFonts w:ascii="Calibri" w:hAnsi="Calibri"/>
                <w:sz w:val="20"/>
              </w:rPr>
              <w:t>4,301</w:t>
            </w:r>
          </w:p>
        </w:tc>
        <w:tc>
          <w:tcPr>
            <w:tcW w:w="990" w:type="dxa"/>
          </w:tcPr>
          <w:p w14:paraId="0FA36CDF" w14:textId="77777777" w:rsidR="000B3F50" w:rsidRDefault="000B3F50" w:rsidP="00CD48ED">
            <w:pPr>
              <w:ind w:right="-720"/>
              <w:rPr>
                <w:rFonts w:ascii="Calibri" w:hAnsi="Calibri"/>
                <w:sz w:val="20"/>
              </w:rPr>
            </w:pPr>
            <w:r>
              <w:rPr>
                <w:rFonts w:ascii="Calibri" w:hAnsi="Calibri"/>
                <w:sz w:val="20"/>
              </w:rPr>
              <w:t>14.6</w:t>
            </w:r>
          </w:p>
        </w:tc>
        <w:tc>
          <w:tcPr>
            <w:tcW w:w="1170" w:type="dxa"/>
          </w:tcPr>
          <w:p w14:paraId="0B9460A3" w14:textId="77777777" w:rsidR="000B3F50" w:rsidRDefault="000B3F50" w:rsidP="00CD48ED">
            <w:pPr>
              <w:ind w:right="-720"/>
              <w:rPr>
                <w:rFonts w:ascii="Calibri" w:hAnsi="Calibri"/>
                <w:sz w:val="20"/>
              </w:rPr>
            </w:pPr>
            <w:r>
              <w:rPr>
                <w:rFonts w:ascii="Calibri" w:hAnsi="Calibri"/>
                <w:sz w:val="20"/>
              </w:rPr>
              <w:t>4,106</w:t>
            </w:r>
          </w:p>
        </w:tc>
        <w:tc>
          <w:tcPr>
            <w:tcW w:w="990" w:type="dxa"/>
          </w:tcPr>
          <w:p w14:paraId="564BF47A" w14:textId="77777777" w:rsidR="000B3F50" w:rsidRDefault="000B3F50" w:rsidP="00CD48ED">
            <w:pPr>
              <w:ind w:right="-720"/>
              <w:rPr>
                <w:rFonts w:ascii="Calibri" w:hAnsi="Calibri"/>
                <w:sz w:val="20"/>
              </w:rPr>
            </w:pPr>
            <w:r>
              <w:rPr>
                <w:rFonts w:ascii="Calibri" w:hAnsi="Calibri"/>
                <w:sz w:val="20"/>
              </w:rPr>
              <w:t>13.4</w:t>
            </w:r>
          </w:p>
        </w:tc>
      </w:tr>
      <w:tr w:rsidR="000B3F50" w14:paraId="5A71D484" w14:textId="77777777" w:rsidTr="00CD48ED">
        <w:trPr>
          <w:cantSplit/>
          <w:jc w:val="center"/>
        </w:trPr>
        <w:tc>
          <w:tcPr>
            <w:tcW w:w="2088" w:type="dxa"/>
          </w:tcPr>
          <w:p w14:paraId="763D58AA" w14:textId="77777777" w:rsidR="000B3F50" w:rsidRDefault="000B3F50" w:rsidP="00CD48ED">
            <w:pPr>
              <w:ind w:right="-720"/>
              <w:rPr>
                <w:rFonts w:ascii="Calibri" w:hAnsi="Calibri"/>
                <w:sz w:val="20"/>
              </w:rPr>
            </w:pPr>
            <w:r>
              <w:rPr>
                <w:rFonts w:ascii="Calibri" w:hAnsi="Calibri"/>
                <w:sz w:val="20"/>
              </w:rPr>
              <w:t xml:space="preserve">15 – 19 Years </w:t>
            </w:r>
          </w:p>
        </w:tc>
        <w:tc>
          <w:tcPr>
            <w:tcW w:w="1080" w:type="dxa"/>
          </w:tcPr>
          <w:p w14:paraId="2A7F7602" w14:textId="77777777" w:rsidR="000B3F50" w:rsidRPr="00345617" w:rsidRDefault="000B3F50" w:rsidP="00CD48ED">
            <w:pPr>
              <w:pStyle w:val="ecmsonormal"/>
              <w:rPr>
                <w:rFonts w:ascii="Calibri" w:hAnsi="Calibri"/>
                <w:sz w:val="20"/>
                <w:szCs w:val="20"/>
              </w:rPr>
            </w:pPr>
            <w:r>
              <w:rPr>
                <w:rFonts w:ascii="Calibri" w:hAnsi="Calibri"/>
                <w:sz w:val="20"/>
                <w:szCs w:val="20"/>
              </w:rPr>
              <w:t>1,862</w:t>
            </w:r>
          </w:p>
        </w:tc>
        <w:tc>
          <w:tcPr>
            <w:tcW w:w="1080" w:type="dxa"/>
          </w:tcPr>
          <w:p w14:paraId="76DEF521" w14:textId="77777777" w:rsidR="000B3F50" w:rsidRPr="00345617" w:rsidRDefault="000B3F50" w:rsidP="00CD48ED">
            <w:pPr>
              <w:pStyle w:val="ecmsonormal"/>
              <w:rPr>
                <w:rFonts w:ascii="Calibri" w:hAnsi="Calibri"/>
                <w:sz w:val="20"/>
                <w:szCs w:val="20"/>
              </w:rPr>
            </w:pPr>
            <w:r>
              <w:rPr>
                <w:rFonts w:ascii="Calibri" w:hAnsi="Calibri"/>
                <w:sz w:val="20"/>
                <w:szCs w:val="20"/>
              </w:rPr>
              <w:t>6.4</w:t>
            </w:r>
          </w:p>
        </w:tc>
        <w:tc>
          <w:tcPr>
            <w:tcW w:w="1260" w:type="dxa"/>
          </w:tcPr>
          <w:p w14:paraId="626EDAFD" w14:textId="77777777" w:rsidR="000B3F50" w:rsidRDefault="000B3F50" w:rsidP="00CD48ED">
            <w:pPr>
              <w:ind w:right="-720"/>
              <w:rPr>
                <w:rFonts w:ascii="Calibri" w:hAnsi="Calibri"/>
                <w:sz w:val="20"/>
              </w:rPr>
            </w:pPr>
            <w:r>
              <w:rPr>
                <w:rFonts w:ascii="Calibri" w:hAnsi="Calibri"/>
                <w:sz w:val="20"/>
              </w:rPr>
              <w:t>2,165</w:t>
            </w:r>
          </w:p>
        </w:tc>
        <w:tc>
          <w:tcPr>
            <w:tcW w:w="990" w:type="dxa"/>
          </w:tcPr>
          <w:p w14:paraId="51D3FA3E" w14:textId="77777777" w:rsidR="000B3F50" w:rsidRDefault="000B3F50" w:rsidP="00CD48ED">
            <w:pPr>
              <w:ind w:right="-720"/>
              <w:rPr>
                <w:rFonts w:ascii="Calibri" w:hAnsi="Calibri"/>
                <w:sz w:val="20"/>
              </w:rPr>
            </w:pPr>
            <w:r>
              <w:rPr>
                <w:rFonts w:ascii="Calibri" w:hAnsi="Calibri"/>
                <w:sz w:val="20"/>
              </w:rPr>
              <w:t>7.3</w:t>
            </w:r>
          </w:p>
        </w:tc>
        <w:tc>
          <w:tcPr>
            <w:tcW w:w="1170" w:type="dxa"/>
          </w:tcPr>
          <w:p w14:paraId="4C3410A9" w14:textId="77777777" w:rsidR="000B3F50" w:rsidRDefault="000B3F50" w:rsidP="00CD48ED">
            <w:pPr>
              <w:ind w:right="-720"/>
              <w:rPr>
                <w:rFonts w:ascii="Calibri" w:hAnsi="Calibri"/>
                <w:sz w:val="20"/>
              </w:rPr>
            </w:pPr>
            <w:r>
              <w:rPr>
                <w:rFonts w:ascii="Calibri" w:hAnsi="Calibri"/>
                <w:sz w:val="20"/>
              </w:rPr>
              <w:t>1,829</w:t>
            </w:r>
          </w:p>
        </w:tc>
        <w:tc>
          <w:tcPr>
            <w:tcW w:w="990" w:type="dxa"/>
          </w:tcPr>
          <w:p w14:paraId="04701211" w14:textId="77777777" w:rsidR="000B3F50" w:rsidRDefault="000B3F50" w:rsidP="00CD48ED">
            <w:pPr>
              <w:ind w:right="-720"/>
              <w:rPr>
                <w:rFonts w:ascii="Calibri" w:hAnsi="Calibri"/>
                <w:sz w:val="20"/>
              </w:rPr>
            </w:pPr>
            <w:r>
              <w:rPr>
                <w:rFonts w:ascii="Calibri" w:hAnsi="Calibri"/>
                <w:sz w:val="20"/>
              </w:rPr>
              <w:t>5.9</w:t>
            </w:r>
          </w:p>
        </w:tc>
      </w:tr>
      <w:tr w:rsidR="000B3F50" w14:paraId="726CA723" w14:textId="77777777" w:rsidTr="00CD48ED">
        <w:trPr>
          <w:jc w:val="center"/>
        </w:trPr>
        <w:tc>
          <w:tcPr>
            <w:tcW w:w="2088" w:type="dxa"/>
          </w:tcPr>
          <w:p w14:paraId="5BF2AA96" w14:textId="77777777" w:rsidR="000B3F50" w:rsidRDefault="000B3F50" w:rsidP="00CD48ED">
            <w:pPr>
              <w:ind w:right="-720"/>
              <w:rPr>
                <w:rFonts w:ascii="Calibri" w:hAnsi="Calibri"/>
                <w:sz w:val="20"/>
              </w:rPr>
            </w:pPr>
            <w:r>
              <w:rPr>
                <w:rFonts w:ascii="Calibri" w:hAnsi="Calibri"/>
                <w:sz w:val="20"/>
              </w:rPr>
              <w:t xml:space="preserve">20 – 24 Years </w:t>
            </w:r>
          </w:p>
        </w:tc>
        <w:tc>
          <w:tcPr>
            <w:tcW w:w="1080" w:type="dxa"/>
          </w:tcPr>
          <w:p w14:paraId="07872625" w14:textId="77777777" w:rsidR="000B3F50" w:rsidRPr="00345617" w:rsidRDefault="000B3F50" w:rsidP="00825439">
            <w:pPr>
              <w:pStyle w:val="ecmsonormal"/>
              <w:rPr>
                <w:rFonts w:ascii="Calibri" w:hAnsi="Calibri"/>
                <w:sz w:val="20"/>
                <w:szCs w:val="20"/>
              </w:rPr>
            </w:pPr>
            <w:r>
              <w:rPr>
                <w:rFonts w:ascii="Calibri" w:hAnsi="Calibri"/>
                <w:sz w:val="20"/>
                <w:szCs w:val="20"/>
              </w:rPr>
              <w:t>983</w:t>
            </w:r>
          </w:p>
        </w:tc>
        <w:tc>
          <w:tcPr>
            <w:tcW w:w="1080" w:type="dxa"/>
          </w:tcPr>
          <w:p w14:paraId="66CF1143" w14:textId="77777777" w:rsidR="000B3F50" w:rsidRPr="00345617" w:rsidRDefault="000B3F50" w:rsidP="00CD48ED">
            <w:pPr>
              <w:pStyle w:val="ecmsonormal"/>
              <w:rPr>
                <w:rFonts w:ascii="Calibri" w:hAnsi="Calibri"/>
                <w:sz w:val="20"/>
                <w:szCs w:val="20"/>
              </w:rPr>
            </w:pPr>
            <w:r>
              <w:rPr>
                <w:rFonts w:ascii="Calibri" w:hAnsi="Calibri"/>
                <w:sz w:val="20"/>
                <w:szCs w:val="20"/>
              </w:rPr>
              <w:t>3.4</w:t>
            </w:r>
          </w:p>
        </w:tc>
        <w:tc>
          <w:tcPr>
            <w:tcW w:w="1260" w:type="dxa"/>
          </w:tcPr>
          <w:p w14:paraId="30D61D8B" w14:textId="77777777" w:rsidR="000B3F50" w:rsidRDefault="000B3F50" w:rsidP="00CD48ED">
            <w:pPr>
              <w:ind w:right="-720"/>
              <w:rPr>
                <w:rFonts w:ascii="Calibri" w:hAnsi="Calibri"/>
                <w:sz w:val="20"/>
              </w:rPr>
            </w:pPr>
            <w:r>
              <w:rPr>
                <w:rFonts w:ascii="Calibri" w:hAnsi="Calibri"/>
                <w:sz w:val="20"/>
              </w:rPr>
              <w:t>1,295</w:t>
            </w:r>
          </w:p>
        </w:tc>
        <w:tc>
          <w:tcPr>
            <w:tcW w:w="990" w:type="dxa"/>
          </w:tcPr>
          <w:p w14:paraId="21382E0C" w14:textId="77777777" w:rsidR="000B3F50" w:rsidRDefault="000B3F50" w:rsidP="00CD48ED">
            <w:pPr>
              <w:ind w:right="-720"/>
              <w:rPr>
                <w:rFonts w:ascii="Calibri" w:hAnsi="Calibri"/>
                <w:sz w:val="20"/>
              </w:rPr>
            </w:pPr>
            <w:r>
              <w:rPr>
                <w:rFonts w:ascii="Calibri" w:hAnsi="Calibri"/>
                <w:sz w:val="20"/>
              </w:rPr>
              <w:t>4.4</w:t>
            </w:r>
          </w:p>
        </w:tc>
        <w:tc>
          <w:tcPr>
            <w:tcW w:w="1170" w:type="dxa"/>
          </w:tcPr>
          <w:p w14:paraId="034B3FF4" w14:textId="77777777" w:rsidR="000B3F50" w:rsidRDefault="000B3F50" w:rsidP="00CD48ED">
            <w:pPr>
              <w:ind w:right="-720"/>
              <w:rPr>
                <w:rFonts w:ascii="Calibri" w:hAnsi="Calibri"/>
                <w:sz w:val="20"/>
              </w:rPr>
            </w:pPr>
            <w:r>
              <w:rPr>
                <w:rFonts w:ascii="Calibri" w:hAnsi="Calibri"/>
                <w:sz w:val="20"/>
              </w:rPr>
              <w:t>1,156</w:t>
            </w:r>
          </w:p>
        </w:tc>
        <w:tc>
          <w:tcPr>
            <w:tcW w:w="990" w:type="dxa"/>
          </w:tcPr>
          <w:p w14:paraId="78E132F4" w14:textId="77777777" w:rsidR="000B3F50" w:rsidRDefault="000B3F50" w:rsidP="00CD48ED">
            <w:pPr>
              <w:ind w:right="-720"/>
              <w:rPr>
                <w:rFonts w:ascii="Calibri" w:hAnsi="Calibri"/>
                <w:sz w:val="20"/>
              </w:rPr>
            </w:pPr>
            <w:r>
              <w:rPr>
                <w:rFonts w:ascii="Calibri" w:hAnsi="Calibri"/>
                <w:sz w:val="20"/>
              </w:rPr>
              <w:t>3.8</w:t>
            </w:r>
          </w:p>
        </w:tc>
      </w:tr>
      <w:tr w:rsidR="000B3F50" w14:paraId="04F78E1E" w14:textId="77777777" w:rsidTr="00CD48ED">
        <w:trPr>
          <w:cantSplit/>
          <w:jc w:val="center"/>
        </w:trPr>
        <w:tc>
          <w:tcPr>
            <w:tcW w:w="2088" w:type="dxa"/>
          </w:tcPr>
          <w:p w14:paraId="4D54DB3B" w14:textId="77777777" w:rsidR="000B3F50" w:rsidRDefault="000B3F50" w:rsidP="00CD48ED">
            <w:pPr>
              <w:ind w:right="-720"/>
              <w:rPr>
                <w:rFonts w:ascii="Calibri" w:hAnsi="Calibri"/>
                <w:sz w:val="20"/>
              </w:rPr>
            </w:pPr>
            <w:r>
              <w:rPr>
                <w:rFonts w:ascii="Calibri" w:hAnsi="Calibri"/>
                <w:sz w:val="20"/>
              </w:rPr>
              <w:t>25 – 34 Years</w:t>
            </w:r>
          </w:p>
        </w:tc>
        <w:tc>
          <w:tcPr>
            <w:tcW w:w="1080" w:type="dxa"/>
          </w:tcPr>
          <w:p w14:paraId="4B6B4777" w14:textId="77777777" w:rsidR="000B3F50" w:rsidRPr="00345617" w:rsidRDefault="000B3F50" w:rsidP="00CD48ED">
            <w:pPr>
              <w:pStyle w:val="ecmsonormal"/>
              <w:rPr>
                <w:rFonts w:ascii="Calibri" w:hAnsi="Calibri"/>
                <w:sz w:val="20"/>
                <w:szCs w:val="20"/>
              </w:rPr>
            </w:pPr>
            <w:r>
              <w:rPr>
                <w:rFonts w:ascii="Calibri" w:hAnsi="Calibri"/>
                <w:sz w:val="20"/>
                <w:szCs w:val="20"/>
              </w:rPr>
              <w:t>1,694</w:t>
            </w:r>
          </w:p>
        </w:tc>
        <w:tc>
          <w:tcPr>
            <w:tcW w:w="1080" w:type="dxa"/>
          </w:tcPr>
          <w:p w14:paraId="6DA182AF" w14:textId="77777777" w:rsidR="000B3F50" w:rsidRPr="00345617" w:rsidRDefault="000B3F50" w:rsidP="00CD48ED">
            <w:pPr>
              <w:pStyle w:val="ecmsonormal"/>
              <w:rPr>
                <w:rFonts w:ascii="Calibri" w:hAnsi="Calibri"/>
                <w:sz w:val="20"/>
                <w:szCs w:val="20"/>
              </w:rPr>
            </w:pPr>
            <w:r>
              <w:rPr>
                <w:rFonts w:ascii="Calibri" w:hAnsi="Calibri"/>
                <w:sz w:val="20"/>
                <w:szCs w:val="20"/>
              </w:rPr>
              <w:t>5.9</w:t>
            </w:r>
          </w:p>
        </w:tc>
        <w:tc>
          <w:tcPr>
            <w:tcW w:w="1260" w:type="dxa"/>
          </w:tcPr>
          <w:p w14:paraId="681F6756" w14:textId="77777777" w:rsidR="000B3F50" w:rsidRDefault="000B3F50" w:rsidP="00CD48ED">
            <w:pPr>
              <w:ind w:right="-720"/>
              <w:rPr>
                <w:rFonts w:ascii="Calibri" w:hAnsi="Calibri"/>
                <w:sz w:val="20"/>
              </w:rPr>
            </w:pPr>
            <w:r>
              <w:rPr>
                <w:rFonts w:ascii="Calibri" w:hAnsi="Calibri"/>
                <w:sz w:val="20"/>
              </w:rPr>
              <w:t>1,968</w:t>
            </w:r>
          </w:p>
        </w:tc>
        <w:tc>
          <w:tcPr>
            <w:tcW w:w="990" w:type="dxa"/>
          </w:tcPr>
          <w:p w14:paraId="17CC4083" w14:textId="77777777" w:rsidR="000B3F50" w:rsidRDefault="000B3F50" w:rsidP="00CD48ED">
            <w:pPr>
              <w:ind w:right="-720"/>
              <w:rPr>
                <w:rFonts w:ascii="Calibri" w:hAnsi="Calibri"/>
                <w:sz w:val="20"/>
              </w:rPr>
            </w:pPr>
            <w:r>
              <w:rPr>
                <w:rFonts w:ascii="Calibri" w:hAnsi="Calibri"/>
                <w:sz w:val="20"/>
              </w:rPr>
              <w:t>6.7</w:t>
            </w:r>
          </w:p>
        </w:tc>
        <w:tc>
          <w:tcPr>
            <w:tcW w:w="1170" w:type="dxa"/>
          </w:tcPr>
          <w:p w14:paraId="11D39525" w14:textId="77777777" w:rsidR="000B3F50" w:rsidRDefault="000B3F50" w:rsidP="00CD48ED">
            <w:pPr>
              <w:ind w:right="-720"/>
              <w:rPr>
                <w:rFonts w:ascii="Calibri" w:hAnsi="Calibri"/>
                <w:sz w:val="20"/>
              </w:rPr>
            </w:pPr>
            <w:r>
              <w:rPr>
                <w:rFonts w:ascii="Calibri" w:hAnsi="Calibri"/>
                <w:sz w:val="20"/>
              </w:rPr>
              <w:t>2,524</w:t>
            </w:r>
          </w:p>
        </w:tc>
        <w:tc>
          <w:tcPr>
            <w:tcW w:w="990" w:type="dxa"/>
          </w:tcPr>
          <w:p w14:paraId="7D0D5EB7" w14:textId="77777777" w:rsidR="000B3F50" w:rsidRDefault="000B3F50" w:rsidP="00CD48ED">
            <w:pPr>
              <w:ind w:right="-720"/>
              <w:rPr>
                <w:rFonts w:ascii="Calibri" w:hAnsi="Calibri"/>
                <w:sz w:val="20"/>
              </w:rPr>
            </w:pPr>
            <w:r>
              <w:rPr>
                <w:rFonts w:ascii="Calibri" w:hAnsi="Calibri"/>
                <w:sz w:val="20"/>
              </w:rPr>
              <w:t>8.2</w:t>
            </w:r>
          </w:p>
        </w:tc>
      </w:tr>
      <w:tr w:rsidR="000B3F50" w14:paraId="695544A9" w14:textId="77777777" w:rsidTr="00CD48ED">
        <w:trPr>
          <w:cantSplit/>
          <w:jc w:val="center"/>
        </w:trPr>
        <w:tc>
          <w:tcPr>
            <w:tcW w:w="2088" w:type="dxa"/>
          </w:tcPr>
          <w:p w14:paraId="2813BD49" w14:textId="77777777" w:rsidR="000B3F50" w:rsidRDefault="000B3F50" w:rsidP="00CD48ED">
            <w:pPr>
              <w:ind w:right="-720"/>
              <w:rPr>
                <w:rFonts w:ascii="Calibri" w:hAnsi="Calibri"/>
                <w:sz w:val="20"/>
              </w:rPr>
            </w:pPr>
            <w:r>
              <w:rPr>
                <w:rFonts w:ascii="Calibri" w:hAnsi="Calibri"/>
                <w:sz w:val="20"/>
              </w:rPr>
              <w:t>35 – 44 Years</w:t>
            </w:r>
          </w:p>
        </w:tc>
        <w:tc>
          <w:tcPr>
            <w:tcW w:w="1080" w:type="dxa"/>
          </w:tcPr>
          <w:p w14:paraId="18516FB1" w14:textId="77777777" w:rsidR="000B3F50" w:rsidRPr="00345617" w:rsidRDefault="000B3F50" w:rsidP="00CD48ED">
            <w:pPr>
              <w:pStyle w:val="ecmsonormal"/>
              <w:rPr>
                <w:rFonts w:ascii="Calibri" w:hAnsi="Calibri"/>
                <w:sz w:val="20"/>
                <w:szCs w:val="20"/>
              </w:rPr>
            </w:pPr>
            <w:r>
              <w:rPr>
                <w:rFonts w:ascii="Calibri" w:hAnsi="Calibri"/>
                <w:sz w:val="20"/>
                <w:szCs w:val="20"/>
              </w:rPr>
              <w:t>4,046</w:t>
            </w:r>
          </w:p>
        </w:tc>
        <w:tc>
          <w:tcPr>
            <w:tcW w:w="1080" w:type="dxa"/>
          </w:tcPr>
          <w:p w14:paraId="0736886F" w14:textId="77777777" w:rsidR="000B3F50" w:rsidRPr="00345617" w:rsidRDefault="000B3F50" w:rsidP="00CD48ED">
            <w:pPr>
              <w:pStyle w:val="ecmsonormal"/>
              <w:rPr>
                <w:rFonts w:ascii="Calibri" w:hAnsi="Calibri"/>
                <w:sz w:val="20"/>
                <w:szCs w:val="20"/>
              </w:rPr>
            </w:pPr>
            <w:r>
              <w:rPr>
                <w:rFonts w:ascii="Calibri" w:hAnsi="Calibri"/>
                <w:sz w:val="20"/>
                <w:szCs w:val="20"/>
              </w:rPr>
              <w:t>14.0</w:t>
            </w:r>
          </w:p>
        </w:tc>
        <w:tc>
          <w:tcPr>
            <w:tcW w:w="1260" w:type="dxa"/>
          </w:tcPr>
          <w:p w14:paraId="521CC777" w14:textId="77777777" w:rsidR="000B3F50" w:rsidRDefault="000B3F50" w:rsidP="00CD48ED">
            <w:pPr>
              <w:ind w:right="-720"/>
              <w:rPr>
                <w:rFonts w:ascii="Calibri" w:hAnsi="Calibri"/>
                <w:sz w:val="20"/>
              </w:rPr>
            </w:pPr>
            <w:r>
              <w:rPr>
                <w:rFonts w:ascii="Calibri" w:hAnsi="Calibri"/>
                <w:sz w:val="20"/>
              </w:rPr>
              <w:t>3,780</w:t>
            </w:r>
          </w:p>
        </w:tc>
        <w:tc>
          <w:tcPr>
            <w:tcW w:w="990" w:type="dxa"/>
          </w:tcPr>
          <w:p w14:paraId="351D0276" w14:textId="77777777" w:rsidR="000B3F50" w:rsidRDefault="000B3F50" w:rsidP="00CD48ED">
            <w:pPr>
              <w:ind w:right="-720"/>
              <w:rPr>
                <w:rFonts w:ascii="Calibri" w:hAnsi="Calibri"/>
                <w:sz w:val="20"/>
              </w:rPr>
            </w:pPr>
            <w:r>
              <w:rPr>
                <w:rFonts w:ascii="Calibri" w:hAnsi="Calibri"/>
                <w:sz w:val="20"/>
              </w:rPr>
              <w:t>12.8</w:t>
            </w:r>
          </w:p>
        </w:tc>
        <w:tc>
          <w:tcPr>
            <w:tcW w:w="1170" w:type="dxa"/>
          </w:tcPr>
          <w:p w14:paraId="34F447BA" w14:textId="77777777" w:rsidR="000B3F50" w:rsidRDefault="000B3F50" w:rsidP="00CD48ED">
            <w:pPr>
              <w:ind w:right="-720"/>
              <w:rPr>
                <w:rFonts w:ascii="Calibri" w:hAnsi="Calibri"/>
                <w:sz w:val="20"/>
              </w:rPr>
            </w:pPr>
            <w:r>
              <w:rPr>
                <w:rFonts w:ascii="Calibri" w:hAnsi="Calibri"/>
                <w:sz w:val="20"/>
              </w:rPr>
              <w:t>4,181</w:t>
            </w:r>
          </w:p>
        </w:tc>
        <w:tc>
          <w:tcPr>
            <w:tcW w:w="990" w:type="dxa"/>
          </w:tcPr>
          <w:p w14:paraId="1A7082C3" w14:textId="77777777" w:rsidR="000B3F50" w:rsidRDefault="000B3F50" w:rsidP="00CD48ED">
            <w:pPr>
              <w:ind w:right="-720"/>
              <w:rPr>
                <w:rFonts w:ascii="Calibri" w:hAnsi="Calibri"/>
                <w:sz w:val="20"/>
              </w:rPr>
            </w:pPr>
            <w:r>
              <w:rPr>
                <w:rFonts w:ascii="Calibri" w:hAnsi="Calibri"/>
                <w:sz w:val="20"/>
              </w:rPr>
              <w:t>13.6</w:t>
            </w:r>
          </w:p>
        </w:tc>
      </w:tr>
      <w:tr w:rsidR="000B3F50" w14:paraId="6F7DBDEB" w14:textId="77777777" w:rsidTr="00CD48ED">
        <w:trPr>
          <w:jc w:val="center"/>
        </w:trPr>
        <w:tc>
          <w:tcPr>
            <w:tcW w:w="2088" w:type="dxa"/>
          </w:tcPr>
          <w:p w14:paraId="0737EEB9" w14:textId="77777777" w:rsidR="000B3F50" w:rsidRDefault="000B3F50" w:rsidP="00CD48ED">
            <w:pPr>
              <w:ind w:right="-720"/>
              <w:rPr>
                <w:rFonts w:ascii="Calibri" w:hAnsi="Calibri"/>
                <w:sz w:val="20"/>
              </w:rPr>
            </w:pPr>
            <w:r>
              <w:rPr>
                <w:rFonts w:ascii="Calibri" w:hAnsi="Calibri"/>
                <w:sz w:val="20"/>
              </w:rPr>
              <w:t>45 – 54 Years</w:t>
            </w:r>
          </w:p>
        </w:tc>
        <w:tc>
          <w:tcPr>
            <w:tcW w:w="1080" w:type="dxa"/>
          </w:tcPr>
          <w:p w14:paraId="07CDF532" w14:textId="77777777" w:rsidR="000B3F50" w:rsidRPr="00345617" w:rsidRDefault="000B3F50" w:rsidP="00CD48ED">
            <w:pPr>
              <w:pStyle w:val="ecmsonormal"/>
              <w:rPr>
                <w:rFonts w:ascii="Calibri" w:hAnsi="Calibri"/>
                <w:sz w:val="20"/>
                <w:szCs w:val="20"/>
              </w:rPr>
            </w:pPr>
            <w:r>
              <w:rPr>
                <w:rFonts w:ascii="Calibri" w:hAnsi="Calibri"/>
                <w:sz w:val="20"/>
                <w:szCs w:val="20"/>
              </w:rPr>
              <w:t>4,940</w:t>
            </w:r>
          </w:p>
        </w:tc>
        <w:tc>
          <w:tcPr>
            <w:tcW w:w="1080" w:type="dxa"/>
          </w:tcPr>
          <w:p w14:paraId="0344254E"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0" w:type="dxa"/>
          </w:tcPr>
          <w:p w14:paraId="6857E645" w14:textId="77777777" w:rsidR="000B3F50" w:rsidRDefault="000B3F50" w:rsidP="00CD48ED">
            <w:pPr>
              <w:ind w:right="-720"/>
              <w:rPr>
                <w:rFonts w:ascii="Calibri" w:hAnsi="Calibri"/>
                <w:sz w:val="20"/>
              </w:rPr>
            </w:pPr>
            <w:r>
              <w:rPr>
                <w:rFonts w:ascii="Calibri" w:hAnsi="Calibri"/>
                <w:sz w:val="20"/>
              </w:rPr>
              <w:t>4,192</w:t>
            </w:r>
          </w:p>
        </w:tc>
        <w:tc>
          <w:tcPr>
            <w:tcW w:w="990" w:type="dxa"/>
          </w:tcPr>
          <w:p w14:paraId="0F29C31B" w14:textId="77777777" w:rsidR="000B3F50" w:rsidRDefault="000B3F50" w:rsidP="00CD48ED">
            <w:pPr>
              <w:ind w:right="-720"/>
              <w:rPr>
                <w:rFonts w:ascii="Calibri" w:hAnsi="Calibri"/>
                <w:sz w:val="20"/>
              </w:rPr>
            </w:pPr>
            <w:r>
              <w:rPr>
                <w:rFonts w:ascii="Calibri" w:hAnsi="Calibri"/>
                <w:sz w:val="20"/>
              </w:rPr>
              <w:t>14.2</w:t>
            </w:r>
          </w:p>
        </w:tc>
        <w:tc>
          <w:tcPr>
            <w:tcW w:w="1170" w:type="dxa"/>
          </w:tcPr>
          <w:p w14:paraId="502EABB7" w14:textId="77777777" w:rsidR="000B3F50" w:rsidRDefault="000B3F50" w:rsidP="00CD48ED">
            <w:pPr>
              <w:ind w:right="-720"/>
              <w:rPr>
                <w:rFonts w:ascii="Calibri" w:hAnsi="Calibri"/>
                <w:sz w:val="20"/>
              </w:rPr>
            </w:pPr>
            <w:r>
              <w:rPr>
                <w:rFonts w:ascii="Calibri" w:hAnsi="Calibri"/>
                <w:sz w:val="20"/>
              </w:rPr>
              <w:t>4,008</w:t>
            </w:r>
          </w:p>
        </w:tc>
        <w:tc>
          <w:tcPr>
            <w:tcW w:w="990" w:type="dxa"/>
          </w:tcPr>
          <w:p w14:paraId="297E5B35" w14:textId="77777777" w:rsidR="000B3F50" w:rsidRDefault="000B3F50" w:rsidP="00CD48ED">
            <w:pPr>
              <w:ind w:right="-720"/>
              <w:rPr>
                <w:rFonts w:ascii="Calibri" w:hAnsi="Calibri"/>
                <w:sz w:val="20"/>
              </w:rPr>
            </w:pPr>
            <w:r>
              <w:rPr>
                <w:rFonts w:ascii="Calibri" w:hAnsi="Calibri"/>
                <w:sz w:val="20"/>
              </w:rPr>
              <w:t>13.0</w:t>
            </w:r>
          </w:p>
        </w:tc>
      </w:tr>
      <w:tr w:rsidR="000B3F50" w14:paraId="070FC1FD" w14:textId="77777777" w:rsidTr="00CD48ED">
        <w:trPr>
          <w:jc w:val="center"/>
        </w:trPr>
        <w:tc>
          <w:tcPr>
            <w:tcW w:w="2088" w:type="dxa"/>
          </w:tcPr>
          <w:p w14:paraId="45EBCD04" w14:textId="77777777" w:rsidR="000B3F50" w:rsidRDefault="000B3F50" w:rsidP="00CD48ED">
            <w:pPr>
              <w:ind w:right="-720"/>
              <w:rPr>
                <w:rFonts w:ascii="Calibri" w:hAnsi="Calibri"/>
                <w:sz w:val="20"/>
              </w:rPr>
            </w:pPr>
            <w:r>
              <w:rPr>
                <w:rFonts w:ascii="Calibri" w:hAnsi="Calibri"/>
                <w:sz w:val="20"/>
              </w:rPr>
              <w:t>55 – 64 Years</w:t>
            </w:r>
          </w:p>
        </w:tc>
        <w:tc>
          <w:tcPr>
            <w:tcW w:w="1080" w:type="dxa"/>
          </w:tcPr>
          <w:p w14:paraId="0224FAFB" w14:textId="77777777" w:rsidR="000B3F50" w:rsidRPr="00345617" w:rsidRDefault="000B3F50" w:rsidP="00CD48ED">
            <w:pPr>
              <w:pStyle w:val="ecmsonormal"/>
              <w:rPr>
                <w:rFonts w:ascii="Calibri" w:hAnsi="Calibri"/>
                <w:sz w:val="20"/>
                <w:szCs w:val="20"/>
              </w:rPr>
            </w:pPr>
            <w:r>
              <w:rPr>
                <w:rFonts w:ascii="Calibri" w:hAnsi="Calibri"/>
                <w:sz w:val="20"/>
                <w:szCs w:val="20"/>
              </w:rPr>
              <w:t>3,840</w:t>
            </w:r>
          </w:p>
        </w:tc>
        <w:tc>
          <w:tcPr>
            <w:tcW w:w="1080" w:type="dxa"/>
          </w:tcPr>
          <w:p w14:paraId="5FBD3192" w14:textId="77777777" w:rsidR="000B3F50" w:rsidRPr="00345617" w:rsidRDefault="000B3F50" w:rsidP="00CD48ED">
            <w:pPr>
              <w:pStyle w:val="ecmsonormal"/>
              <w:rPr>
                <w:rFonts w:ascii="Calibri" w:hAnsi="Calibri"/>
                <w:sz w:val="20"/>
                <w:szCs w:val="20"/>
              </w:rPr>
            </w:pPr>
            <w:r>
              <w:rPr>
                <w:rFonts w:ascii="Calibri" w:hAnsi="Calibri"/>
                <w:sz w:val="20"/>
                <w:szCs w:val="20"/>
              </w:rPr>
              <w:t>13.3</w:t>
            </w:r>
          </w:p>
        </w:tc>
        <w:tc>
          <w:tcPr>
            <w:tcW w:w="1260" w:type="dxa"/>
          </w:tcPr>
          <w:p w14:paraId="78238554" w14:textId="77777777" w:rsidR="000B3F50" w:rsidRDefault="000B3F50" w:rsidP="00CD48ED">
            <w:pPr>
              <w:ind w:right="-720"/>
              <w:rPr>
                <w:rFonts w:ascii="Calibri" w:hAnsi="Calibri"/>
                <w:sz w:val="20"/>
              </w:rPr>
            </w:pPr>
            <w:r>
              <w:rPr>
                <w:rFonts w:ascii="Calibri" w:hAnsi="Calibri"/>
                <w:sz w:val="20"/>
              </w:rPr>
              <w:t>4,480</w:t>
            </w:r>
          </w:p>
        </w:tc>
        <w:tc>
          <w:tcPr>
            <w:tcW w:w="990" w:type="dxa"/>
          </w:tcPr>
          <w:p w14:paraId="05BEEFD0" w14:textId="77777777" w:rsidR="000B3F50" w:rsidRDefault="000B3F50" w:rsidP="00CD48ED">
            <w:pPr>
              <w:ind w:right="-720"/>
              <w:rPr>
                <w:rFonts w:ascii="Calibri" w:hAnsi="Calibri"/>
                <w:sz w:val="20"/>
              </w:rPr>
            </w:pPr>
            <w:r>
              <w:rPr>
                <w:rFonts w:ascii="Calibri" w:hAnsi="Calibri"/>
                <w:sz w:val="20"/>
              </w:rPr>
              <w:t>15.2</w:t>
            </w:r>
          </w:p>
        </w:tc>
        <w:tc>
          <w:tcPr>
            <w:tcW w:w="1170" w:type="dxa"/>
          </w:tcPr>
          <w:p w14:paraId="0902C1A1" w14:textId="77777777" w:rsidR="000B3F50" w:rsidRDefault="000B3F50" w:rsidP="00CD48ED">
            <w:pPr>
              <w:ind w:right="-720"/>
              <w:rPr>
                <w:rFonts w:ascii="Calibri" w:hAnsi="Calibri"/>
                <w:sz w:val="20"/>
              </w:rPr>
            </w:pPr>
            <w:r>
              <w:rPr>
                <w:rFonts w:ascii="Calibri" w:hAnsi="Calibri"/>
                <w:sz w:val="20"/>
              </w:rPr>
              <w:t>3,813</w:t>
            </w:r>
          </w:p>
        </w:tc>
        <w:tc>
          <w:tcPr>
            <w:tcW w:w="990" w:type="dxa"/>
          </w:tcPr>
          <w:p w14:paraId="49CAE068" w14:textId="77777777" w:rsidR="000B3F50" w:rsidRDefault="000B3F50" w:rsidP="00CD48ED">
            <w:pPr>
              <w:ind w:right="-720"/>
              <w:rPr>
                <w:rFonts w:ascii="Calibri" w:hAnsi="Calibri"/>
                <w:sz w:val="20"/>
              </w:rPr>
            </w:pPr>
            <w:r>
              <w:rPr>
                <w:rFonts w:ascii="Calibri" w:hAnsi="Calibri"/>
                <w:sz w:val="20"/>
              </w:rPr>
              <w:t>12.4</w:t>
            </w:r>
          </w:p>
        </w:tc>
      </w:tr>
      <w:tr w:rsidR="000B3F50" w14:paraId="4648667F" w14:textId="77777777" w:rsidTr="00CD48ED">
        <w:trPr>
          <w:jc w:val="center"/>
        </w:trPr>
        <w:tc>
          <w:tcPr>
            <w:tcW w:w="2088" w:type="dxa"/>
          </w:tcPr>
          <w:p w14:paraId="0291AFFA" w14:textId="77777777" w:rsidR="000B3F50" w:rsidRDefault="000B3F50" w:rsidP="00CD48ED">
            <w:pPr>
              <w:ind w:right="-720"/>
              <w:rPr>
                <w:rFonts w:ascii="Calibri" w:hAnsi="Calibri"/>
                <w:sz w:val="20"/>
              </w:rPr>
            </w:pPr>
            <w:r>
              <w:rPr>
                <w:rFonts w:ascii="Calibri" w:hAnsi="Calibri"/>
                <w:sz w:val="20"/>
              </w:rPr>
              <w:t>65 – 74 Years</w:t>
            </w:r>
          </w:p>
        </w:tc>
        <w:tc>
          <w:tcPr>
            <w:tcW w:w="1080" w:type="dxa"/>
          </w:tcPr>
          <w:p w14:paraId="2A18AB9D" w14:textId="77777777" w:rsidR="000B3F50" w:rsidRPr="00345617" w:rsidRDefault="000B3F50" w:rsidP="00CD48ED">
            <w:pPr>
              <w:pStyle w:val="ecmsonormal"/>
              <w:rPr>
                <w:rFonts w:ascii="Calibri" w:hAnsi="Calibri"/>
                <w:sz w:val="20"/>
                <w:szCs w:val="20"/>
              </w:rPr>
            </w:pPr>
            <w:r>
              <w:rPr>
                <w:rFonts w:ascii="Calibri" w:hAnsi="Calibri"/>
                <w:sz w:val="20"/>
                <w:szCs w:val="20"/>
              </w:rPr>
              <w:t>2,053</w:t>
            </w:r>
          </w:p>
        </w:tc>
        <w:tc>
          <w:tcPr>
            <w:tcW w:w="1080" w:type="dxa"/>
          </w:tcPr>
          <w:p w14:paraId="0F7C7CCF" w14:textId="77777777" w:rsidR="000B3F50" w:rsidRPr="00345617" w:rsidRDefault="000B3F50" w:rsidP="00CD48ED">
            <w:pPr>
              <w:pStyle w:val="ecmsonormal"/>
              <w:rPr>
                <w:rFonts w:ascii="Calibri" w:hAnsi="Calibri"/>
                <w:sz w:val="20"/>
                <w:szCs w:val="20"/>
              </w:rPr>
            </w:pPr>
            <w:r>
              <w:rPr>
                <w:rFonts w:ascii="Calibri" w:hAnsi="Calibri"/>
                <w:sz w:val="20"/>
                <w:szCs w:val="20"/>
              </w:rPr>
              <w:t>7.1</w:t>
            </w:r>
          </w:p>
        </w:tc>
        <w:tc>
          <w:tcPr>
            <w:tcW w:w="1260" w:type="dxa"/>
          </w:tcPr>
          <w:p w14:paraId="35CCC25A" w14:textId="77777777" w:rsidR="000B3F50" w:rsidRDefault="000B3F50" w:rsidP="00CD48ED">
            <w:pPr>
              <w:ind w:right="-720"/>
              <w:rPr>
                <w:rFonts w:ascii="Calibri" w:hAnsi="Calibri"/>
                <w:sz w:val="20"/>
              </w:rPr>
            </w:pPr>
            <w:r>
              <w:rPr>
                <w:rFonts w:ascii="Calibri" w:hAnsi="Calibri"/>
                <w:sz w:val="20"/>
              </w:rPr>
              <w:t>3,326</w:t>
            </w:r>
          </w:p>
        </w:tc>
        <w:tc>
          <w:tcPr>
            <w:tcW w:w="990" w:type="dxa"/>
          </w:tcPr>
          <w:p w14:paraId="0B48D688" w14:textId="77777777" w:rsidR="000B3F50" w:rsidRDefault="000B3F50" w:rsidP="00CD48ED">
            <w:pPr>
              <w:ind w:right="-720"/>
              <w:rPr>
                <w:rFonts w:ascii="Calibri" w:hAnsi="Calibri"/>
                <w:sz w:val="20"/>
              </w:rPr>
            </w:pPr>
            <w:r>
              <w:rPr>
                <w:rFonts w:ascii="Calibri" w:hAnsi="Calibri"/>
                <w:sz w:val="20"/>
              </w:rPr>
              <w:t>11.3</w:t>
            </w:r>
          </w:p>
        </w:tc>
        <w:tc>
          <w:tcPr>
            <w:tcW w:w="1170" w:type="dxa"/>
          </w:tcPr>
          <w:p w14:paraId="045ADF19" w14:textId="77777777" w:rsidR="000B3F50" w:rsidRDefault="000B3F50" w:rsidP="00CD48ED">
            <w:pPr>
              <w:ind w:right="-720"/>
              <w:rPr>
                <w:rFonts w:ascii="Calibri" w:hAnsi="Calibri"/>
                <w:sz w:val="20"/>
              </w:rPr>
            </w:pPr>
            <w:r>
              <w:rPr>
                <w:rFonts w:ascii="Calibri" w:hAnsi="Calibri"/>
                <w:sz w:val="20"/>
              </w:rPr>
              <w:t>3,909</w:t>
            </w:r>
          </w:p>
        </w:tc>
        <w:tc>
          <w:tcPr>
            <w:tcW w:w="990" w:type="dxa"/>
          </w:tcPr>
          <w:p w14:paraId="2D2D84B2" w14:textId="77777777" w:rsidR="000B3F50" w:rsidRDefault="000B3F50" w:rsidP="00CD48ED">
            <w:pPr>
              <w:ind w:right="-720"/>
              <w:rPr>
                <w:rFonts w:ascii="Calibri" w:hAnsi="Calibri"/>
                <w:sz w:val="20"/>
              </w:rPr>
            </w:pPr>
            <w:r>
              <w:rPr>
                <w:rFonts w:ascii="Calibri" w:hAnsi="Calibri"/>
                <w:sz w:val="20"/>
              </w:rPr>
              <w:t>12.7</w:t>
            </w:r>
          </w:p>
        </w:tc>
      </w:tr>
      <w:tr w:rsidR="000B3F50" w14:paraId="1C92D30E" w14:textId="77777777" w:rsidTr="00CD48ED">
        <w:trPr>
          <w:jc w:val="center"/>
        </w:trPr>
        <w:tc>
          <w:tcPr>
            <w:tcW w:w="2088" w:type="dxa"/>
          </w:tcPr>
          <w:p w14:paraId="6290FB10" w14:textId="77777777" w:rsidR="000B3F50" w:rsidRDefault="000B3F50" w:rsidP="00CD48ED">
            <w:pPr>
              <w:ind w:right="-720"/>
              <w:rPr>
                <w:rFonts w:ascii="Calibri" w:hAnsi="Calibri"/>
                <w:sz w:val="20"/>
              </w:rPr>
            </w:pPr>
            <w:r>
              <w:rPr>
                <w:rFonts w:ascii="Calibri" w:hAnsi="Calibri"/>
                <w:sz w:val="20"/>
              </w:rPr>
              <w:t>75 – 84 Years</w:t>
            </w:r>
          </w:p>
        </w:tc>
        <w:tc>
          <w:tcPr>
            <w:tcW w:w="1080" w:type="dxa"/>
          </w:tcPr>
          <w:p w14:paraId="6EFC8859" w14:textId="77777777" w:rsidR="000B3F50" w:rsidRPr="00345617" w:rsidRDefault="000B3F50" w:rsidP="00CD48ED">
            <w:pPr>
              <w:pStyle w:val="ecmsonormal"/>
              <w:rPr>
                <w:rFonts w:ascii="Calibri" w:hAnsi="Calibri"/>
                <w:sz w:val="20"/>
                <w:szCs w:val="20"/>
              </w:rPr>
            </w:pPr>
            <w:r>
              <w:rPr>
                <w:rFonts w:ascii="Calibri" w:hAnsi="Calibri"/>
                <w:sz w:val="20"/>
                <w:szCs w:val="20"/>
              </w:rPr>
              <w:t>1,606</w:t>
            </w:r>
          </w:p>
        </w:tc>
        <w:tc>
          <w:tcPr>
            <w:tcW w:w="1080" w:type="dxa"/>
          </w:tcPr>
          <w:p w14:paraId="6907C1FB" w14:textId="77777777" w:rsidR="000B3F50" w:rsidRPr="00345617" w:rsidRDefault="000B3F50" w:rsidP="00CD48ED">
            <w:pPr>
              <w:pStyle w:val="ecmsonormal"/>
              <w:rPr>
                <w:rFonts w:ascii="Calibri" w:hAnsi="Calibri"/>
                <w:sz w:val="20"/>
                <w:szCs w:val="20"/>
              </w:rPr>
            </w:pPr>
            <w:r>
              <w:rPr>
                <w:rFonts w:ascii="Calibri" w:hAnsi="Calibri"/>
                <w:sz w:val="20"/>
                <w:szCs w:val="20"/>
              </w:rPr>
              <w:t>5.6</w:t>
            </w:r>
          </w:p>
        </w:tc>
        <w:tc>
          <w:tcPr>
            <w:tcW w:w="1260" w:type="dxa"/>
          </w:tcPr>
          <w:p w14:paraId="69A99991" w14:textId="77777777" w:rsidR="000B3F50" w:rsidRDefault="000B3F50" w:rsidP="00CD48ED">
            <w:pPr>
              <w:ind w:right="-720"/>
              <w:rPr>
                <w:rFonts w:ascii="Calibri" w:hAnsi="Calibri"/>
                <w:sz w:val="20"/>
              </w:rPr>
            </w:pPr>
            <w:r>
              <w:rPr>
                <w:rFonts w:ascii="Calibri" w:hAnsi="Calibri"/>
                <w:sz w:val="20"/>
              </w:rPr>
              <w:t>1,528</w:t>
            </w:r>
          </w:p>
        </w:tc>
        <w:tc>
          <w:tcPr>
            <w:tcW w:w="990" w:type="dxa"/>
          </w:tcPr>
          <w:p w14:paraId="2A753248" w14:textId="77777777" w:rsidR="000B3F50" w:rsidRDefault="000B3F50" w:rsidP="00CD48ED">
            <w:pPr>
              <w:ind w:right="-720"/>
              <w:rPr>
                <w:rFonts w:ascii="Calibri" w:hAnsi="Calibri"/>
                <w:sz w:val="20"/>
              </w:rPr>
            </w:pPr>
            <w:r>
              <w:rPr>
                <w:rFonts w:ascii="Calibri" w:hAnsi="Calibri"/>
                <w:sz w:val="20"/>
              </w:rPr>
              <w:t>5.2</w:t>
            </w:r>
          </w:p>
        </w:tc>
        <w:tc>
          <w:tcPr>
            <w:tcW w:w="1170" w:type="dxa"/>
          </w:tcPr>
          <w:p w14:paraId="6D16CF7E" w14:textId="77777777" w:rsidR="000B3F50" w:rsidRDefault="000B3F50" w:rsidP="00CD48ED">
            <w:pPr>
              <w:ind w:right="-720"/>
              <w:rPr>
                <w:rFonts w:ascii="Calibri" w:hAnsi="Calibri"/>
                <w:sz w:val="20"/>
              </w:rPr>
            </w:pPr>
            <w:r>
              <w:rPr>
                <w:rFonts w:ascii="Calibri" w:hAnsi="Calibri"/>
                <w:sz w:val="20"/>
              </w:rPr>
              <w:t>2,509</w:t>
            </w:r>
          </w:p>
        </w:tc>
        <w:tc>
          <w:tcPr>
            <w:tcW w:w="990" w:type="dxa"/>
          </w:tcPr>
          <w:p w14:paraId="1F22FEB9" w14:textId="77777777" w:rsidR="000B3F50" w:rsidRDefault="000B3F50" w:rsidP="00CD48ED">
            <w:pPr>
              <w:ind w:right="-720"/>
              <w:rPr>
                <w:rFonts w:ascii="Calibri" w:hAnsi="Calibri"/>
                <w:sz w:val="20"/>
              </w:rPr>
            </w:pPr>
            <w:r>
              <w:rPr>
                <w:rFonts w:ascii="Calibri" w:hAnsi="Calibri"/>
                <w:sz w:val="20"/>
              </w:rPr>
              <w:t>8.2</w:t>
            </w:r>
          </w:p>
        </w:tc>
      </w:tr>
      <w:tr w:rsidR="000B3F50" w14:paraId="19AB9526" w14:textId="77777777" w:rsidTr="00CD48ED">
        <w:trPr>
          <w:jc w:val="center"/>
        </w:trPr>
        <w:tc>
          <w:tcPr>
            <w:tcW w:w="2088" w:type="dxa"/>
          </w:tcPr>
          <w:p w14:paraId="47B77D61" w14:textId="77777777" w:rsidR="000B3F50" w:rsidRDefault="000B3F50" w:rsidP="00CD48ED">
            <w:pPr>
              <w:ind w:right="-720"/>
              <w:rPr>
                <w:rFonts w:ascii="Calibri" w:hAnsi="Calibri"/>
                <w:sz w:val="20"/>
              </w:rPr>
            </w:pPr>
            <w:r>
              <w:rPr>
                <w:rFonts w:ascii="Calibri" w:hAnsi="Calibri"/>
                <w:sz w:val="20"/>
              </w:rPr>
              <w:t>85 Years and Over</w:t>
            </w:r>
          </w:p>
        </w:tc>
        <w:tc>
          <w:tcPr>
            <w:tcW w:w="1080" w:type="dxa"/>
          </w:tcPr>
          <w:p w14:paraId="6551BC0A" w14:textId="77777777" w:rsidR="000B3F50" w:rsidRPr="00345617" w:rsidRDefault="000B3F50" w:rsidP="00CD48ED">
            <w:pPr>
              <w:pStyle w:val="ecmsonormal"/>
              <w:rPr>
                <w:rFonts w:ascii="Calibri" w:hAnsi="Calibri"/>
                <w:sz w:val="20"/>
                <w:szCs w:val="20"/>
              </w:rPr>
            </w:pPr>
            <w:r>
              <w:rPr>
                <w:rFonts w:ascii="Calibri" w:hAnsi="Calibri"/>
                <w:sz w:val="20"/>
                <w:szCs w:val="20"/>
              </w:rPr>
              <w:t>1,041</w:t>
            </w:r>
          </w:p>
        </w:tc>
        <w:tc>
          <w:tcPr>
            <w:tcW w:w="1080" w:type="dxa"/>
          </w:tcPr>
          <w:p w14:paraId="0BA7C89E" w14:textId="77777777" w:rsidR="000B3F50" w:rsidRPr="00345617" w:rsidRDefault="000B3F50" w:rsidP="00CD48ED">
            <w:pPr>
              <w:pStyle w:val="ecmsonormal"/>
              <w:rPr>
                <w:rFonts w:ascii="Calibri" w:hAnsi="Calibri"/>
                <w:sz w:val="20"/>
                <w:szCs w:val="20"/>
              </w:rPr>
            </w:pPr>
            <w:r>
              <w:rPr>
                <w:rFonts w:ascii="Calibri" w:hAnsi="Calibri"/>
                <w:sz w:val="20"/>
                <w:szCs w:val="20"/>
              </w:rPr>
              <w:t>3.6</w:t>
            </w:r>
          </w:p>
        </w:tc>
        <w:tc>
          <w:tcPr>
            <w:tcW w:w="1260" w:type="dxa"/>
          </w:tcPr>
          <w:p w14:paraId="3EC807FA" w14:textId="77777777" w:rsidR="000B3F50" w:rsidRDefault="000B3F50" w:rsidP="00CD48ED">
            <w:pPr>
              <w:ind w:right="-720"/>
              <w:rPr>
                <w:rFonts w:ascii="Calibri" w:hAnsi="Calibri"/>
                <w:sz w:val="20"/>
              </w:rPr>
            </w:pPr>
            <w:r>
              <w:rPr>
                <w:rFonts w:ascii="Calibri" w:hAnsi="Calibri"/>
                <w:sz w:val="20"/>
              </w:rPr>
              <w:t>1,018</w:t>
            </w:r>
          </w:p>
        </w:tc>
        <w:tc>
          <w:tcPr>
            <w:tcW w:w="990" w:type="dxa"/>
          </w:tcPr>
          <w:p w14:paraId="1AE6CC9A" w14:textId="77777777" w:rsidR="000B3F50" w:rsidRDefault="000B3F50" w:rsidP="00CD48ED">
            <w:pPr>
              <w:ind w:right="-720"/>
              <w:rPr>
                <w:rFonts w:ascii="Calibri" w:hAnsi="Calibri"/>
                <w:sz w:val="20"/>
              </w:rPr>
            </w:pPr>
            <w:r>
              <w:rPr>
                <w:rFonts w:ascii="Calibri" w:hAnsi="Calibri"/>
                <w:sz w:val="20"/>
              </w:rPr>
              <w:t>3.5</w:t>
            </w:r>
          </w:p>
        </w:tc>
        <w:tc>
          <w:tcPr>
            <w:tcW w:w="1170" w:type="dxa"/>
          </w:tcPr>
          <w:p w14:paraId="2343EE10" w14:textId="77777777" w:rsidR="000B3F50" w:rsidRDefault="000B3F50" w:rsidP="00CD48ED">
            <w:pPr>
              <w:ind w:right="-720"/>
              <w:rPr>
                <w:rFonts w:ascii="Calibri" w:hAnsi="Calibri"/>
                <w:sz w:val="20"/>
              </w:rPr>
            </w:pPr>
            <w:r>
              <w:rPr>
                <w:rFonts w:ascii="Calibri" w:hAnsi="Calibri"/>
                <w:sz w:val="20"/>
              </w:rPr>
              <w:t>1,061</w:t>
            </w:r>
          </w:p>
        </w:tc>
        <w:tc>
          <w:tcPr>
            <w:tcW w:w="990" w:type="dxa"/>
          </w:tcPr>
          <w:p w14:paraId="0010A58C" w14:textId="77777777" w:rsidR="000B3F50" w:rsidRDefault="000B3F50" w:rsidP="00CD48ED">
            <w:pPr>
              <w:ind w:right="-720"/>
              <w:rPr>
                <w:rFonts w:ascii="Calibri" w:hAnsi="Calibri"/>
                <w:sz w:val="20"/>
              </w:rPr>
            </w:pPr>
            <w:r>
              <w:rPr>
                <w:rFonts w:ascii="Calibri" w:hAnsi="Calibri"/>
                <w:sz w:val="20"/>
              </w:rPr>
              <w:t>3.5</w:t>
            </w:r>
          </w:p>
        </w:tc>
      </w:tr>
      <w:tr w:rsidR="000B3F50" w14:paraId="0C62B06F" w14:textId="77777777" w:rsidTr="00CD48ED">
        <w:trPr>
          <w:jc w:val="center"/>
        </w:trPr>
        <w:tc>
          <w:tcPr>
            <w:tcW w:w="2088" w:type="dxa"/>
            <w:tcBorders>
              <w:bottom w:val="single" w:sz="18" w:space="0" w:color="auto"/>
            </w:tcBorders>
          </w:tcPr>
          <w:p w14:paraId="66858980" w14:textId="77777777" w:rsidR="000B3F50" w:rsidRDefault="000B3F50" w:rsidP="00CD48ED">
            <w:pPr>
              <w:ind w:right="-720"/>
              <w:rPr>
                <w:rFonts w:ascii="Calibri" w:hAnsi="Calibri"/>
                <w:sz w:val="20"/>
              </w:rPr>
            </w:pPr>
            <w:r>
              <w:rPr>
                <w:rFonts w:ascii="Calibri" w:hAnsi="Calibri"/>
                <w:sz w:val="20"/>
              </w:rPr>
              <w:t>Total</w:t>
            </w:r>
          </w:p>
        </w:tc>
        <w:tc>
          <w:tcPr>
            <w:tcW w:w="1080" w:type="dxa"/>
            <w:tcBorders>
              <w:bottom w:val="single" w:sz="18" w:space="0" w:color="auto"/>
            </w:tcBorders>
          </w:tcPr>
          <w:p w14:paraId="2BF8F1ED" w14:textId="77777777" w:rsidR="000B3F50" w:rsidRPr="00345617" w:rsidRDefault="000B3F50" w:rsidP="00CD48ED">
            <w:pPr>
              <w:pStyle w:val="ecmsonormal"/>
              <w:rPr>
                <w:rFonts w:ascii="Calibri" w:hAnsi="Calibri"/>
                <w:sz w:val="20"/>
                <w:szCs w:val="20"/>
              </w:rPr>
            </w:pPr>
            <w:r>
              <w:rPr>
                <w:rFonts w:ascii="Calibri" w:hAnsi="Calibri"/>
                <w:sz w:val="20"/>
                <w:szCs w:val="20"/>
              </w:rPr>
              <w:t>28,886</w:t>
            </w:r>
          </w:p>
        </w:tc>
        <w:tc>
          <w:tcPr>
            <w:tcW w:w="1080" w:type="dxa"/>
            <w:tcBorders>
              <w:bottom w:val="single" w:sz="18" w:space="0" w:color="auto"/>
            </w:tcBorders>
          </w:tcPr>
          <w:p w14:paraId="0865CD1E" w14:textId="77777777" w:rsidR="000B3F50" w:rsidRPr="00345617" w:rsidRDefault="000B3F50" w:rsidP="00CD48ED">
            <w:pPr>
              <w:pStyle w:val="ecmsonormal"/>
              <w:rPr>
                <w:rFonts w:ascii="Calibri" w:hAnsi="Calibri"/>
                <w:sz w:val="20"/>
                <w:szCs w:val="20"/>
              </w:rPr>
            </w:pPr>
            <w:r>
              <w:rPr>
                <w:rFonts w:ascii="Calibri" w:hAnsi="Calibri"/>
                <w:sz w:val="20"/>
                <w:szCs w:val="20"/>
              </w:rPr>
              <w:t>100.0</w:t>
            </w:r>
          </w:p>
        </w:tc>
        <w:tc>
          <w:tcPr>
            <w:tcW w:w="1260" w:type="dxa"/>
            <w:tcBorders>
              <w:bottom w:val="single" w:sz="18" w:space="0" w:color="auto"/>
            </w:tcBorders>
          </w:tcPr>
          <w:p w14:paraId="447ABE55" w14:textId="77777777" w:rsidR="000B3F50" w:rsidRDefault="000B3F50" w:rsidP="00CD48ED">
            <w:pPr>
              <w:ind w:right="-720"/>
              <w:rPr>
                <w:rFonts w:ascii="Calibri" w:hAnsi="Calibri"/>
                <w:sz w:val="20"/>
              </w:rPr>
            </w:pPr>
            <w:r>
              <w:rPr>
                <w:rFonts w:ascii="Calibri" w:hAnsi="Calibri"/>
                <w:sz w:val="20"/>
              </w:rPr>
              <w:t>29,491</w:t>
            </w:r>
          </w:p>
        </w:tc>
        <w:tc>
          <w:tcPr>
            <w:tcW w:w="990" w:type="dxa"/>
            <w:tcBorders>
              <w:bottom w:val="single" w:sz="18" w:space="0" w:color="auto"/>
            </w:tcBorders>
          </w:tcPr>
          <w:p w14:paraId="33E492D4" w14:textId="77777777" w:rsidR="000B3F50" w:rsidRDefault="000B3F50" w:rsidP="00CD48ED">
            <w:pPr>
              <w:ind w:right="-720"/>
              <w:rPr>
                <w:rFonts w:ascii="Calibri" w:hAnsi="Calibri"/>
                <w:sz w:val="20"/>
              </w:rPr>
            </w:pPr>
            <w:r>
              <w:rPr>
                <w:rFonts w:ascii="Calibri" w:hAnsi="Calibri"/>
                <w:sz w:val="20"/>
              </w:rPr>
              <w:t>100.0</w:t>
            </w:r>
          </w:p>
        </w:tc>
        <w:tc>
          <w:tcPr>
            <w:tcW w:w="1170" w:type="dxa"/>
            <w:tcBorders>
              <w:bottom w:val="single" w:sz="18" w:space="0" w:color="auto"/>
            </w:tcBorders>
          </w:tcPr>
          <w:p w14:paraId="62E1A196" w14:textId="77777777" w:rsidR="000B3F50" w:rsidRDefault="000B3F50" w:rsidP="00CD48ED">
            <w:pPr>
              <w:ind w:right="-720"/>
              <w:rPr>
                <w:rFonts w:ascii="Calibri" w:hAnsi="Calibri"/>
                <w:sz w:val="20"/>
              </w:rPr>
            </w:pPr>
            <w:r>
              <w:rPr>
                <w:rFonts w:ascii="Calibri" w:hAnsi="Calibri" w:cs="Lucida Sans Unicode"/>
                <w:sz w:val="20"/>
                <w:szCs w:val="20"/>
              </w:rPr>
              <w:t>30,746</w:t>
            </w:r>
          </w:p>
        </w:tc>
        <w:tc>
          <w:tcPr>
            <w:tcW w:w="990" w:type="dxa"/>
            <w:tcBorders>
              <w:bottom w:val="single" w:sz="18" w:space="0" w:color="auto"/>
            </w:tcBorders>
          </w:tcPr>
          <w:p w14:paraId="0500D7C7" w14:textId="77777777" w:rsidR="000B3F50" w:rsidRDefault="000B3F50" w:rsidP="00CD48ED">
            <w:pPr>
              <w:ind w:right="-720"/>
              <w:rPr>
                <w:rFonts w:ascii="Calibri" w:hAnsi="Calibri"/>
                <w:sz w:val="20"/>
              </w:rPr>
            </w:pPr>
            <w:r>
              <w:rPr>
                <w:rFonts w:ascii="Calibri" w:hAnsi="Calibri"/>
                <w:sz w:val="20"/>
              </w:rPr>
              <w:t>100.0</w:t>
            </w:r>
          </w:p>
        </w:tc>
      </w:tr>
      <w:tr w:rsidR="000B3F50" w14:paraId="130CB412" w14:textId="77777777" w:rsidTr="00CD48ED">
        <w:trPr>
          <w:jc w:val="center"/>
        </w:trPr>
        <w:tc>
          <w:tcPr>
            <w:tcW w:w="2088" w:type="dxa"/>
          </w:tcPr>
          <w:p w14:paraId="41173C36" w14:textId="77777777" w:rsidR="000B3F50" w:rsidRDefault="000B3F50" w:rsidP="00CD48ED">
            <w:pPr>
              <w:ind w:right="-720"/>
              <w:rPr>
                <w:rFonts w:ascii="Calibri" w:hAnsi="Calibri"/>
                <w:sz w:val="20"/>
              </w:rPr>
            </w:pPr>
            <w:r>
              <w:rPr>
                <w:rFonts w:ascii="Calibri" w:hAnsi="Calibri"/>
                <w:sz w:val="20"/>
              </w:rPr>
              <w:t>Under 20 Years</w:t>
            </w:r>
          </w:p>
        </w:tc>
        <w:tc>
          <w:tcPr>
            <w:tcW w:w="1080" w:type="dxa"/>
          </w:tcPr>
          <w:p w14:paraId="336DABB3" w14:textId="77777777" w:rsidR="000B3F50" w:rsidRPr="00345617" w:rsidRDefault="000B3F50" w:rsidP="00CD48ED">
            <w:pPr>
              <w:rPr>
                <w:rFonts w:ascii="Calibri" w:hAnsi="Calibri"/>
                <w:sz w:val="20"/>
              </w:rPr>
            </w:pPr>
            <w:r>
              <w:rPr>
                <w:rFonts w:ascii="Calibri" w:hAnsi="Calibri"/>
                <w:sz w:val="20"/>
              </w:rPr>
              <w:t>8,683</w:t>
            </w:r>
          </w:p>
        </w:tc>
        <w:tc>
          <w:tcPr>
            <w:tcW w:w="1080" w:type="dxa"/>
          </w:tcPr>
          <w:p w14:paraId="1160C1D4" w14:textId="77777777" w:rsidR="000B3F50" w:rsidRPr="00345617" w:rsidRDefault="000B3F50" w:rsidP="00CD48ED">
            <w:pPr>
              <w:rPr>
                <w:rFonts w:ascii="Calibri" w:hAnsi="Calibri"/>
                <w:sz w:val="20"/>
              </w:rPr>
            </w:pPr>
            <w:r>
              <w:rPr>
                <w:rFonts w:ascii="Calibri" w:hAnsi="Calibri"/>
                <w:sz w:val="20"/>
              </w:rPr>
              <w:t>30.1</w:t>
            </w:r>
          </w:p>
        </w:tc>
        <w:tc>
          <w:tcPr>
            <w:tcW w:w="1260" w:type="dxa"/>
          </w:tcPr>
          <w:p w14:paraId="47F8A6A6" w14:textId="77777777" w:rsidR="000B3F50" w:rsidRDefault="000B3F50" w:rsidP="00CD48ED">
            <w:pPr>
              <w:ind w:right="-720"/>
              <w:rPr>
                <w:rFonts w:ascii="Calibri" w:hAnsi="Calibri"/>
                <w:sz w:val="20"/>
              </w:rPr>
            </w:pPr>
            <w:r>
              <w:rPr>
                <w:rFonts w:ascii="Calibri" w:hAnsi="Calibri"/>
                <w:sz w:val="20"/>
              </w:rPr>
              <w:t>7,904</w:t>
            </w:r>
          </w:p>
        </w:tc>
        <w:tc>
          <w:tcPr>
            <w:tcW w:w="990" w:type="dxa"/>
          </w:tcPr>
          <w:p w14:paraId="291E16D5" w14:textId="77777777" w:rsidR="000B3F50" w:rsidRDefault="000B3F50" w:rsidP="00CD48ED">
            <w:pPr>
              <w:ind w:right="-720"/>
              <w:rPr>
                <w:rFonts w:ascii="Calibri" w:hAnsi="Calibri"/>
                <w:sz w:val="20"/>
              </w:rPr>
            </w:pPr>
            <w:r>
              <w:rPr>
                <w:rFonts w:ascii="Calibri" w:hAnsi="Calibri"/>
                <w:sz w:val="20"/>
              </w:rPr>
              <w:t>26.8</w:t>
            </w:r>
          </w:p>
        </w:tc>
        <w:tc>
          <w:tcPr>
            <w:tcW w:w="1170" w:type="dxa"/>
          </w:tcPr>
          <w:p w14:paraId="025EABC5" w14:textId="77777777" w:rsidR="000B3F50" w:rsidRDefault="000B3F50" w:rsidP="00CD48ED">
            <w:pPr>
              <w:ind w:right="-720"/>
              <w:rPr>
                <w:rFonts w:ascii="Calibri" w:hAnsi="Calibri"/>
                <w:sz w:val="20"/>
              </w:rPr>
            </w:pPr>
            <w:r>
              <w:rPr>
                <w:rFonts w:ascii="Calibri" w:hAnsi="Calibri"/>
                <w:sz w:val="20"/>
              </w:rPr>
              <w:t>7,585</w:t>
            </w:r>
          </w:p>
        </w:tc>
        <w:tc>
          <w:tcPr>
            <w:tcW w:w="990" w:type="dxa"/>
          </w:tcPr>
          <w:p w14:paraId="04F05580" w14:textId="77777777" w:rsidR="000B3F50" w:rsidRDefault="000B3F50" w:rsidP="00CD48ED">
            <w:pPr>
              <w:ind w:right="-720"/>
              <w:rPr>
                <w:rFonts w:ascii="Calibri" w:hAnsi="Calibri"/>
                <w:sz w:val="20"/>
              </w:rPr>
            </w:pPr>
            <w:r>
              <w:rPr>
                <w:rFonts w:ascii="Calibri" w:hAnsi="Calibri"/>
                <w:sz w:val="20"/>
              </w:rPr>
              <w:t>24.7</w:t>
            </w:r>
          </w:p>
        </w:tc>
      </w:tr>
      <w:tr w:rsidR="000B3F50" w14:paraId="01E1923B" w14:textId="77777777" w:rsidTr="00CD48ED">
        <w:trPr>
          <w:jc w:val="center"/>
        </w:trPr>
        <w:tc>
          <w:tcPr>
            <w:tcW w:w="2088" w:type="dxa"/>
          </w:tcPr>
          <w:p w14:paraId="6964D338" w14:textId="77777777" w:rsidR="000B3F50" w:rsidRDefault="000B3F50" w:rsidP="00CD48ED">
            <w:pPr>
              <w:ind w:right="-720"/>
              <w:rPr>
                <w:rFonts w:ascii="Calibri" w:hAnsi="Calibri"/>
                <w:sz w:val="20"/>
              </w:rPr>
            </w:pPr>
            <w:r>
              <w:rPr>
                <w:rFonts w:ascii="Calibri" w:hAnsi="Calibri"/>
                <w:sz w:val="20"/>
              </w:rPr>
              <w:t>65+ Years</w:t>
            </w:r>
          </w:p>
        </w:tc>
        <w:tc>
          <w:tcPr>
            <w:tcW w:w="1080" w:type="dxa"/>
          </w:tcPr>
          <w:p w14:paraId="5C08013E" w14:textId="77777777" w:rsidR="000B3F50" w:rsidRPr="00345617" w:rsidRDefault="000B3F50" w:rsidP="00CD48ED">
            <w:pPr>
              <w:rPr>
                <w:rFonts w:ascii="Calibri" w:hAnsi="Calibri"/>
                <w:sz w:val="20"/>
              </w:rPr>
            </w:pPr>
            <w:r>
              <w:rPr>
                <w:rFonts w:ascii="Calibri" w:hAnsi="Calibri"/>
                <w:sz w:val="20"/>
              </w:rPr>
              <w:t>4,700</w:t>
            </w:r>
          </w:p>
        </w:tc>
        <w:tc>
          <w:tcPr>
            <w:tcW w:w="1080" w:type="dxa"/>
          </w:tcPr>
          <w:p w14:paraId="3A248D47" w14:textId="77777777" w:rsidR="000B3F50" w:rsidRPr="00345617" w:rsidRDefault="000B3F50" w:rsidP="00CD48ED">
            <w:pPr>
              <w:rPr>
                <w:rFonts w:ascii="Calibri" w:hAnsi="Calibri"/>
                <w:sz w:val="20"/>
              </w:rPr>
            </w:pPr>
            <w:r>
              <w:rPr>
                <w:rFonts w:ascii="Calibri" w:hAnsi="Calibri"/>
                <w:sz w:val="20"/>
              </w:rPr>
              <w:t>16.3</w:t>
            </w:r>
          </w:p>
        </w:tc>
        <w:tc>
          <w:tcPr>
            <w:tcW w:w="1260" w:type="dxa"/>
          </w:tcPr>
          <w:p w14:paraId="274CA9E5" w14:textId="77777777" w:rsidR="000B3F50" w:rsidRDefault="000B3F50" w:rsidP="00CD48ED">
            <w:pPr>
              <w:ind w:right="-720"/>
              <w:rPr>
                <w:rFonts w:ascii="Calibri" w:hAnsi="Calibri"/>
                <w:sz w:val="20"/>
              </w:rPr>
            </w:pPr>
            <w:r>
              <w:rPr>
                <w:rFonts w:ascii="Calibri" w:hAnsi="Calibri"/>
                <w:sz w:val="20"/>
              </w:rPr>
              <w:t>5,872</w:t>
            </w:r>
          </w:p>
        </w:tc>
        <w:tc>
          <w:tcPr>
            <w:tcW w:w="990" w:type="dxa"/>
          </w:tcPr>
          <w:p w14:paraId="431E8C82" w14:textId="77777777" w:rsidR="000B3F50" w:rsidRDefault="000B3F50" w:rsidP="00CD48ED">
            <w:pPr>
              <w:ind w:right="-720"/>
              <w:rPr>
                <w:rFonts w:ascii="Calibri" w:hAnsi="Calibri"/>
                <w:sz w:val="20"/>
              </w:rPr>
            </w:pPr>
            <w:r>
              <w:rPr>
                <w:rFonts w:ascii="Calibri" w:hAnsi="Calibri"/>
                <w:sz w:val="20"/>
              </w:rPr>
              <w:t>19.9</w:t>
            </w:r>
          </w:p>
        </w:tc>
        <w:tc>
          <w:tcPr>
            <w:tcW w:w="1170" w:type="dxa"/>
          </w:tcPr>
          <w:p w14:paraId="06013AA9"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7,479</w:t>
            </w:r>
          </w:p>
        </w:tc>
        <w:tc>
          <w:tcPr>
            <w:tcW w:w="990" w:type="dxa"/>
          </w:tcPr>
          <w:p w14:paraId="78341A4A"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24.3</w:t>
            </w:r>
          </w:p>
        </w:tc>
      </w:tr>
    </w:tbl>
    <w:p w14:paraId="45B392F6" w14:textId="77777777" w:rsidR="000B3F50" w:rsidRDefault="000B3F50" w:rsidP="000B3F50">
      <w:pPr>
        <w:ind w:left="360" w:right="-720"/>
        <w:rPr>
          <w:rFonts w:ascii="Calibri" w:hAnsi="Calibri" w:cs="Lucida Sans Unicode"/>
          <w:sz w:val="20"/>
          <w:szCs w:val="20"/>
        </w:rPr>
      </w:pPr>
      <w:r>
        <w:rPr>
          <w:rFonts w:ascii="Calibri" w:hAnsi="Calibri"/>
          <w:sz w:val="20"/>
        </w:rPr>
        <w:t xml:space="preserve">Source:  2010 U.S. Census Bureau and </w:t>
      </w:r>
      <w:r>
        <w:rPr>
          <w:rFonts w:ascii="Calibri" w:hAnsi="Calibri" w:cs="Lucida Sans Unicode"/>
          <w:sz w:val="20"/>
          <w:szCs w:val="20"/>
        </w:rPr>
        <w:t>Metropolitan Area Planning Council’s Population and Housing Demand Projections for Metro Boston, January 2014.</w:t>
      </w:r>
    </w:p>
    <w:p w14:paraId="1519C3AF" w14:textId="77777777" w:rsidR="009312E3" w:rsidRDefault="009312E3" w:rsidP="000B3F50">
      <w:pPr>
        <w:ind w:left="360" w:right="-720"/>
        <w:rPr>
          <w:rFonts w:ascii="Calibri" w:hAnsi="Calibri" w:cs="Lucida Sans Unicode"/>
          <w:sz w:val="20"/>
          <w:szCs w:val="20"/>
        </w:rPr>
      </w:pPr>
    </w:p>
    <w:p w14:paraId="1874D2AA" w14:textId="110AA4A5" w:rsidR="000F1826" w:rsidRPr="000F1826" w:rsidRDefault="000F1826" w:rsidP="005D3FC9">
      <w:pPr>
        <w:numPr>
          <w:ilvl w:val="0"/>
          <w:numId w:val="10"/>
        </w:numPr>
        <w:tabs>
          <w:tab w:val="clear" w:pos="1440"/>
          <w:tab w:val="num" w:pos="720"/>
        </w:tabs>
        <w:ind w:left="720"/>
        <w:jc w:val="both"/>
        <w:rPr>
          <w:rFonts w:ascii="Calibri" w:hAnsi="Calibri"/>
          <w:i/>
          <w:iCs/>
          <w:sz w:val="22"/>
        </w:rPr>
      </w:pPr>
      <w:r w:rsidRPr="00C82580">
        <w:rPr>
          <w:rFonts w:ascii="Calibri" w:hAnsi="Calibri"/>
          <w:sz w:val="22"/>
        </w:rPr>
        <w:t xml:space="preserve">Relative stability of younger adults age 35 to 44 that </w:t>
      </w:r>
      <w:r w:rsidR="003D20D6">
        <w:rPr>
          <w:rFonts w:ascii="Calibri" w:hAnsi="Calibri"/>
          <w:sz w:val="22"/>
        </w:rPr>
        <w:t>are projected to</w:t>
      </w:r>
      <w:r w:rsidRPr="00C82580">
        <w:rPr>
          <w:rFonts w:ascii="Calibri" w:hAnsi="Calibri"/>
          <w:sz w:val="22"/>
        </w:rPr>
        <w:t xml:space="preserve"> continue to represent about 14% of the population, increasing by an estimated 135 residents.  </w:t>
      </w:r>
    </w:p>
    <w:p w14:paraId="54C27F2D" w14:textId="77777777" w:rsidR="000F1826" w:rsidRPr="00C82580" w:rsidRDefault="000F1826" w:rsidP="000F1826">
      <w:pPr>
        <w:jc w:val="both"/>
        <w:rPr>
          <w:rFonts w:ascii="Calibri" w:hAnsi="Calibri"/>
          <w:i/>
          <w:iCs/>
          <w:sz w:val="22"/>
        </w:rPr>
      </w:pPr>
    </w:p>
    <w:p w14:paraId="4495BCC3" w14:textId="37229847" w:rsidR="000F1826" w:rsidRPr="003533DF" w:rsidRDefault="000F1826" w:rsidP="005D3FC9">
      <w:pPr>
        <w:numPr>
          <w:ilvl w:val="0"/>
          <w:numId w:val="10"/>
        </w:numPr>
        <w:tabs>
          <w:tab w:val="clear" w:pos="1440"/>
          <w:tab w:val="num" w:pos="720"/>
        </w:tabs>
        <w:ind w:left="720"/>
        <w:jc w:val="both"/>
        <w:rPr>
          <w:rFonts w:ascii="Calibri" w:hAnsi="Calibri"/>
          <w:i/>
          <w:iCs/>
          <w:sz w:val="22"/>
        </w:rPr>
      </w:pPr>
      <w:r w:rsidRPr="00C82580">
        <w:rPr>
          <w:rFonts w:ascii="Calibri" w:hAnsi="Calibri"/>
          <w:sz w:val="22"/>
        </w:rPr>
        <w:t xml:space="preserve">A </w:t>
      </w:r>
      <w:r>
        <w:rPr>
          <w:rFonts w:ascii="Calibri" w:hAnsi="Calibri"/>
          <w:sz w:val="22"/>
        </w:rPr>
        <w:t xml:space="preserve">fall-off </w:t>
      </w:r>
      <w:r w:rsidRPr="00C82580">
        <w:rPr>
          <w:rFonts w:ascii="Calibri" w:hAnsi="Calibri"/>
          <w:sz w:val="22"/>
        </w:rPr>
        <w:t>in m</w:t>
      </w:r>
      <w:r>
        <w:rPr>
          <w:rFonts w:ascii="Calibri" w:hAnsi="Calibri"/>
          <w:sz w:val="22"/>
        </w:rPr>
        <w:t>iddle-aged residents age 45 to 5</w:t>
      </w:r>
      <w:r w:rsidRPr="00C82580">
        <w:rPr>
          <w:rFonts w:ascii="Calibri" w:hAnsi="Calibri"/>
          <w:sz w:val="22"/>
        </w:rPr>
        <w:t xml:space="preserve">4, from </w:t>
      </w:r>
      <w:r>
        <w:rPr>
          <w:rFonts w:ascii="Calibri" w:hAnsi="Calibri"/>
          <w:sz w:val="22"/>
        </w:rPr>
        <w:t>17.1% of the population in 2010 to 13.0% by 2030 and with a net loss of 932 residents or 18.9%.</w:t>
      </w:r>
      <w:r w:rsidRPr="00C82580">
        <w:rPr>
          <w:rFonts w:ascii="Calibri" w:hAnsi="Calibri"/>
          <w:sz w:val="22"/>
        </w:rPr>
        <w:t xml:space="preserve">  </w:t>
      </w:r>
      <w:r>
        <w:rPr>
          <w:rFonts w:ascii="Calibri" w:hAnsi="Calibri"/>
          <w:sz w:val="22"/>
        </w:rPr>
        <w:t xml:space="preserve">Some of these residents may </w:t>
      </w:r>
      <w:r w:rsidR="003D20D6">
        <w:rPr>
          <w:rFonts w:ascii="Calibri" w:hAnsi="Calibri"/>
          <w:sz w:val="22"/>
        </w:rPr>
        <w:t>choose</w:t>
      </w:r>
      <w:r>
        <w:rPr>
          <w:rFonts w:ascii="Calibri" w:hAnsi="Calibri"/>
          <w:sz w:val="22"/>
        </w:rPr>
        <w:t xml:space="preserve"> to leave the community in search of more affordable living conditions and/or because their children have already graduated from local schools.</w:t>
      </w:r>
    </w:p>
    <w:p w14:paraId="3F774F65" w14:textId="77777777" w:rsidR="003533DF" w:rsidRDefault="003533DF" w:rsidP="003533DF">
      <w:pPr>
        <w:pStyle w:val="ListParagraph"/>
        <w:rPr>
          <w:rFonts w:ascii="Calibri" w:hAnsi="Calibri"/>
          <w:i/>
          <w:iCs/>
          <w:sz w:val="22"/>
        </w:rPr>
      </w:pPr>
    </w:p>
    <w:p w14:paraId="5F2DA544" w14:textId="2B5ABC80" w:rsidR="000F1826" w:rsidRPr="000F1826" w:rsidRDefault="00EB4684" w:rsidP="005D3FC9">
      <w:pPr>
        <w:numPr>
          <w:ilvl w:val="0"/>
          <w:numId w:val="10"/>
        </w:numPr>
        <w:tabs>
          <w:tab w:val="clear" w:pos="1440"/>
          <w:tab w:val="num" w:pos="720"/>
        </w:tabs>
        <w:ind w:left="720"/>
        <w:jc w:val="both"/>
        <w:rPr>
          <w:rFonts w:ascii="Calibri" w:hAnsi="Calibri"/>
          <w:i/>
          <w:iCs/>
          <w:sz w:val="22"/>
        </w:rPr>
      </w:pPr>
      <w:r>
        <w:rPr>
          <w:rFonts w:ascii="Calibri" w:hAnsi="Calibri"/>
          <w:sz w:val="22"/>
        </w:rPr>
        <w:lastRenderedPageBreak/>
        <w:t>P</w:t>
      </w:r>
      <w:r w:rsidR="000F1826">
        <w:rPr>
          <w:rFonts w:ascii="Calibri" w:hAnsi="Calibri"/>
          <w:sz w:val="22"/>
        </w:rPr>
        <w:t xml:space="preserve">rojected fluctuations in those 55 to 64 years old, increasing from 13.3% to 15.2% between 2010 and 2020 and then down to 12.7% by 2030 with a net loss of 27 residents. Some in this age category might be looking for opportunities </w:t>
      </w:r>
      <w:r w:rsidR="003D20D6">
        <w:rPr>
          <w:rFonts w:ascii="Calibri" w:hAnsi="Calibri"/>
          <w:sz w:val="22"/>
        </w:rPr>
        <w:t>to</w:t>
      </w:r>
      <w:r w:rsidR="000F1826">
        <w:rPr>
          <w:rFonts w:ascii="Calibri" w:hAnsi="Calibri"/>
          <w:sz w:val="22"/>
        </w:rPr>
        <w:t xml:space="preserve"> downsiz</w:t>
      </w:r>
      <w:r w:rsidR="003D20D6">
        <w:rPr>
          <w:rFonts w:ascii="Calibri" w:hAnsi="Calibri"/>
          <w:sz w:val="22"/>
        </w:rPr>
        <w:t>e</w:t>
      </w:r>
      <w:r w:rsidR="000F1826">
        <w:rPr>
          <w:rFonts w:ascii="Calibri" w:hAnsi="Calibri"/>
          <w:sz w:val="22"/>
        </w:rPr>
        <w:t xml:space="preserve"> which are very limited in Needham.</w:t>
      </w:r>
    </w:p>
    <w:p w14:paraId="7529F7CB" w14:textId="77777777" w:rsidR="000F1826" w:rsidRPr="00C82580" w:rsidRDefault="000F1826" w:rsidP="000F1826">
      <w:pPr>
        <w:jc w:val="both"/>
        <w:rPr>
          <w:rFonts w:ascii="Calibri" w:hAnsi="Calibri"/>
          <w:i/>
          <w:iCs/>
          <w:sz w:val="22"/>
        </w:rPr>
      </w:pPr>
    </w:p>
    <w:p w14:paraId="66141BA2" w14:textId="2D2B1122" w:rsidR="000F1826" w:rsidRPr="004A35F8" w:rsidRDefault="00EB4684" w:rsidP="005D3FC9">
      <w:pPr>
        <w:numPr>
          <w:ilvl w:val="0"/>
          <w:numId w:val="10"/>
        </w:numPr>
        <w:tabs>
          <w:tab w:val="clear" w:pos="1440"/>
          <w:tab w:val="num" w:pos="720"/>
        </w:tabs>
        <w:ind w:left="720"/>
        <w:jc w:val="both"/>
        <w:rPr>
          <w:rFonts w:ascii="Calibri" w:hAnsi="Calibri"/>
          <w:iCs/>
          <w:sz w:val="22"/>
        </w:rPr>
      </w:pPr>
      <w:r>
        <w:rPr>
          <w:rFonts w:ascii="Calibri" w:hAnsi="Calibri"/>
          <w:i/>
          <w:iCs/>
          <w:sz w:val="22"/>
        </w:rPr>
        <w:t>I</w:t>
      </w:r>
      <w:r w:rsidR="000F1826" w:rsidRPr="004A35F8">
        <w:rPr>
          <w:rFonts w:ascii="Calibri" w:hAnsi="Calibri"/>
          <w:i/>
          <w:iCs/>
          <w:sz w:val="22"/>
        </w:rPr>
        <w:t xml:space="preserve">ncreases in the population 65 years of age and older, </w:t>
      </w:r>
      <w:r w:rsidR="000F1826" w:rsidRPr="004A35F8">
        <w:rPr>
          <w:rFonts w:ascii="Calibri" w:hAnsi="Calibri"/>
          <w:iCs/>
          <w:sz w:val="22"/>
        </w:rPr>
        <w:t>from 16.3% in 2010 to 24.3% in 2030</w:t>
      </w:r>
      <w:r w:rsidR="00C708AC">
        <w:rPr>
          <w:rFonts w:ascii="Calibri" w:hAnsi="Calibri"/>
          <w:iCs/>
          <w:sz w:val="22"/>
        </w:rPr>
        <w:t xml:space="preserve"> and</w:t>
      </w:r>
      <w:r w:rsidR="000F1826" w:rsidRPr="004A35F8">
        <w:rPr>
          <w:rFonts w:ascii="Calibri" w:hAnsi="Calibri"/>
          <w:iCs/>
          <w:sz w:val="22"/>
        </w:rPr>
        <w:t xml:space="preserve"> with an estimated gain of 2,779 residents</w:t>
      </w:r>
      <w:r w:rsidR="000F1826" w:rsidRPr="004A35F8">
        <w:rPr>
          <w:rFonts w:ascii="Calibri" w:hAnsi="Calibri"/>
          <w:sz w:val="22"/>
        </w:rPr>
        <w:t xml:space="preserve">. </w:t>
      </w:r>
      <w:r w:rsidR="000F1826" w:rsidRPr="004A35F8">
        <w:rPr>
          <w:rFonts w:ascii="Calibri" w:hAnsi="Calibri"/>
          <w:iCs/>
          <w:sz w:val="22"/>
        </w:rPr>
        <w:t xml:space="preserve">This increase includes the aging </w:t>
      </w:r>
      <w:r w:rsidR="00C708AC">
        <w:rPr>
          <w:rFonts w:ascii="Calibri" w:hAnsi="Calibri"/>
          <w:iCs/>
          <w:sz w:val="22"/>
        </w:rPr>
        <w:t>B</w:t>
      </w:r>
      <w:r w:rsidR="000F1826" w:rsidRPr="004A35F8">
        <w:rPr>
          <w:rFonts w:ascii="Calibri" w:hAnsi="Calibri"/>
          <w:iCs/>
          <w:sz w:val="22"/>
        </w:rPr>
        <w:t xml:space="preserve">aby </w:t>
      </w:r>
      <w:r w:rsidR="00C708AC">
        <w:rPr>
          <w:rFonts w:ascii="Calibri" w:hAnsi="Calibri"/>
          <w:iCs/>
          <w:sz w:val="22"/>
        </w:rPr>
        <w:t>B</w:t>
      </w:r>
      <w:r w:rsidR="000F1826" w:rsidRPr="004A35F8">
        <w:rPr>
          <w:rFonts w:ascii="Calibri" w:hAnsi="Calibri"/>
          <w:iCs/>
          <w:sz w:val="22"/>
        </w:rPr>
        <w:t>oomers and suggests that the Town undertake appropriate planning to accommodate an aging population that is likely to have special needs in the future.</w:t>
      </w:r>
      <w:r w:rsidR="00C708AC">
        <w:rPr>
          <w:rFonts w:ascii="Calibri" w:hAnsi="Calibri"/>
          <w:iCs/>
          <w:sz w:val="22"/>
        </w:rPr>
        <w:t xml:space="preserve">  The Town can</w:t>
      </w:r>
      <w:r w:rsidR="000F1826" w:rsidRPr="004A35F8">
        <w:rPr>
          <w:rFonts w:ascii="Calibri" w:hAnsi="Calibri"/>
          <w:iCs/>
          <w:sz w:val="22"/>
        </w:rPr>
        <w:t xml:space="preserve"> anticipate </w:t>
      </w:r>
      <w:r w:rsidR="00C708AC">
        <w:rPr>
          <w:rFonts w:ascii="Calibri" w:hAnsi="Calibri"/>
          <w:iCs/>
          <w:sz w:val="22"/>
        </w:rPr>
        <w:t xml:space="preserve">a </w:t>
      </w:r>
      <w:r w:rsidR="000F1826" w:rsidRPr="004A35F8">
        <w:rPr>
          <w:rFonts w:ascii="Calibri" w:hAnsi="Calibri"/>
          <w:iCs/>
          <w:sz w:val="22"/>
        </w:rPr>
        <w:t xml:space="preserve">greater demand for </w:t>
      </w:r>
      <w:r w:rsidR="000F1826">
        <w:rPr>
          <w:rFonts w:ascii="Calibri" w:hAnsi="Calibri"/>
          <w:iCs/>
          <w:sz w:val="22"/>
        </w:rPr>
        <w:t>housing o</w:t>
      </w:r>
      <w:r w:rsidR="000F1826" w:rsidRPr="004A35F8">
        <w:rPr>
          <w:rFonts w:ascii="Calibri" w:hAnsi="Calibri"/>
          <w:iCs/>
          <w:sz w:val="22"/>
        </w:rPr>
        <w:t xml:space="preserve">pportunities </w:t>
      </w:r>
      <w:r w:rsidR="00C708AC">
        <w:rPr>
          <w:rFonts w:ascii="Calibri" w:hAnsi="Calibri"/>
          <w:iCs/>
          <w:sz w:val="22"/>
        </w:rPr>
        <w:t>for</w:t>
      </w:r>
      <w:r w:rsidR="000F1826">
        <w:rPr>
          <w:rFonts w:ascii="Calibri" w:hAnsi="Calibri"/>
          <w:iCs/>
          <w:sz w:val="22"/>
        </w:rPr>
        <w:t xml:space="preserve"> </w:t>
      </w:r>
      <w:r w:rsidR="000F1826" w:rsidRPr="004A35F8">
        <w:rPr>
          <w:rFonts w:ascii="Calibri" w:hAnsi="Calibri"/>
          <w:iCs/>
          <w:sz w:val="22"/>
        </w:rPr>
        <w:t>downsiz</w:t>
      </w:r>
      <w:r w:rsidR="00C708AC">
        <w:rPr>
          <w:rFonts w:ascii="Calibri" w:hAnsi="Calibri"/>
          <w:iCs/>
          <w:sz w:val="22"/>
        </w:rPr>
        <w:t>ing</w:t>
      </w:r>
      <w:r w:rsidR="000F1826" w:rsidRPr="004A35F8">
        <w:rPr>
          <w:rFonts w:ascii="Calibri" w:hAnsi="Calibri"/>
          <w:iCs/>
          <w:sz w:val="22"/>
        </w:rPr>
        <w:t xml:space="preserve"> </w:t>
      </w:r>
      <w:r w:rsidR="000F1826">
        <w:rPr>
          <w:rFonts w:ascii="Calibri" w:hAnsi="Calibri"/>
          <w:iCs/>
          <w:sz w:val="22"/>
        </w:rPr>
        <w:t>as well as Council on Aging services for example.</w:t>
      </w:r>
    </w:p>
    <w:p w14:paraId="2C74FD7B" w14:textId="77777777" w:rsidR="000F1826" w:rsidRDefault="000F1826" w:rsidP="0001506D">
      <w:pPr>
        <w:pStyle w:val="Footer"/>
        <w:jc w:val="both"/>
        <w:rPr>
          <w:rFonts w:ascii="Calibri" w:hAnsi="Calibri" w:cs="Lucida Sans Unicode"/>
          <w:sz w:val="22"/>
          <w:szCs w:val="22"/>
        </w:rPr>
      </w:pPr>
    </w:p>
    <w:p w14:paraId="1F2D132E" w14:textId="77777777" w:rsidR="000B3F50" w:rsidRDefault="00232AB5" w:rsidP="000B3F50">
      <w:pPr>
        <w:jc w:val="center"/>
        <w:rPr>
          <w:rFonts w:ascii="Calibri" w:hAnsi="Calibri"/>
          <w:bCs/>
          <w:iCs/>
          <w:sz w:val="22"/>
        </w:rPr>
      </w:pPr>
      <w:r>
        <w:rPr>
          <w:rFonts w:ascii="Calibri" w:hAnsi="Calibri"/>
          <w:bCs/>
          <w:iCs/>
          <w:noProof/>
          <w:sz w:val="22"/>
        </w:rPr>
        <w:drawing>
          <wp:inline distT="0" distB="0" distL="0" distR="0" wp14:anchorId="0DEDA9DB" wp14:editId="3C6FEB88">
            <wp:extent cx="4495964" cy="2702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7695" cy="2703601"/>
                    </a:xfrm>
                    <a:prstGeom prst="rect">
                      <a:avLst/>
                    </a:prstGeom>
                    <a:noFill/>
                  </pic:spPr>
                </pic:pic>
              </a:graphicData>
            </a:graphic>
          </wp:inline>
        </w:drawing>
      </w:r>
    </w:p>
    <w:p w14:paraId="1F4587BB" w14:textId="77777777" w:rsidR="00DF4506" w:rsidRDefault="00DF4506" w:rsidP="00712A82">
      <w:pPr>
        <w:pStyle w:val="Footer"/>
        <w:jc w:val="both"/>
        <w:rPr>
          <w:rFonts w:ascii="Calibri" w:hAnsi="Calibri" w:cs="Lucida Sans Unicode"/>
          <w:sz w:val="22"/>
          <w:szCs w:val="22"/>
        </w:rPr>
      </w:pPr>
    </w:p>
    <w:p w14:paraId="3A43BFC7" w14:textId="77777777" w:rsidR="000B3F50" w:rsidRPr="0044066F" w:rsidRDefault="000B3F50" w:rsidP="000B3F50">
      <w:pPr>
        <w:jc w:val="both"/>
        <w:rPr>
          <w:rFonts w:ascii="Calibri" w:hAnsi="Calibri" w:cs="Lucida Sans Unicode"/>
          <w:b/>
          <w:i/>
          <w:color w:val="1F497D" w:themeColor="text2"/>
          <w:sz w:val="22"/>
          <w:szCs w:val="22"/>
        </w:rPr>
      </w:pPr>
      <w:r w:rsidRPr="0044066F">
        <w:rPr>
          <w:rFonts w:ascii="Calibri" w:hAnsi="Calibri" w:cs="Lucida Sans Unicode"/>
          <w:b/>
          <w:i/>
          <w:color w:val="1F497D" w:themeColor="text2"/>
          <w:sz w:val="22"/>
          <w:szCs w:val="22"/>
        </w:rPr>
        <w:t xml:space="preserve">State Data Center Projections </w:t>
      </w:r>
    </w:p>
    <w:p w14:paraId="5421058A" w14:textId="768F2ABB" w:rsidR="000B3F50" w:rsidRDefault="000B3F50" w:rsidP="000B3F50">
      <w:pPr>
        <w:jc w:val="both"/>
        <w:rPr>
          <w:rFonts w:ascii="Calibri" w:hAnsi="Calibri" w:cs="Lucida Sans Unicode"/>
          <w:sz w:val="22"/>
          <w:szCs w:val="22"/>
        </w:rPr>
      </w:pPr>
      <w:r w:rsidRPr="003A2B96">
        <w:rPr>
          <w:rFonts w:ascii="Calibri" w:hAnsi="Calibri" w:cs="Lucida Sans Unicode"/>
          <w:sz w:val="22"/>
          <w:szCs w:val="22"/>
        </w:rPr>
        <w:t xml:space="preserve">Table </w:t>
      </w:r>
      <w:r w:rsidR="001B322C">
        <w:rPr>
          <w:rFonts w:ascii="Calibri" w:hAnsi="Calibri" w:cs="Lucida Sans Unicode"/>
          <w:sz w:val="22"/>
          <w:szCs w:val="22"/>
        </w:rPr>
        <w:t>III-6</w:t>
      </w:r>
      <w:r w:rsidRPr="003A2B96">
        <w:rPr>
          <w:rFonts w:ascii="Calibri" w:hAnsi="Calibri" w:cs="Lucida Sans Unicode"/>
          <w:sz w:val="22"/>
          <w:szCs w:val="22"/>
        </w:rPr>
        <w:t xml:space="preserve"> provides projections of the age distribution in </w:t>
      </w:r>
      <w:r>
        <w:rPr>
          <w:rFonts w:ascii="Calibri" w:hAnsi="Calibri" w:cs="Lucida Sans Unicode"/>
          <w:sz w:val="22"/>
          <w:szCs w:val="22"/>
        </w:rPr>
        <w:t>Needham</w:t>
      </w:r>
      <w:r w:rsidRPr="003A2B96">
        <w:rPr>
          <w:rFonts w:ascii="Calibri" w:hAnsi="Calibri" w:cs="Lucida Sans Unicode"/>
          <w:sz w:val="22"/>
          <w:szCs w:val="22"/>
        </w:rPr>
        <w:t xml:space="preserve"> </w:t>
      </w:r>
      <w:r>
        <w:rPr>
          <w:rFonts w:ascii="Calibri" w:hAnsi="Calibri" w:cs="Lucida Sans Unicode"/>
          <w:sz w:val="22"/>
          <w:szCs w:val="22"/>
        </w:rPr>
        <w:t>for 2020 and</w:t>
      </w:r>
      <w:r w:rsidRPr="003A2B96">
        <w:rPr>
          <w:rFonts w:ascii="Calibri" w:hAnsi="Calibri" w:cs="Lucida Sans Unicode"/>
          <w:sz w:val="22"/>
          <w:szCs w:val="22"/>
        </w:rPr>
        <w:t xml:space="preserve"> 2030 from the State Data Center at the University of Massachusetts Donahue</w:t>
      </w:r>
      <w:r>
        <w:rPr>
          <w:rFonts w:ascii="Calibri" w:hAnsi="Calibri" w:cs="Lucida Sans Unicode"/>
          <w:sz w:val="22"/>
          <w:szCs w:val="22"/>
        </w:rPr>
        <w:t xml:space="preserve"> Institute.  The 2020 data suggests rather comparable population figures to the 2020 MAPC Stronger Region estimates with proportional variations of only about 1% or less for each age range with the exception that the State Data Center projects a higher level of those 45 to 54 years of age at 16.4% instead of 14.2%.  </w:t>
      </w:r>
    </w:p>
    <w:p w14:paraId="1D1E9691" w14:textId="1B7D8CDF" w:rsidR="000B3F50" w:rsidRPr="0044066F" w:rsidRDefault="000B3F50" w:rsidP="0044066F">
      <w:pPr>
        <w:pStyle w:val="Heading5"/>
        <w:jc w:val="center"/>
        <w:rPr>
          <w:rFonts w:ascii="Calibri" w:hAnsi="Calibri"/>
          <w:b/>
          <w:color w:val="auto"/>
          <w:sz w:val="22"/>
          <w:szCs w:val="22"/>
        </w:rPr>
      </w:pPr>
      <w:r w:rsidRPr="0044066F">
        <w:rPr>
          <w:rFonts w:ascii="Calibri" w:hAnsi="Calibri"/>
          <w:b/>
          <w:color w:val="auto"/>
          <w:sz w:val="22"/>
          <w:szCs w:val="22"/>
        </w:rPr>
        <w:t xml:space="preserve">Table </w:t>
      </w:r>
      <w:r w:rsidR="0086490C">
        <w:rPr>
          <w:rFonts w:ascii="Calibri" w:hAnsi="Calibri"/>
          <w:b/>
          <w:color w:val="auto"/>
          <w:sz w:val="22"/>
          <w:szCs w:val="22"/>
        </w:rPr>
        <w:t>III-6</w:t>
      </w:r>
      <w:r w:rsidRPr="0044066F">
        <w:rPr>
          <w:rFonts w:ascii="Calibri" w:hAnsi="Calibri"/>
          <w:b/>
          <w:color w:val="auto"/>
          <w:sz w:val="22"/>
          <w:szCs w:val="22"/>
        </w:rPr>
        <w:t>:  2010 Census and 2020 and 2030 State Data Center Population Projections</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080"/>
        <w:gridCol w:w="1260"/>
        <w:gridCol w:w="990"/>
        <w:gridCol w:w="1170"/>
        <w:gridCol w:w="990"/>
      </w:tblGrid>
      <w:tr w:rsidR="000B3F50" w14:paraId="6F8132C7" w14:textId="77777777" w:rsidTr="00CD48ED">
        <w:trPr>
          <w:cantSplit/>
          <w:jc w:val="center"/>
        </w:trPr>
        <w:tc>
          <w:tcPr>
            <w:tcW w:w="2088" w:type="dxa"/>
            <w:vMerge w:val="restart"/>
            <w:tcBorders>
              <w:top w:val="single" w:sz="4" w:space="0" w:color="auto"/>
              <w:left w:val="single" w:sz="4" w:space="0" w:color="auto"/>
            </w:tcBorders>
          </w:tcPr>
          <w:p w14:paraId="3982FD50" w14:textId="77777777" w:rsidR="000B3F50" w:rsidRPr="00592342" w:rsidRDefault="000B3F50" w:rsidP="00CD48ED">
            <w:pPr>
              <w:pStyle w:val="Heading8"/>
              <w:rPr>
                <w:rFonts w:ascii="Calibri" w:hAnsi="Calibri"/>
                <w:b/>
                <w:sz w:val="22"/>
                <w:szCs w:val="22"/>
              </w:rPr>
            </w:pPr>
            <w:r w:rsidRPr="00592342">
              <w:rPr>
                <w:rFonts w:ascii="Calibri" w:hAnsi="Calibri"/>
                <w:b/>
                <w:sz w:val="22"/>
                <w:szCs w:val="22"/>
              </w:rPr>
              <w:t>Age Range</w:t>
            </w:r>
          </w:p>
        </w:tc>
        <w:tc>
          <w:tcPr>
            <w:tcW w:w="2160" w:type="dxa"/>
            <w:gridSpan w:val="2"/>
          </w:tcPr>
          <w:p w14:paraId="713CA839" w14:textId="77777777" w:rsidR="000B3F50" w:rsidRDefault="000B3F50" w:rsidP="00CD48ED">
            <w:pPr>
              <w:ind w:right="-720"/>
              <w:rPr>
                <w:rFonts w:ascii="Calibri" w:hAnsi="Calibri"/>
                <w:b/>
                <w:bCs/>
              </w:rPr>
            </w:pPr>
            <w:r>
              <w:rPr>
                <w:rFonts w:ascii="Calibri" w:hAnsi="Calibri"/>
                <w:b/>
                <w:bCs/>
                <w:sz w:val="22"/>
              </w:rPr>
              <w:t>2010 Census</w:t>
            </w:r>
          </w:p>
        </w:tc>
        <w:tc>
          <w:tcPr>
            <w:tcW w:w="2250" w:type="dxa"/>
            <w:gridSpan w:val="2"/>
          </w:tcPr>
          <w:p w14:paraId="3F0E7B75" w14:textId="77777777" w:rsidR="000B3F50" w:rsidRDefault="000B3F50" w:rsidP="00CD48ED">
            <w:pPr>
              <w:ind w:right="-720"/>
              <w:rPr>
                <w:rFonts w:ascii="Calibri" w:hAnsi="Calibri"/>
                <w:b/>
                <w:bCs/>
              </w:rPr>
            </w:pPr>
            <w:r>
              <w:rPr>
                <w:rFonts w:ascii="Calibri" w:hAnsi="Calibri"/>
                <w:b/>
                <w:bCs/>
                <w:sz w:val="22"/>
              </w:rPr>
              <w:t>2020 Projections</w:t>
            </w:r>
          </w:p>
        </w:tc>
        <w:tc>
          <w:tcPr>
            <w:tcW w:w="2160" w:type="dxa"/>
            <w:gridSpan w:val="2"/>
          </w:tcPr>
          <w:p w14:paraId="29A30EF2" w14:textId="77777777" w:rsidR="000B3F50" w:rsidRDefault="000B3F50" w:rsidP="00CD48ED">
            <w:pPr>
              <w:ind w:right="-720"/>
              <w:rPr>
                <w:rFonts w:ascii="Calibri" w:hAnsi="Calibri"/>
                <w:b/>
                <w:bCs/>
              </w:rPr>
            </w:pPr>
            <w:r>
              <w:rPr>
                <w:rFonts w:ascii="Calibri" w:hAnsi="Calibri"/>
                <w:b/>
                <w:bCs/>
                <w:sz w:val="22"/>
              </w:rPr>
              <w:t>2030 Projections</w:t>
            </w:r>
          </w:p>
        </w:tc>
      </w:tr>
      <w:tr w:rsidR="000B3F50" w14:paraId="30BF4D9B" w14:textId="77777777" w:rsidTr="00CD48ED">
        <w:trPr>
          <w:cantSplit/>
          <w:jc w:val="center"/>
        </w:trPr>
        <w:tc>
          <w:tcPr>
            <w:tcW w:w="2088" w:type="dxa"/>
            <w:vMerge/>
            <w:tcBorders>
              <w:left w:val="single" w:sz="4" w:space="0" w:color="auto"/>
            </w:tcBorders>
          </w:tcPr>
          <w:p w14:paraId="4A85E677" w14:textId="77777777" w:rsidR="000B3F50" w:rsidRDefault="000B3F50" w:rsidP="00CD48ED">
            <w:pPr>
              <w:ind w:right="-720"/>
              <w:rPr>
                <w:rFonts w:ascii="Calibri" w:hAnsi="Calibri"/>
                <w:b/>
                <w:bCs/>
              </w:rPr>
            </w:pPr>
          </w:p>
        </w:tc>
        <w:tc>
          <w:tcPr>
            <w:tcW w:w="1080" w:type="dxa"/>
          </w:tcPr>
          <w:p w14:paraId="0DE74BE9" w14:textId="77777777" w:rsidR="000B3F50" w:rsidRDefault="000B3F50" w:rsidP="00CD48ED">
            <w:pPr>
              <w:ind w:right="-720"/>
              <w:rPr>
                <w:rFonts w:ascii="Calibri" w:hAnsi="Calibri"/>
                <w:b/>
                <w:bCs/>
              </w:rPr>
            </w:pPr>
            <w:r>
              <w:rPr>
                <w:rFonts w:ascii="Calibri" w:hAnsi="Calibri"/>
                <w:b/>
                <w:bCs/>
                <w:sz w:val="22"/>
              </w:rPr>
              <w:t>#</w:t>
            </w:r>
          </w:p>
        </w:tc>
        <w:tc>
          <w:tcPr>
            <w:tcW w:w="1080" w:type="dxa"/>
          </w:tcPr>
          <w:p w14:paraId="7D57D39A" w14:textId="77777777" w:rsidR="000B3F50" w:rsidRDefault="000B3F50" w:rsidP="00CD48ED">
            <w:pPr>
              <w:ind w:right="-720"/>
              <w:rPr>
                <w:rFonts w:ascii="Calibri" w:hAnsi="Calibri"/>
                <w:b/>
                <w:bCs/>
              </w:rPr>
            </w:pPr>
            <w:r>
              <w:rPr>
                <w:rFonts w:ascii="Calibri" w:hAnsi="Calibri"/>
                <w:b/>
                <w:bCs/>
                <w:sz w:val="22"/>
              </w:rPr>
              <w:t>%</w:t>
            </w:r>
          </w:p>
        </w:tc>
        <w:tc>
          <w:tcPr>
            <w:tcW w:w="1260" w:type="dxa"/>
          </w:tcPr>
          <w:p w14:paraId="2D5DB05C" w14:textId="77777777" w:rsidR="000B3F50" w:rsidRDefault="000B3F50" w:rsidP="00CD48ED">
            <w:pPr>
              <w:ind w:right="-720"/>
              <w:rPr>
                <w:rFonts w:ascii="Calibri" w:hAnsi="Calibri"/>
                <w:b/>
                <w:bCs/>
              </w:rPr>
            </w:pPr>
            <w:r>
              <w:rPr>
                <w:rFonts w:ascii="Calibri" w:hAnsi="Calibri"/>
                <w:b/>
                <w:bCs/>
                <w:sz w:val="22"/>
              </w:rPr>
              <w:t>#</w:t>
            </w:r>
          </w:p>
        </w:tc>
        <w:tc>
          <w:tcPr>
            <w:tcW w:w="990" w:type="dxa"/>
          </w:tcPr>
          <w:p w14:paraId="7E43852C" w14:textId="77777777" w:rsidR="000B3F50" w:rsidRDefault="000B3F50" w:rsidP="00CD48ED">
            <w:pPr>
              <w:ind w:right="-720"/>
              <w:rPr>
                <w:rFonts w:ascii="Calibri" w:hAnsi="Calibri"/>
                <w:b/>
                <w:bCs/>
              </w:rPr>
            </w:pPr>
            <w:r>
              <w:rPr>
                <w:rFonts w:ascii="Calibri" w:hAnsi="Calibri"/>
                <w:b/>
                <w:bCs/>
                <w:sz w:val="22"/>
              </w:rPr>
              <w:t>%</w:t>
            </w:r>
          </w:p>
        </w:tc>
        <w:tc>
          <w:tcPr>
            <w:tcW w:w="1170" w:type="dxa"/>
          </w:tcPr>
          <w:p w14:paraId="7F58DB52" w14:textId="77777777" w:rsidR="000B3F50" w:rsidRDefault="000B3F50" w:rsidP="00CD48ED">
            <w:pPr>
              <w:ind w:right="-720"/>
              <w:rPr>
                <w:rFonts w:ascii="Calibri" w:hAnsi="Calibri"/>
                <w:b/>
                <w:bCs/>
              </w:rPr>
            </w:pPr>
            <w:r>
              <w:rPr>
                <w:rFonts w:ascii="Calibri" w:hAnsi="Calibri"/>
                <w:b/>
                <w:bCs/>
                <w:sz w:val="22"/>
              </w:rPr>
              <w:t>#</w:t>
            </w:r>
          </w:p>
        </w:tc>
        <w:tc>
          <w:tcPr>
            <w:tcW w:w="990" w:type="dxa"/>
          </w:tcPr>
          <w:p w14:paraId="0EE2E030" w14:textId="77777777" w:rsidR="000B3F50" w:rsidRDefault="000B3F50" w:rsidP="00CD48ED">
            <w:pPr>
              <w:ind w:right="-720"/>
              <w:rPr>
                <w:rFonts w:ascii="Calibri" w:hAnsi="Calibri"/>
                <w:b/>
                <w:bCs/>
              </w:rPr>
            </w:pPr>
            <w:r>
              <w:rPr>
                <w:rFonts w:ascii="Calibri" w:hAnsi="Calibri"/>
                <w:b/>
                <w:bCs/>
                <w:sz w:val="22"/>
              </w:rPr>
              <w:t>%</w:t>
            </w:r>
          </w:p>
        </w:tc>
      </w:tr>
      <w:tr w:rsidR="000B3F50" w14:paraId="5138FC57" w14:textId="77777777" w:rsidTr="00CD48ED">
        <w:trPr>
          <w:jc w:val="center"/>
        </w:trPr>
        <w:tc>
          <w:tcPr>
            <w:tcW w:w="2088" w:type="dxa"/>
          </w:tcPr>
          <w:p w14:paraId="361107AE" w14:textId="77777777" w:rsidR="000B3F50" w:rsidRDefault="000B3F50" w:rsidP="00CD48ED">
            <w:pPr>
              <w:ind w:right="-720"/>
              <w:rPr>
                <w:rFonts w:ascii="Calibri" w:hAnsi="Calibri"/>
                <w:sz w:val="20"/>
              </w:rPr>
            </w:pPr>
            <w:r>
              <w:rPr>
                <w:rFonts w:ascii="Calibri" w:hAnsi="Calibri"/>
                <w:sz w:val="20"/>
              </w:rPr>
              <w:t>Under 5 Years</w:t>
            </w:r>
          </w:p>
        </w:tc>
        <w:tc>
          <w:tcPr>
            <w:tcW w:w="1080" w:type="dxa"/>
          </w:tcPr>
          <w:p w14:paraId="466065EB" w14:textId="77777777" w:rsidR="000B3F50" w:rsidRPr="00345617" w:rsidRDefault="000B3F50" w:rsidP="00CD48ED">
            <w:pPr>
              <w:pStyle w:val="ecmsonormal"/>
              <w:rPr>
                <w:rFonts w:ascii="Calibri" w:hAnsi="Calibri"/>
                <w:sz w:val="20"/>
                <w:szCs w:val="20"/>
              </w:rPr>
            </w:pPr>
            <w:r>
              <w:rPr>
                <w:rFonts w:ascii="Calibri" w:hAnsi="Calibri"/>
                <w:sz w:val="20"/>
                <w:szCs w:val="20"/>
              </w:rPr>
              <w:t>1,869</w:t>
            </w:r>
          </w:p>
        </w:tc>
        <w:tc>
          <w:tcPr>
            <w:tcW w:w="1080" w:type="dxa"/>
          </w:tcPr>
          <w:p w14:paraId="7B32BBB0" w14:textId="77777777" w:rsidR="000B3F50" w:rsidRPr="00345617" w:rsidRDefault="000B3F50" w:rsidP="00CD48ED">
            <w:pPr>
              <w:pStyle w:val="ecmsonormal"/>
              <w:rPr>
                <w:rFonts w:ascii="Calibri" w:hAnsi="Calibri"/>
                <w:sz w:val="20"/>
                <w:szCs w:val="20"/>
              </w:rPr>
            </w:pPr>
            <w:r>
              <w:rPr>
                <w:rFonts w:ascii="Calibri" w:hAnsi="Calibri"/>
                <w:sz w:val="20"/>
                <w:szCs w:val="20"/>
              </w:rPr>
              <w:t>6.5</w:t>
            </w:r>
          </w:p>
        </w:tc>
        <w:tc>
          <w:tcPr>
            <w:tcW w:w="1260" w:type="dxa"/>
          </w:tcPr>
          <w:p w14:paraId="64574E8A" w14:textId="77777777" w:rsidR="000B3F50" w:rsidRDefault="000B3F50" w:rsidP="00CD48ED">
            <w:pPr>
              <w:ind w:right="-720"/>
              <w:rPr>
                <w:rFonts w:ascii="Calibri" w:hAnsi="Calibri"/>
                <w:sz w:val="20"/>
              </w:rPr>
            </w:pPr>
            <w:r>
              <w:rPr>
                <w:rFonts w:ascii="Calibri" w:hAnsi="Calibri"/>
                <w:sz w:val="20"/>
              </w:rPr>
              <w:t>1,187</w:t>
            </w:r>
          </w:p>
        </w:tc>
        <w:tc>
          <w:tcPr>
            <w:tcW w:w="990" w:type="dxa"/>
          </w:tcPr>
          <w:p w14:paraId="046CEADD" w14:textId="77777777" w:rsidR="000B3F50" w:rsidRDefault="000B3F50" w:rsidP="00CD48ED">
            <w:pPr>
              <w:ind w:right="-720"/>
              <w:rPr>
                <w:rFonts w:ascii="Calibri" w:hAnsi="Calibri"/>
                <w:sz w:val="20"/>
              </w:rPr>
            </w:pPr>
            <w:r>
              <w:rPr>
                <w:rFonts w:ascii="Calibri" w:hAnsi="Calibri"/>
                <w:sz w:val="20"/>
              </w:rPr>
              <w:t>4.0</w:t>
            </w:r>
          </w:p>
        </w:tc>
        <w:tc>
          <w:tcPr>
            <w:tcW w:w="1170" w:type="dxa"/>
          </w:tcPr>
          <w:p w14:paraId="617AD4E2" w14:textId="77777777" w:rsidR="000B3F50" w:rsidRDefault="000B3F50" w:rsidP="00CD48ED">
            <w:pPr>
              <w:ind w:right="-720"/>
              <w:rPr>
                <w:rFonts w:ascii="Calibri" w:hAnsi="Calibri"/>
                <w:sz w:val="20"/>
              </w:rPr>
            </w:pPr>
            <w:r>
              <w:rPr>
                <w:rFonts w:ascii="Calibri" w:hAnsi="Calibri"/>
                <w:sz w:val="20"/>
              </w:rPr>
              <w:t>1,340</w:t>
            </w:r>
          </w:p>
        </w:tc>
        <w:tc>
          <w:tcPr>
            <w:tcW w:w="990" w:type="dxa"/>
          </w:tcPr>
          <w:p w14:paraId="4045CF92" w14:textId="77777777" w:rsidR="000B3F50" w:rsidRDefault="000B3F50" w:rsidP="00CD48ED">
            <w:pPr>
              <w:ind w:right="-720"/>
              <w:rPr>
                <w:rFonts w:ascii="Calibri" w:hAnsi="Calibri"/>
                <w:sz w:val="20"/>
              </w:rPr>
            </w:pPr>
            <w:r>
              <w:rPr>
                <w:rFonts w:ascii="Calibri" w:hAnsi="Calibri"/>
                <w:sz w:val="20"/>
              </w:rPr>
              <w:t>4.7</w:t>
            </w:r>
          </w:p>
        </w:tc>
      </w:tr>
      <w:tr w:rsidR="000B3F50" w14:paraId="5BD075E8" w14:textId="77777777" w:rsidTr="00CD48ED">
        <w:trPr>
          <w:cantSplit/>
          <w:jc w:val="center"/>
        </w:trPr>
        <w:tc>
          <w:tcPr>
            <w:tcW w:w="2088" w:type="dxa"/>
          </w:tcPr>
          <w:p w14:paraId="12356974" w14:textId="77777777" w:rsidR="000B3F50" w:rsidRDefault="000B3F50" w:rsidP="00CD48ED">
            <w:pPr>
              <w:ind w:right="-720"/>
              <w:rPr>
                <w:rFonts w:ascii="Calibri" w:hAnsi="Calibri"/>
                <w:sz w:val="20"/>
              </w:rPr>
            </w:pPr>
            <w:r>
              <w:rPr>
                <w:rFonts w:ascii="Calibri" w:hAnsi="Calibri"/>
                <w:sz w:val="20"/>
              </w:rPr>
              <w:t>5 –14 Years</w:t>
            </w:r>
          </w:p>
        </w:tc>
        <w:tc>
          <w:tcPr>
            <w:tcW w:w="1080" w:type="dxa"/>
          </w:tcPr>
          <w:p w14:paraId="261B446F" w14:textId="77777777" w:rsidR="000B3F50" w:rsidRPr="00345617" w:rsidRDefault="000B3F50" w:rsidP="00CD48ED">
            <w:pPr>
              <w:pStyle w:val="ecmsonormal"/>
              <w:rPr>
                <w:rFonts w:ascii="Calibri" w:hAnsi="Calibri"/>
                <w:sz w:val="20"/>
                <w:szCs w:val="20"/>
              </w:rPr>
            </w:pPr>
            <w:r>
              <w:rPr>
                <w:rFonts w:ascii="Calibri" w:hAnsi="Calibri"/>
                <w:sz w:val="20"/>
                <w:szCs w:val="20"/>
              </w:rPr>
              <w:t>4,952</w:t>
            </w:r>
          </w:p>
        </w:tc>
        <w:tc>
          <w:tcPr>
            <w:tcW w:w="1080" w:type="dxa"/>
          </w:tcPr>
          <w:p w14:paraId="7F1D2020"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0" w:type="dxa"/>
          </w:tcPr>
          <w:p w14:paraId="1B66689C" w14:textId="77777777" w:rsidR="000B3F50" w:rsidRDefault="000B3F50" w:rsidP="00CD48ED">
            <w:pPr>
              <w:ind w:right="-720"/>
              <w:rPr>
                <w:rFonts w:ascii="Calibri" w:hAnsi="Calibri"/>
                <w:sz w:val="20"/>
              </w:rPr>
            </w:pPr>
            <w:r>
              <w:rPr>
                <w:rFonts w:ascii="Calibri" w:hAnsi="Calibri"/>
                <w:sz w:val="20"/>
              </w:rPr>
              <w:t>4,140</w:t>
            </w:r>
          </w:p>
        </w:tc>
        <w:tc>
          <w:tcPr>
            <w:tcW w:w="990" w:type="dxa"/>
          </w:tcPr>
          <w:p w14:paraId="42C7DB40" w14:textId="77777777" w:rsidR="000B3F50" w:rsidRDefault="000B3F50" w:rsidP="00CD48ED">
            <w:pPr>
              <w:ind w:right="-720"/>
              <w:rPr>
                <w:rFonts w:ascii="Calibri" w:hAnsi="Calibri"/>
                <w:sz w:val="20"/>
              </w:rPr>
            </w:pPr>
            <w:r>
              <w:rPr>
                <w:rFonts w:ascii="Calibri" w:hAnsi="Calibri"/>
                <w:sz w:val="20"/>
              </w:rPr>
              <w:t>14.0</w:t>
            </w:r>
          </w:p>
        </w:tc>
        <w:tc>
          <w:tcPr>
            <w:tcW w:w="1170" w:type="dxa"/>
          </w:tcPr>
          <w:p w14:paraId="0832F108" w14:textId="77777777" w:rsidR="000B3F50" w:rsidRDefault="000B3F50" w:rsidP="00CD48ED">
            <w:pPr>
              <w:ind w:right="-720"/>
              <w:rPr>
                <w:rFonts w:ascii="Calibri" w:hAnsi="Calibri"/>
                <w:sz w:val="20"/>
              </w:rPr>
            </w:pPr>
            <w:r>
              <w:rPr>
                <w:rFonts w:ascii="Calibri" w:hAnsi="Calibri"/>
                <w:sz w:val="20"/>
              </w:rPr>
              <w:t>3,133</w:t>
            </w:r>
          </w:p>
        </w:tc>
        <w:tc>
          <w:tcPr>
            <w:tcW w:w="990" w:type="dxa"/>
          </w:tcPr>
          <w:p w14:paraId="25557E06" w14:textId="77777777" w:rsidR="000B3F50" w:rsidRDefault="000B3F50" w:rsidP="00CD48ED">
            <w:pPr>
              <w:ind w:right="-720"/>
              <w:rPr>
                <w:rFonts w:ascii="Calibri" w:hAnsi="Calibri"/>
                <w:sz w:val="20"/>
              </w:rPr>
            </w:pPr>
            <w:r>
              <w:rPr>
                <w:rFonts w:ascii="Calibri" w:hAnsi="Calibri"/>
                <w:sz w:val="20"/>
              </w:rPr>
              <w:t>11.0</w:t>
            </w:r>
          </w:p>
        </w:tc>
      </w:tr>
      <w:tr w:rsidR="000B3F50" w14:paraId="59FB4709" w14:textId="77777777" w:rsidTr="00CD48ED">
        <w:trPr>
          <w:cantSplit/>
          <w:jc w:val="center"/>
        </w:trPr>
        <w:tc>
          <w:tcPr>
            <w:tcW w:w="2088" w:type="dxa"/>
          </w:tcPr>
          <w:p w14:paraId="67483B4B" w14:textId="77777777" w:rsidR="000B3F50" w:rsidRDefault="000B3F50" w:rsidP="00CD48ED">
            <w:pPr>
              <w:ind w:right="-720"/>
              <w:rPr>
                <w:rFonts w:ascii="Calibri" w:hAnsi="Calibri"/>
                <w:sz w:val="20"/>
              </w:rPr>
            </w:pPr>
            <w:r>
              <w:rPr>
                <w:rFonts w:ascii="Calibri" w:hAnsi="Calibri"/>
                <w:sz w:val="20"/>
              </w:rPr>
              <w:t xml:space="preserve">15 – 19 Years </w:t>
            </w:r>
          </w:p>
        </w:tc>
        <w:tc>
          <w:tcPr>
            <w:tcW w:w="1080" w:type="dxa"/>
          </w:tcPr>
          <w:p w14:paraId="5917894E" w14:textId="77777777" w:rsidR="000B3F50" w:rsidRPr="00345617" w:rsidRDefault="000B3F50" w:rsidP="00CD48ED">
            <w:pPr>
              <w:pStyle w:val="ecmsonormal"/>
              <w:rPr>
                <w:rFonts w:ascii="Calibri" w:hAnsi="Calibri"/>
                <w:sz w:val="20"/>
                <w:szCs w:val="20"/>
              </w:rPr>
            </w:pPr>
            <w:r>
              <w:rPr>
                <w:rFonts w:ascii="Calibri" w:hAnsi="Calibri"/>
                <w:sz w:val="20"/>
                <w:szCs w:val="20"/>
              </w:rPr>
              <w:t>1,862</w:t>
            </w:r>
          </w:p>
        </w:tc>
        <w:tc>
          <w:tcPr>
            <w:tcW w:w="1080" w:type="dxa"/>
          </w:tcPr>
          <w:p w14:paraId="76FB661A" w14:textId="77777777" w:rsidR="000B3F50" w:rsidRPr="00345617" w:rsidRDefault="000B3F50" w:rsidP="00CD48ED">
            <w:pPr>
              <w:pStyle w:val="ecmsonormal"/>
              <w:rPr>
                <w:rFonts w:ascii="Calibri" w:hAnsi="Calibri"/>
                <w:sz w:val="20"/>
                <w:szCs w:val="20"/>
              </w:rPr>
            </w:pPr>
            <w:r>
              <w:rPr>
                <w:rFonts w:ascii="Calibri" w:hAnsi="Calibri"/>
                <w:sz w:val="20"/>
                <w:szCs w:val="20"/>
              </w:rPr>
              <w:t>6.4</w:t>
            </w:r>
          </w:p>
        </w:tc>
        <w:tc>
          <w:tcPr>
            <w:tcW w:w="1260" w:type="dxa"/>
          </w:tcPr>
          <w:p w14:paraId="2588DB73" w14:textId="77777777" w:rsidR="000B3F50" w:rsidRDefault="000B3F50" w:rsidP="00CD48ED">
            <w:pPr>
              <w:ind w:right="-720"/>
              <w:rPr>
                <w:rFonts w:ascii="Calibri" w:hAnsi="Calibri"/>
                <w:sz w:val="20"/>
              </w:rPr>
            </w:pPr>
            <w:r>
              <w:rPr>
                <w:rFonts w:ascii="Calibri" w:hAnsi="Calibri"/>
                <w:sz w:val="20"/>
              </w:rPr>
              <w:t>2,479</w:t>
            </w:r>
          </w:p>
        </w:tc>
        <w:tc>
          <w:tcPr>
            <w:tcW w:w="990" w:type="dxa"/>
          </w:tcPr>
          <w:p w14:paraId="0E5782C1" w14:textId="77777777" w:rsidR="000B3F50" w:rsidRDefault="000B3F50" w:rsidP="00CD48ED">
            <w:pPr>
              <w:ind w:right="-720"/>
              <w:rPr>
                <w:rFonts w:ascii="Calibri" w:hAnsi="Calibri"/>
                <w:sz w:val="20"/>
              </w:rPr>
            </w:pPr>
            <w:r>
              <w:rPr>
                <w:rFonts w:ascii="Calibri" w:hAnsi="Calibri"/>
                <w:sz w:val="20"/>
              </w:rPr>
              <w:t>8.4</w:t>
            </w:r>
          </w:p>
        </w:tc>
        <w:tc>
          <w:tcPr>
            <w:tcW w:w="1170" w:type="dxa"/>
          </w:tcPr>
          <w:p w14:paraId="4E3FCD86" w14:textId="77777777" w:rsidR="000B3F50" w:rsidRDefault="000B3F50" w:rsidP="00CD48ED">
            <w:pPr>
              <w:ind w:right="-720"/>
              <w:rPr>
                <w:rFonts w:ascii="Calibri" w:hAnsi="Calibri"/>
                <w:sz w:val="20"/>
              </w:rPr>
            </w:pPr>
            <w:r>
              <w:rPr>
                <w:rFonts w:ascii="Calibri" w:hAnsi="Calibri"/>
                <w:sz w:val="20"/>
              </w:rPr>
              <w:t>1,290</w:t>
            </w:r>
          </w:p>
        </w:tc>
        <w:tc>
          <w:tcPr>
            <w:tcW w:w="990" w:type="dxa"/>
          </w:tcPr>
          <w:p w14:paraId="00BC7C5A" w14:textId="77777777" w:rsidR="000B3F50" w:rsidRDefault="000B3F50" w:rsidP="00CD48ED">
            <w:pPr>
              <w:ind w:right="-720"/>
              <w:rPr>
                <w:rFonts w:ascii="Calibri" w:hAnsi="Calibri"/>
                <w:sz w:val="20"/>
              </w:rPr>
            </w:pPr>
            <w:r>
              <w:rPr>
                <w:rFonts w:ascii="Calibri" w:hAnsi="Calibri"/>
                <w:sz w:val="20"/>
              </w:rPr>
              <w:t>4.5</w:t>
            </w:r>
          </w:p>
        </w:tc>
      </w:tr>
      <w:tr w:rsidR="000B3F50" w14:paraId="1B21BC6A" w14:textId="77777777" w:rsidTr="00CD48ED">
        <w:trPr>
          <w:jc w:val="center"/>
        </w:trPr>
        <w:tc>
          <w:tcPr>
            <w:tcW w:w="2088" w:type="dxa"/>
          </w:tcPr>
          <w:p w14:paraId="17E102E8" w14:textId="77777777" w:rsidR="000B3F50" w:rsidRDefault="000B3F50" w:rsidP="00CD48ED">
            <w:pPr>
              <w:ind w:right="-720"/>
              <w:rPr>
                <w:rFonts w:ascii="Calibri" w:hAnsi="Calibri"/>
                <w:sz w:val="20"/>
              </w:rPr>
            </w:pPr>
            <w:r>
              <w:rPr>
                <w:rFonts w:ascii="Calibri" w:hAnsi="Calibri"/>
                <w:sz w:val="20"/>
              </w:rPr>
              <w:t xml:space="preserve">20 – 24 Years </w:t>
            </w:r>
          </w:p>
        </w:tc>
        <w:tc>
          <w:tcPr>
            <w:tcW w:w="1080" w:type="dxa"/>
          </w:tcPr>
          <w:p w14:paraId="2E394D08" w14:textId="77777777" w:rsidR="000B3F50" w:rsidRPr="00345617" w:rsidRDefault="000B3F50" w:rsidP="00825439">
            <w:pPr>
              <w:pStyle w:val="ecmsonormal"/>
              <w:rPr>
                <w:rFonts w:ascii="Calibri" w:hAnsi="Calibri"/>
                <w:sz w:val="20"/>
                <w:szCs w:val="20"/>
              </w:rPr>
            </w:pPr>
            <w:r>
              <w:rPr>
                <w:rFonts w:ascii="Calibri" w:hAnsi="Calibri"/>
                <w:sz w:val="20"/>
                <w:szCs w:val="20"/>
              </w:rPr>
              <w:t>983</w:t>
            </w:r>
          </w:p>
        </w:tc>
        <w:tc>
          <w:tcPr>
            <w:tcW w:w="1080" w:type="dxa"/>
          </w:tcPr>
          <w:p w14:paraId="674D0212" w14:textId="77777777" w:rsidR="000B3F50" w:rsidRPr="00345617" w:rsidRDefault="000B3F50" w:rsidP="00CD48ED">
            <w:pPr>
              <w:pStyle w:val="ecmsonormal"/>
              <w:rPr>
                <w:rFonts w:ascii="Calibri" w:hAnsi="Calibri"/>
                <w:sz w:val="20"/>
                <w:szCs w:val="20"/>
              </w:rPr>
            </w:pPr>
            <w:r>
              <w:rPr>
                <w:rFonts w:ascii="Calibri" w:hAnsi="Calibri"/>
                <w:sz w:val="20"/>
                <w:szCs w:val="20"/>
              </w:rPr>
              <w:t>3.4</w:t>
            </w:r>
          </w:p>
        </w:tc>
        <w:tc>
          <w:tcPr>
            <w:tcW w:w="1260" w:type="dxa"/>
          </w:tcPr>
          <w:p w14:paraId="10556866" w14:textId="77777777" w:rsidR="000B3F50" w:rsidRDefault="000B3F50" w:rsidP="00CD48ED">
            <w:pPr>
              <w:ind w:right="-720"/>
              <w:rPr>
                <w:rFonts w:ascii="Calibri" w:hAnsi="Calibri"/>
                <w:sz w:val="20"/>
              </w:rPr>
            </w:pPr>
            <w:r>
              <w:rPr>
                <w:rFonts w:ascii="Calibri" w:hAnsi="Calibri"/>
                <w:sz w:val="20"/>
              </w:rPr>
              <w:t>963</w:t>
            </w:r>
          </w:p>
        </w:tc>
        <w:tc>
          <w:tcPr>
            <w:tcW w:w="990" w:type="dxa"/>
          </w:tcPr>
          <w:p w14:paraId="3792CE32" w14:textId="77777777" w:rsidR="000B3F50" w:rsidRDefault="000B3F50" w:rsidP="00CD48ED">
            <w:pPr>
              <w:ind w:right="-720"/>
              <w:rPr>
                <w:rFonts w:ascii="Calibri" w:hAnsi="Calibri"/>
                <w:sz w:val="20"/>
              </w:rPr>
            </w:pPr>
            <w:r>
              <w:rPr>
                <w:rFonts w:ascii="Calibri" w:hAnsi="Calibri"/>
                <w:sz w:val="20"/>
              </w:rPr>
              <w:t>3.3</w:t>
            </w:r>
          </w:p>
        </w:tc>
        <w:tc>
          <w:tcPr>
            <w:tcW w:w="1170" w:type="dxa"/>
          </w:tcPr>
          <w:p w14:paraId="15FD3666" w14:textId="77777777" w:rsidR="000B3F50" w:rsidRDefault="000B3F50" w:rsidP="00CD48ED">
            <w:pPr>
              <w:ind w:right="-720"/>
              <w:rPr>
                <w:rFonts w:ascii="Calibri" w:hAnsi="Calibri"/>
                <w:sz w:val="20"/>
              </w:rPr>
            </w:pPr>
            <w:r>
              <w:rPr>
                <w:rFonts w:ascii="Calibri" w:hAnsi="Calibri"/>
                <w:sz w:val="20"/>
              </w:rPr>
              <w:t>966</w:t>
            </w:r>
          </w:p>
        </w:tc>
        <w:tc>
          <w:tcPr>
            <w:tcW w:w="990" w:type="dxa"/>
          </w:tcPr>
          <w:p w14:paraId="2E1C9F8D" w14:textId="77777777" w:rsidR="000B3F50" w:rsidRDefault="000B3F50" w:rsidP="00CD48ED">
            <w:pPr>
              <w:ind w:right="-720"/>
              <w:rPr>
                <w:rFonts w:ascii="Calibri" w:hAnsi="Calibri"/>
                <w:sz w:val="20"/>
              </w:rPr>
            </w:pPr>
            <w:r>
              <w:rPr>
                <w:rFonts w:ascii="Calibri" w:hAnsi="Calibri"/>
                <w:sz w:val="20"/>
              </w:rPr>
              <w:t>3.4</w:t>
            </w:r>
          </w:p>
        </w:tc>
      </w:tr>
      <w:tr w:rsidR="000B3F50" w14:paraId="2A9B4FD8" w14:textId="77777777" w:rsidTr="00CD48ED">
        <w:trPr>
          <w:cantSplit/>
          <w:jc w:val="center"/>
        </w:trPr>
        <w:tc>
          <w:tcPr>
            <w:tcW w:w="2088" w:type="dxa"/>
          </w:tcPr>
          <w:p w14:paraId="78460054" w14:textId="77777777" w:rsidR="000B3F50" w:rsidRDefault="000B3F50" w:rsidP="00CD48ED">
            <w:pPr>
              <w:ind w:right="-720"/>
              <w:rPr>
                <w:rFonts w:ascii="Calibri" w:hAnsi="Calibri"/>
                <w:sz w:val="20"/>
              </w:rPr>
            </w:pPr>
            <w:r>
              <w:rPr>
                <w:rFonts w:ascii="Calibri" w:hAnsi="Calibri"/>
                <w:sz w:val="20"/>
              </w:rPr>
              <w:t>25 – 34 Years</w:t>
            </w:r>
          </w:p>
        </w:tc>
        <w:tc>
          <w:tcPr>
            <w:tcW w:w="1080" w:type="dxa"/>
          </w:tcPr>
          <w:p w14:paraId="30877DD8" w14:textId="77777777" w:rsidR="000B3F50" w:rsidRPr="00345617" w:rsidRDefault="000B3F50" w:rsidP="00CD48ED">
            <w:pPr>
              <w:pStyle w:val="ecmsonormal"/>
              <w:rPr>
                <w:rFonts w:ascii="Calibri" w:hAnsi="Calibri"/>
                <w:sz w:val="20"/>
                <w:szCs w:val="20"/>
              </w:rPr>
            </w:pPr>
            <w:r>
              <w:rPr>
                <w:rFonts w:ascii="Calibri" w:hAnsi="Calibri"/>
                <w:sz w:val="20"/>
                <w:szCs w:val="20"/>
              </w:rPr>
              <w:t>1,694</w:t>
            </w:r>
          </w:p>
        </w:tc>
        <w:tc>
          <w:tcPr>
            <w:tcW w:w="1080" w:type="dxa"/>
          </w:tcPr>
          <w:p w14:paraId="58F38D87" w14:textId="77777777" w:rsidR="000B3F50" w:rsidRPr="00345617" w:rsidRDefault="000B3F50" w:rsidP="00CD48ED">
            <w:pPr>
              <w:pStyle w:val="ecmsonormal"/>
              <w:rPr>
                <w:rFonts w:ascii="Calibri" w:hAnsi="Calibri"/>
                <w:sz w:val="20"/>
                <w:szCs w:val="20"/>
              </w:rPr>
            </w:pPr>
            <w:r>
              <w:rPr>
                <w:rFonts w:ascii="Calibri" w:hAnsi="Calibri"/>
                <w:sz w:val="20"/>
                <w:szCs w:val="20"/>
              </w:rPr>
              <w:t>5.9</w:t>
            </w:r>
          </w:p>
        </w:tc>
        <w:tc>
          <w:tcPr>
            <w:tcW w:w="1260" w:type="dxa"/>
          </w:tcPr>
          <w:p w14:paraId="12894784" w14:textId="77777777" w:rsidR="000B3F50" w:rsidRDefault="000B3F50" w:rsidP="00CD48ED">
            <w:pPr>
              <w:ind w:right="-720"/>
              <w:rPr>
                <w:rFonts w:ascii="Calibri" w:hAnsi="Calibri"/>
                <w:sz w:val="20"/>
              </w:rPr>
            </w:pPr>
            <w:r>
              <w:rPr>
                <w:rFonts w:ascii="Calibri" w:hAnsi="Calibri"/>
                <w:sz w:val="20"/>
              </w:rPr>
              <w:t>1,680</w:t>
            </w:r>
          </w:p>
        </w:tc>
        <w:tc>
          <w:tcPr>
            <w:tcW w:w="990" w:type="dxa"/>
          </w:tcPr>
          <w:p w14:paraId="378953C4" w14:textId="77777777" w:rsidR="000B3F50" w:rsidRDefault="000B3F50" w:rsidP="00CD48ED">
            <w:pPr>
              <w:ind w:right="-720"/>
              <w:rPr>
                <w:rFonts w:ascii="Calibri" w:hAnsi="Calibri"/>
                <w:sz w:val="20"/>
              </w:rPr>
            </w:pPr>
            <w:r>
              <w:rPr>
                <w:rFonts w:ascii="Calibri" w:hAnsi="Calibri"/>
                <w:sz w:val="20"/>
              </w:rPr>
              <w:t>5.7</w:t>
            </w:r>
          </w:p>
        </w:tc>
        <w:tc>
          <w:tcPr>
            <w:tcW w:w="1170" w:type="dxa"/>
          </w:tcPr>
          <w:p w14:paraId="2A5F649D" w14:textId="77777777" w:rsidR="000B3F50" w:rsidRDefault="000B3F50" w:rsidP="00CD48ED">
            <w:pPr>
              <w:ind w:right="-720"/>
              <w:rPr>
                <w:rFonts w:ascii="Calibri" w:hAnsi="Calibri"/>
                <w:sz w:val="20"/>
              </w:rPr>
            </w:pPr>
            <w:r>
              <w:rPr>
                <w:rFonts w:ascii="Calibri" w:hAnsi="Calibri"/>
                <w:sz w:val="20"/>
              </w:rPr>
              <w:t>2,156</w:t>
            </w:r>
          </w:p>
        </w:tc>
        <w:tc>
          <w:tcPr>
            <w:tcW w:w="990" w:type="dxa"/>
          </w:tcPr>
          <w:p w14:paraId="28A3AFC8" w14:textId="77777777" w:rsidR="000B3F50" w:rsidRDefault="000B3F50" w:rsidP="00CD48ED">
            <w:pPr>
              <w:ind w:right="-720"/>
              <w:rPr>
                <w:rFonts w:ascii="Calibri" w:hAnsi="Calibri"/>
                <w:sz w:val="20"/>
              </w:rPr>
            </w:pPr>
            <w:r>
              <w:rPr>
                <w:rFonts w:ascii="Calibri" w:hAnsi="Calibri"/>
                <w:sz w:val="20"/>
              </w:rPr>
              <w:t>7.6</w:t>
            </w:r>
          </w:p>
        </w:tc>
      </w:tr>
      <w:tr w:rsidR="000B3F50" w14:paraId="074EB5E0" w14:textId="77777777" w:rsidTr="00CD48ED">
        <w:trPr>
          <w:cantSplit/>
          <w:jc w:val="center"/>
        </w:trPr>
        <w:tc>
          <w:tcPr>
            <w:tcW w:w="2088" w:type="dxa"/>
          </w:tcPr>
          <w:p w14:paraId="2352D030" w14:textId="77777777" w:rsidR="000B3F50" w:rsidRDefault="000B3F50" w:rsidP="00CD48ED">
            <w:pPr>
              <w:ind w:right="-720"/>
              <w:rPr>
                <w:rFonts w:ascii="Calibri" w:hAnsi="Calibri"/>
                <w:sz w:val="20"/>
              </w:rPr>
            </w:pPr>
            <w:r>
              <w:rPr>
                <w:rFonts w:ascii="Calibri" w:hAnsi="Calibri"/>
                <w:sz w:val="20"/>
              </w:rPr>
              <w:t>35 – 44 Years</w:t>
            </w:r>
          </w:p>
        </w:tc>
        <w:tc>
          <w:tcPr>
            <w:tcW w:w="1080" w:type="dxa"/>
          </w:tcPr>
          <w:p w14:paraId="3B097630" w14:textId="77777777" w:rsidR="000B3F50" w:rsidRPr="00345617" w:rsidRDefault="000B3F50" w:rsidP="00825439">
            <w:pPr>
              <w:pStyle w:val="ecmsonormal"/>
              <w:rPr>
                <w:rFonts w:ascii="Calibri" w:hAnsi="Calibri"/>
                <w:sz w:val="20"/>
                <w:szCs w:val="20"/>
              </w:rPr>
            </w:pPr>
            <w:r>
              <w:rPr>
                <w:rFonts w:ascii="Calibri" w:hAnsi="Calibri"/>
                <w:sz w:val="20"/>
                <w:szCs w:val="20"/>
              </w:rPr>
              <w:t>4,046</w:t>
            </w:r>
          </w:p>
        </w:tc>
        <w:tc>
          <w:tcPr>
            <w:tcW w:w="1080" w:type="dxa"/>
          </w:tcPr>
          <w:p w14:paraId="7507E47A" w14:textId="77777777" w:rsidR="000B3F50" w:rsidRPr="00345617" w:rsidRDefault="000B3F50" w:rsidP="00CD48ED">
            <w:pPr>
              <w:pStyle w:val="ecmsonormal"/>
              <w:rPr>
                <w:rFonts w:ascii="Calibri" w:hAnsi="Calibri"/>
                <w:sz w:val="20"/>
                <w:szCs w:val="20"/>
              </w:rPr>
            </w:pPr>
            <w:r>
              <w:rPr>
                <w:rFonts w:ascii="Calibri" w:hAnsi="Calibri"/>
                <w:sz w:val="20"/>
                <w:szCs w:val="20"/>
              </w:rPr>
              <w:t>14.0</w:t>
            </w:r>
          </w:p>
        </w:tc>
        <w:tc>
          <w:tcPr>
            <w:tcW w:w="1260" w:type="dxa"/>
          </w:tcPr>
          <w:p w14:paraId="4AD522BE" w14:textId="77777777" w:rsidR="000B3F50" w:rsidRDefault="000B3F50" w:rsidP="00CD48ED">
            <w:pPr>
              <w:ind w:right="-720"/>
              <w:rPr>
                <w:rFonts w:ascii="Calibri" w:hAnsi="Calibri"/>
                <w:sz w:val="20"/>
              </w:rPr>
            </w:pPr>
            <w:r>
              <w:rPr>
                <w:rFonts w:ascii="Calibri" w:hAnsi="Calibri"/>
                <w:sz w:val="20"/>
              </w:rPr>
              <w:t>3,496</w:t>
            </w:r>
          </w:p>
        </w:tc>
        <w:tc>
          <w:tcPr>
            <w:tcW w:w="990" w:type="dxa"/>
          </w:tcPr>
          <w:p w14:paraId="6DA2A7C4" w14:textId="77777777" w:rsidR="000B3F50" w:rsidRDefault="000B3F50" w:rsidP="00CD48ED">
            <w:pPr>
              <w:ind w:right="-720"/>
              <w:rPr>
                <w:rFonts w:ascii="Calibri" w:hAnsi="Calibri"/>
                <w:sz w:val="20"/>
              </w:rPr>
            </w:pPr>
            <w:r>
              <w:rPr>
                <w:rFonts w:ascii="Calibri" w:hAnsi="Calibri"/>
                <w:sz w:val="20"/>
              </w:rPr>
              <w:t>11.8</w:t>
            </w:r>
          </w:p>
        </w:tc>
        <w:tc>
          <w:tcPr>
            <w:tcW w:w="1170" w:type="dxa"/>
          </w:tcPr>
          <w:p w14:paraId="140AF4C1" w14:textId="77777777" w:rsidR="000B3F50" w:rsidRDefault="000B3F50" w:rsidP="00CD48ED">
            <w:pPr>
              <w:ind w:right="-720"/>
              <w:rPr>
                <w:rFonts w:ascii="Calibri" w:hAnsi="Calibri"/>
                <w:sz w:val="20"/>
              </w:rPr>
            </w:pPr>
            <w:r>
              <w:rPr>
                <w:rFonts w:ascii="Calibri" w:hAnsi="Calibri"/>
                <w:sz w:val="20"/>
              </w:rPr>
              <w:t>3,615</w:t>
            </w:r>
          </w:p>
        </w:tc>
        <w:tc>
          <w:tcPr>
            <w:tcW w:w="990" w:type="dxa"/>
          </w:tcPr>
          <w:p w14:paraId="035C4EFB" w14:textId="77777777" w:rsidR="000B3F50" w:rsidRDefault="000B3F50" w:rsidP="00CD48ED">
            <w:pPr>
              <w:ind w:right="-720"/>
              <w:rPr>
                <w:rFonts w:ascii="Calibri" w:hAnsi="Calibri"/>
                <w:sz w:val="20"/>
              </w:rPr>
            </w:pPr>
            <w:r>
              <w:rPr>
                <w:rFonts w:ascii="Calibri" w:hAnsi="Calibri"/>
                <w:sz w:val="20"/>
              </w:rPr>
              <w:t>12.7</w:t>
            </w:r>
          </w:p>
        </w:tc>
      </w:tr>
      <w:tr w:rsidR="000B3F50" w14:paraId="0AD4AF6F" w14:textId="77777777" w:rsidTr="00CD48ED">
        <w:trPr>
          <w:jc w:val="center"/>
        </w:trPr>
        <w:tc>
          <w:tcPr>
            <w:tcW w:w="2088" w:type="dxa"/>
          </w:tcPr>
          <w:p w14:paraId="71A3F8CF" w14:textId="77777777" w:rsidR="000B3F50" w:rsidRDefault="000B3F50" w:rsidP="00CD48ED">
            <w:pPr>
              <w:ind w:right="-720"/>
              <w:rPr>
                <w:rFonts w:ascii="Calibri" w:hAnsi="Calibri"/>
                <w:sz w:val="20"/>
              </w:rPr>
            </w:pPr>
            <w:r>
              <w:rPr>
                <w:rFonts w:ascii="Calibri" w:hAnsi="Calibri"/>
                <w:sz w:val="20"/>
              </w:rPr>
              <w:t>45 – 54 Years</w:t>
            </w:r>
          </w:p>
        </w:tc>
        <w:tc>
          <w:tcPr>
            <w:tcW w:w="1080" w:type="dxa"/>
          </w:tcPr>
          <w:p w14:paraId="3A8D245F" w14:textId="77777777" w:rsidR="000B3F50" w:rsidRPr="00345617" w:rsidRDefault="000B3F50" w:rsidP="00CD48ED">
            <w:pPr>
              <w:pStyle w:val="ecmsonormal"/>
              <w:rPr>
                <w:rFonts w:ascii="Calibri" w:hAnsi="Calibri"/>
                <w:sz w:val="20"/>
                <w:szCs w:val="20"/>
              </w:rPr>
            </w:pPr>
            <w:r>
              <w:rPr>
                <w:rFonts w:ascii="Calibri" w:hAnsi="Calibri"/>
                <w:sz w:val="20"/>
                <w:szCs w:val="20"/>
              </w:rPr>
              <w:t>4,940</w:t>
            </w:r>
          </w:p>
        </w:tc>
        <w:tc>
          <w:tcPr>
            <w:tcW w:w="1080" w:type="dxa"/>
          </w:tcPr>
          <w:p w14:paraId="53B91E10"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0" w:type="dxa"/>
          </w:tcPr>
          <w:p w14:paraId="7FC32593" w14:textId="77777777" w:rsidR="000B3F50" w:rsidRDefault="000B3F50" w:rsidP="00CD48ED">
            <w:pPr>
              <w:ind w:right="-720"/>
              <w:rPr>
                <w:rFonts w:ascii="Calibri" w:hAnsi="Calibri"/>
                <w:sz w:val="20"/>
              </w:rPr>
            </w:pPr>
            <w:r>
              <w:rPr>
                <w:rFonts w:ascii="Calibri" w:hAnsi="Calibri"/>
                <w:sz w:val="20"/>
              </w:rPr>
              <w:t>4,851</w:t>
            </w:r>
          </w:p>
        </w:tc>
        <w:tc>
          <w:tcPr>
            <w:tcW w:w="990" w:type="dxa"/>
          </w:tcPr>
          <w:p w14:paraId="7C856977" w14:textId="77777777" w:rsidR="000B3F50" w:rsidRDefault="000B3F50" w:rsidP="00CD48ED">
            <w:pPr>
              <w:ind w:right="-720"/>
              <w:rPr>
                <w:rFonts w:ascii="Calibri" w:hAnsi="Calibri"/>
                <w:sz w:val="20"/>
              </w:rPr>
            </w:pPr>
            <w:r>
              <w:rPr>
                <w:rFonts w:ascii="Calibri" w:hAnsi="Calibri"/>
                <w:sz w:val="20"/>
              </w:rPr>
              <w:t>16.4</w:t>
            </w:r>
          </w:p>
        </w:tc>
        <w:tc>
          <w:tcPr>
            <w:tcW w:w="1170" w:type="dxa"/>
          </w:tcPr>
          <w:p w14:paraId="252BFE2E" w14:textId="77777777" w:rsidR="000B3F50" w:rsidRDefault="000B3F50" w:rsidP="00CD48ED">
            <w:pPr>
              <w:ind w:right="-720"/>
              <w:rPr>
                <w:rFonts w:ascii="Calibri" w:hAnsi="Calibri"/>
                <w:sz w:val="20"/>
              </w:rPr>
            </w:pPr>
            <w:r>
              <w:rPr>
                <w:rFonts w:ascii="Calibri" w:hAnsi="Calibri"/>
                <w:sz w:val="20"/>
              </w:rPr>
              <w:t>3,918</w:t>
            </w:r>
          </w:p>
        </w:tc>
        <w:tc>
          <w:tcPr>
            <w:tcW w:w="990" w:type="dxa"/>
          </w:tcPr>
          <w:p w14:paraId="23C2FF9B" w14:textId="77777777" w:rsidR="000B3F50" w:rsidRDefault="000B3F50" w:rsidP="00CD48ED">
            <w:pPr>
              <w:ind w:right="-720"/>
              <w:rPr>
                <w:rFonts w:ascii="Calibri" w:hAnsi="Calibri"/>
                <w:sz w:val="20"/>
              </w:rPr>
            </w:pPr>
            <w:r>
              <w:rPr>
                <w:rFonts w:ascii="Calibri" w:hAnsi="Calibri"/>
                <w:sz w:val="20"/>
              </w:rPr>
              <w:t>13.7</w:t>
            </w:r>
          </w:p>
        </w:tc>
      </w:tr>
      <w:tr w:rsidR="000B3F50" w14:paraId="312F8E39" w14:textId="77777777" w:rsidTr="00CD48ED">
        <w:trPr>
          <w:jc w:val="center"/>
        </w:trPr>
        <w:tc>
          <w:tcPr>
            <w:tcW w:w="2088" w:type="dxa"/>
          </w:tcPr>
          <w:p w14:paraId="1C5AEBCD" w14:textId="77777777" w:rsidR="000B3F50" w:rsidRDefault="000B3F50" w:rsidP="00CD48ED">
            <w:pPr>
              <w:ind w:right="-720"/>
              <w:rPr>
                <w:rFonts w:ascii="Calibri" w:hAnsi="Calibri"/>
                <w:sz w:val="20"/>
              </w:rPr>
            </w:pPr>
            <w:r>
              <w:rPr>
                <w:rFonts w:ascii="Calibri" w:hAnsi="Calibri"/>
                <w:sz w:val="20"/>
              </w:rPr>
              <w:t>55 – 64 Years</w:t>
            </w:r>
          </w:p>
        </w:tc>
        <w:tc>
          <w:tcPr>
            <w:tcW w:w="1080" w:type="dxa"/>
          </w:tcPr>
          <w:p w14:paraId="6714CCF8" w14:textId="77777777" w:rsidR="000B3F50" w:rsidRPr="00345617" w:rsidRDefault="000B3F50" w:rsidP="00CD48ED">
            <w:pPr>
              <w:pStyle w:val="ecmsonormal"/>
              <w:rPr>
                <w:rFonts w:ascii="Calibri" w:hAnsi="Calibri"/>
                <w:sz w:val="20"/>
                <w:szCs w:val="20"/>
              </w:rPr>
            </w:pPr>
            <w:r>
              <w:rPr>
                <w:rFonts w:ascii="Calibri" w:hAnsi="Calibri"/>
                <w:sz w:val="20"/>
                <w:szCs w:val="20"/>
              </w:rPr>
              <w:t>3,840</w:t>
            </w:r>
          </w:p>
        </w:tc>
        <w:tc>
          <w:tcPr>
            <w:tcW w:w="1080" w:type="dxa"/>
          </w:tcPr>
          <w:p w14:paraId="24083A76" w14:textId="77777777" w:rsidR="000B3F50" w:rsidRPr="00345617" w:rsidRDefault="000B3F50" w:rsidP="00CD48ED">
            <w:pPr>
              <w:pStyle w:val="ecmsonormal"/>
              <w:rPr>
                <w:rFonts w:ascii="Calibri" w:hAnsi="Calibri"/>
                <w:sz w:val="20"/>
                <w:szCs w:val="20"/>
              </w:rPr>
            </w:pPr>
            <w:r>
              <w:rPr>
                <w:rFonts w:ascii="Calibri" w:hAnsi="Calibri"/>
                <w:sz w:val="20"/>
                <w:szCs w:val="20"/>
              </w:rPr>
              <w:t>13.3</w:t>
            </w:r>
          </w:p>
        </w:tc>
        <w:tc>
          <w:tcPr>
            <w:tcW w:w="1260" w:type="dxa"/>
          </w:tcPr>
          <w:p w14:paraId="6AB777B6" w14:textId="77777777" w:rsidR="000B3F50" w:rsidRDefault="000B3F50" w:rsidP="00CD48ED">
            <w:pPr>
              <w:ind w:right="-720"/>
              <w:rPr>
                <w:rFonts w:ascii="Calibri" w:hAnsi="Calibri"/>
                <w:sz w:val="20"/>
              </w:rPr>
            </w:pPr>
            <w:r>
              <w:rPr>
                <w:rFonts w:ascii="Calibri" w:hAnsi="Calibri"/>
                <w:sz w:val="20"/>
              </w:rPr>
              <w:t>4,739</w:t>
            </w:r>
          </w:p>
        </w:tc>
        <w:tc>
          <w:tcPr>
            <w:tcW w:w="990" w:type="dxa"/>
          </w:tcPr>
          <w:p w14:paraId="1B787FD3" w14:textId="77777777" w:rsidR="000B3F50" w:rsidRDefault="000B3F50" w:rsidP="00CD48ED">
            <w:pPr>
              <w:ind w:right="-720"/>
              <w:rPr>
                <w:rFonts w:ascii="Calibri" w:hAnsi="Calibri"/>
                <w:sz w:val="20"/>
              </w:rPr>
            </w:pPr>
            <w:r>
              <w:rPr>
                <w:rFonts w:ascii="Calibri" w:hAnsi="Calibri"/>
                <w:sz w:val="20"/>
              </w:rPr>
              <w:t>16.0</w:t>
            </w:r>
          </w:p>
        </w:tc>
        <w:tc>
          <w:tcPr>
            <w:tcW w:w="1170" w:type="dxa"/>
          </w:tcPr>
          <w:p w14:paraId="78CC7B0B" w14:textId="77777777" w:rsidR="000B3F50" w:rsidRDefault="000B3F50" w:rsidP="00CD48ED">
            <w:pPr>
              <w:ind w:right="-720"/>
              <w:rPr>
                <w:rFonts w:ascii="Calibri" w:hAnsi="Calibri"/>
                <w:sz w:val="20"/>
              </w:rPr>
            </w:pPr>
            <w:r>
              <w:rPr>
                <w:rFonts w:ascii="Calibri" w:hAnsi="Calibri"/>
                <w:sz w:val="20"/>
              </w:rPr>
              <w:t>4,458</w:t>
            </w:r>
          </w:p>
        </w:tc>
        <w:tc>
          <w:tcPr>
            <w:tcW w:w="990" w:type="dxa"/>
          </w:tcPr>
          <w:p w14:paraId="57995A71" w14:textId="77777777" w:rsidR="000B3F50" w:rsidRDefault="000B3F50" w:rsidP="00CD48ED">
            <w:pPr>
              <w:ind w:right="-720"/>
              <w:rPr>
                <w:rFonts w:ascii="Calibri" w:hAnsi="Calibri"/>
                <w:sz w:val="20"/>
              </w:rPr>
            </w:pPr>
            <w:r>
              <w:rPr>
                <w:rFonts w:ascii="Calibri" w:hAnsi="Calibri"/>
                <w:sz w:val="20"/>
              </w:rPr>
              <w:t>15.6</w:t>
            </w:r>
          </w:p>
        </w:tc>
      </w:tr>
      <w:tr w:rsidR="000B3F50" w14:paraId="4F7B05A7" w14:textId="77777777" w:rsidTr="00CD48ED">
        <w:trPr>
          <w:jc w:val="center"/>
        </w:trPr>
        <w:tc>
          <w:tcPr>
            <w:tcW w:w="2088" w:type="dxa"/>
          </w:tcPr>
          <w:p w14:paraId="086FED23" w14:textId="77777777" w:rsidR="000B3F50" w:rsidRDefault="000B3F50" w:rsidP="00CD48ED">
            <w:pPr>
              <w:ind w:right="-720"/>
              <w:rPr>
                <w:rFonts w:ascii="Calibri" w:hAnsi="Calibri"/>
                <w:sz w:val="20"/>
              </w:rPr>
            </w:pPr>
            <w:r>
              <w:rPr>
                <w:rFonts w:ascii="Calibri" w:hAnsi="Calibri"/>
                <w:sz w:val="20"/>
              </w:rPr>
              <w:t>65 – 74 Years</w:t>
            </w:r>
          </w:p>
        </w:tc>
        <w:tc>
          <w:tcPr>
            <w:tcW w:w="1080" w:type="dxa"/>
          </w:tcPr>
          <w:p w14:paraId="48E915AE" w14:textId="77777777" w:rsidR="000B3F50" w:rsidRPr="00345617" w:rsidRDefault="000B3F50" w:rsidP="00B52CF9">
            <w:pPr>
              <w:pStyle w:val="ecmsonormal"/>
              <w:rPr>
                <w:rFonts w:ascii="Calibri" w:hAnsi="Calibri"/>
                <w:sz w:val="20"/>
                <w:szCs w:val="20"/>
              </w:rPr>
            </w:pPr>
            <w:r>
              <w:rPr>
                <w:rFonts w:ascii="Calibri" w:hAnsi="Calibri"/>
                <w:sz w:val="20"/>
                <w:szCs w:val="20"/>
              </w:rPr>
              <w:t>2,053</w:t>
            </w:r>
          </w:p>
        </w:tc>
        <w:tc>
          <w:tcPr>
            <w:tcW w:w="1080" w:type="dxa"/>
          </w:tcPr>
          <w:p w14:paraId="30F1965E" w14:textId="77777777" w:rsidR="000B3F50" w:rsidRPr="00345617" w:rsidRDefault="000B3F50" w:rsidP="00CD48ED">
            <w:pPr>
              <w:pStyle w:val="ecmsonormal"/>
              <w:rPr>
                <w:rFonts w:ascii="Calibri" w:hAnsi="Calibri"/>
                <w:sz w:val="20"/>
                <w:szCs w:val="20"/>
              </w:rPr>
            </w:pPr>
            <w:r>
              <w:rPr>
                <w:rFonts w:ascii="Calibri" w:hAnsi="Calibri"/>
                <w:sz w:val="20"/>
                <w:szCs w:val="20"/>
              </w:rPr>
              <w:t>7.1</w:t>
            </w:r>
          </w:p>
        </w:tc>
        <w:tc>
          <w:tcPr>
            <w:tcW w:w="1260" w:type="dxa"/>
          </w:tcPr>
          <w:p w14:paraId="3F226C0A" w14:textId="77777777" w:rsidR="000B3F50" w:rsidRDefault="000B3F50" w:rsidP="00CD48ED">
            <w:pPr>
              <w:ind w:right="-720"/>
              <w:rPr>
                <w:rFonts w:ascii="Calibri" w:hAnsi="Calibri"/>
                <w:sz w:val="20"/>
              </w:rPr>
            </w:pPr>
            <w:r>
              <w:rPr>
                <w:rFonts w:ascii="Calibri" w:hAnsi="Calibri"/>
                <w:sz w:val="20"/>
              </w:rPr>
              <w:t>3,242</w:t>
            </w:r>
          </w:p>
        </w:tc>
        <w:tc>
          <w:tcPr>
            <w:tcW w:w="990" w:type="dxa"/>
          </w:tcPr>
          <w:p w14:paraId="269797F2" w14:textId="77777777" w:rsidR="000B3F50" w:rsidRDefault="000B3F50" w:rsidP="00CD48ED">
            <w:pPr>
              <w:ind w:right="-720"/>
              <w:rPr>
                <w:rFonts w:ascii="Calibri" w:hAnsi="Calibri"/>
                <w:sz w:val="20"/>
              </w:rPr>
            </w:pPr>
            <w:r>
              <w:rPr>
                <w:rFonts w:ascii="Calibri" w:hAnsi="Calibri"/>
                <w:sz w:val="20"/>
              </w:rPr>
              <w:t>10.9</w:t>
            </w:r>
          </w:p>
        </w:tc>
        <w:tc>
          <w:tcPr>
            <w:tcW w:w="1170" w:type="dxa"/>
          </w:tcPr>
          <w:p w14:paraId="20ACF05D" w14:textId="77777777" w:rsidR="000B3F50" w:rsidRDefault="000B3F50" w:rsidP="00CD48ED">
            <w:pPr>
              <w:ind w:right="-720"/>
              <w:rPr>
                <w:rFonts w:ascii="Calibri" w:hAnsi="Calibri"/>
                <w:sz w:val="20"/>
              </w:rPr>
            </w:pPr>
            <w:r>
              <w:rPr>
                <w:rFonts w:ascii="Calibri" w:hAnsi="Calibri"/>
                <w:sz w:val="20"/>
              </w:rPr>
              <w:t>3,896</w:t>
            </w:r>
          </w:p>
        </w:tc>
        <w:tc>
          <w:tcPr>
            <w:tcW w:w="990" w:type="dxa"/>
          </w:tcPr>
          <w:p w14:paraId="258DE446" w14:textId="77777777" w:rsidR="000B3F50" w:rsidRDefault="000B3F50" w:rsidP="00CD48ED">
            <w:pPr>
              <w:ind w:right="-720"/>
              <w:rPr>
                <w:rFonts w:ascii="Calibri" w:hAnsi="Calibri"/>
                <w:sz w:val="20"/>
              </w:rPr>
            </w:pPr>
            <w:r>
              <w:rPr>
                <w:rFonts w:ascii="Calibri" w:hAnsi="Calibri"/>
                <w:sz w:val="20"/>
              </w:rPr>
              <w:t>13.7</w:t>
            </w:r>
          </w:p>
        </w:tc>
      </w:tr>
      <w:tr w:rsidR="000B3F50" w14:paraId="76D5944E" w14:textId="77777777" w:rsidTr="00CD48ED">
        <w:trPr>
          <w:jc w:val="center"/>
        </w:trPr>
        <w:tc>
          <w:tcPr>
            <w:tcW w:w="2088" w:type="dxa"/>
          </w:tcPr>
          <w:p w14:paraId="3D94C8A9" w14:textId="77777777" w:rsidR="000B3F50" w:rsidRDefault="000B3F50" w:rsidP="00CD48ED">
            <w:pPr>
              <w:ind w:right="-720"/>
              <w:rPr>
                <w:rFonts w:ascii="Calibri" w:hAnsi="Calibri"/>
                <w:sz w:val="20"/>
              </w:rPr>
            </w:pPr>
            <w:r>
              <w:rPr>
                <w:rFonts w:ascii="Calibri" w:hAnsi="Calibri"/>
                <w:sz w:val="20"/>
              </w:rPr>
              <w:t>75 – 84 Years</w:t>
            </w:r>
          </w:p>
        </w:tc>
        <w:tc>
          <w:tcPr>
            <w:tcW w:w="1080" w:type="dxa"/>
          </w:tcPr>
          <w:p w14:paraId="0FE2D1F1" w14:textId="77777777" w:rsidR="000B3F50" w:rsidRPr="00345617" w:rsidRDefault="000B3F50" w:rsidP="00CD48ED">
            <w:pPr>
              <w:pStyle w:val="ecmsonormal"/>
              <w:rPr>
                <w:rFonts w:ascii="Calibri" w:hAnsi="Calibri"/>
                <w:sz w:val="20"/>
                <w:szCs w:val="20"/>
              </w:rPr>
            </w:pPr>
            <w:r>
              <w:rPr>
                <w:rFonts w:ascii="Calibri" w:hAnsi="Calibri"/>
                <w:sz w:val="20"/>
                <w:szCs w:val="20"/>
              </w:rPr>
              <w:t>1,606</w:t>
            </w:r>
          </w:p>
        </w:tc>
        <w:tc>
          <w:tcPr>
            <w:tcW w:w="1080" w:type="dxa"/>
          </w:tcPr>
          <w:p w14:paraId="0B9CB62A" w14:textId="77777777" w:rsidR="000B3F50" w:rsidRPr="00345617" w:rsidRDefault="000B3F50" w:rsidP="00CD48ED">
            <w:pPr>
              <w:pStyle w:val="ecmsonormal"/>
              <w:rPr>
                <w:rFonts w:ascii="Calibri" w:hAnsi="Calibri"/>
                <w:sz w:val="20"/>
                <w:szCs w:val="20"/>
              </w:rPr>
            </w:pPr>
            <w:r>
              <w:rPr>
                <w:rFonts w:ascii="Calibri" w:hAnsi="Calibri"/>
                <w:sz w:val="20"/>
                <w:szCs w:val="20"/>
              </w:rPr>
              <w:t>5.6</w:t>
            </w:r>
          </w:p>
        </w:tc>
        <w:tc>
          <w:tcPr>
            <w:tcW w:w="1260" w:type="dxa"/>
          </w:tcPr>
          <w:p w14:paraId="160511CC" w14:textId="77777777" w:rsidR="000B3F50" w:rsidRDefault="000B3F50" w:rsidP="00CD48ED">
            <w:pPr>
              <w:ind w:right="-720"/>
              <w:rPr>
                <w:rFonts w:ascii="Calibri" w:hAnsi="Calibri"/>
                <w:sz w:val="20"/>
              </w:rPr>
            </w:pPr>
            <w:r>
              <w:rPr>
                <w:rFonts w:ascii="Calibri" w:hAnsi="Calibri"/>
                <w:sz w:val="20"/>
              </w:rPr>
              <w:t>1,680</w:t>
            </w:r>
          </w:p>
        </w:tc>
        <w:tc>
          <w:tcPr>
            <w:tcW w:w="990" w:type="dxa"/>
          </w:tcPr>
          <w:p w14:paraId="5B887CD9" w14:textId="77777777" w:rsidR="000B3F50" w:rsidRDefault="000B3F50" w:rsidP="00CD48ED">
            <w:pPr>
              <w:ind w:right="-720"/>
              <w:rPr>
                <w:rFonts w:ascii="Calibri" w:hAnsi="Calibri"/>
                <w:sz w:val="20"/>
              </w:rPr>
            </w:pPr>
            <w:r>
              <w:rPr>
                <w:rFonts w:ascii="Calibri" w:hAnsi="Calibri"/>
                <w:sz w:val="20"/>
              </w:rPr>
              <w:t>5.7</w:t>
            </w:r>
          </w:p>
        </w:tc>
        <w:tc>
          <w:tcPr>
            <w:tcW w:w="1170" w:type="dxa"/>
          </w:tcPr>
          <w:p w14:paraId="1E2A8473" w14:textId="77777777" w:rsidR="000B3F50" w:rsidRDefault="000B3F50" w:rsidP="00CD48ED">
            <w:pPr>
              <w:ind w:right="-720"/>
              <w:rPr>
                <w:rFonts w:ascii="Calibri" w:hAnsi="Calibri"/>
                <w:sz w:val="20"/>
              </w:rPr>
            </w:pPr>
            <w:r>
              <w:rPr>
                <w:rFonts w:ascii="Calibri" w:hAnsi="Calibri"/>
                <w:sz w:val="20"/>
              </w:rPr>
              <w:t>2,559</w:t>
            </w:r>
          </w:p>
        </w:tc>
        <w:tc>
          <w:tcPr>
            <w:tcW w:w="990" w:type="dxa"/>
          </w:tcPr>
          <w:p w14:paraId="6027EDAB" w14:textId="77777777" w:rsidR="000B3F50" w:rsidRDefault="000B3F50" w:rsidP="00CD48ED">
            <w:pPr>
              <w:ind w:right="-720"/>
              <w:rPr>
                <w:rFonts w:ascii="Calibri" w:hAnsi="Calibri"/>
                <w:sz w:val="20"/>
              </w:rPr>
            </w:pPr>
            <w:r>
              <w:rPr>
                <w:rFonts w:ascii="Calibri" w:hAnsi="Calibri"/>
                <w:sz w:val="20"/>
              </w:rPr>
              <w:t>9.0</w:t>
            </w:r>
          </w:p>
        </w:tc>
      </w:tr>
      <w:tr w:rsidR="000B3F50" w14:paraId="2D16964B" w14:textId="77777777" w:rsidTr="00CD48ED">
        <w:trPr>
          <w:jc w:val="center"/>
        </w:trPr>
        <w:tc>
          <w:tcPr>
            <w:tcW w:w="2088" w:type="dxa"/>
          </w:tcPr>
          <w:p w14:paraId="7AA776B5" w14:textId="77777777" w:rsidR="000B3F50" w:rsidRDefault="000B3F50" w:rsidP="00CD48ED">
            <w:pPr>
              <w:ind w:right="-720"/>
              <w:rPr>
                <w:rFonts w:ascii="Calibri" w:hAnsi="Calibri"/>
                <w:sz w:val="20"/>
              </w:rPr>
            </w:pPr>
            <w:r>
              <w:rPr>
                <w:rFonts w:ascii="Calibri" w:hAnsi="Calibri"/>
                <w:sz w:val="20"/>
              </w:rPr>
              <w:t>85 Years and Over</w:t>
            </w:r>
          </w:p>
        </w:tc>
        <w:tc>
          <w:tcPr>
            <w:tcW w:w="1080" w:type="dxa"/>
          </w:tcPr>
          <w:p w14:paraId="0582000F" w14:textId="77777777" w:rsidR="000B3F50" w:rsidRPr="00345617" w:rsidRDefault="000B3F50" w:rsidP="00CD48ED">
            <w:pPr>
              <w:pStyle w:val="ecmsonormal"/>
              <w:rPr>
                <w:rFonts w:ascii="Calibri" w:hAnsi="Calibri"/>
                <w:sz w:val="20"/>
                <w:szCs w:val="20"/>
              </w:rPr>
            </w:pPr>
            <w:r>
              <w:rPr>
                <w:rFonts w:ascii="Calibri" w:hAnsi="Calibri"/>
                <w:sz w:val="20"/>
                <w:szCs w:val="20"/>
              </w:rPr>
              <w:t>1,041</w:t>
            </w:r>
          </w:p>
        </w:tc>
        <w:tc>
          <w:tcPr>
            <w:tcW w:w="1080" w:type="dxa"/>
          </w:tcPr>
          <w:p w14:paraId="6748EE21" w14:textId="77777777" w:rsidR="000B3F50" w:rsidRPr="00345617" w:rsidRDefault="000B3F50" w:rsidP="00CD48ED">
            <w:pPr>
              <w:pStyle w:val="ecmsonormal"/>
              <w:rPr>
                <w:rFonts w:ascii="Calibri" w:hAnsi="Calibri"/>
                <w:sz w:val="20"/>
                <w:szCs w:val="20"/>
              </w:rPr>
            </w:pPr>
            <w:r>
              <w:rPr>
                <w:rFonts w:ascii="Calibri" w:hAnsi="Calibri"/>
                <w:sz w:val="20"/>
                <w:szCs w:val="20"/>
              </w:rPr>
              <w:t>3.6</w:t>
            </w:r>
          </w:p>
        </w:tc>
        <w:tc>
          <w:tcPr>
            <w:tcW w:w="1260" w:type="dxa"/>
          </w:tcPr>
          <w:p w14:paraId="73E4480B" w14:textId="77777777" w:rsidR="000B3F50" w:rsidRDefault="000B3F50" w:rsidP="00CD48ED">
            <w:pPr>
              <w:ind w:right="-720"/>
              <w:rPr>
                <w:rFonts w:ascii="Calibri" w:hAnsi="Calibri"/>
                <w:sz w:val="20"/>
              </w:rPr>
            </w:pPr>
            <w:r>
              <w:rPr>
                <w:rFonts w:ascii="Calibri" w:hAnsi="Calibri"/>
                <w:sz w:val="20"/>
              </w:rPr>
              <w:t>1,153</w:t>
            </w:r>
          </w:p>
        </w:tc>
        <w:tc>
          <w:tcPr>
            <w:tcW w:w="990" w:type="dxa"/>
          </w:tcPr>
          <w:p w14:paraId="17ACC8F5" w14:textId="77777777" w:rsidR="000B3F50" w:rsidRDefault="000B3F50" w:rsidP="00CD48ED">
            <w:pPr>
              <w:ind w:right="-720"/>
              <w:rPr>
                <w:rFonts w:ascii="Calibri" w:hAnsi="Calibri"/>
                <w:sz w:val="20"/>
              </w:rPr>
            </w:pPr>
            <w:r>
              <w:rPr>
                <w:rFonts w:ascii="Calibri" w:hAnsi="Calibri"/>
                <w:sz w:val="20"/>
              </w:rPr>
              <w:t>3.9</w:t>
            </w:r>
          </w:p>
        </w:tc>
        <w:tc>
          <w:tcPr>
            <w:tcW w:w="1170" w:type="dxa"/>
          </w:tcPr>
          <w:p w14:paraId="5AA61553" w14:textId="77777777" w:rsidR="000B3F50" w:rsidRDefault="000B3F50" w:rsidP="00CD48ED">
            <w:pPr>
              <w:ind w:right="-720"/>
              <w:rPr>
                <w:rFonts w:ascii="Calibri" w:hAnsi="Calibri"/>
                <w:sz w:val="20"/>
              </w:rPr>
            </w:pPr>
            <w:r>
              <w:rPr>
                <w:rFonts w:ascii="Calibri" w:hAnsi="Calibri"/>
                <w:sz w:val="20"/>
              </w:rPr>
              <w:t>1,208</w:t>
            </w:r>
          </w:p>
        </w:tc>
        <w:tc>
          <w:tcPr>
            <w:tcW w:w="990" w:type="dxa"/>
          </w:tcPr>
          <w:p w14:paraId="308D0571" w14:textId="77777777" w:rsidR="000B3F50" w:rsidRDefault="000B3F50" w:rsidP="00CD48ED">
            <w:pPr>
              <w:ind w:right="-720"/>
              <w:rPr>
                <w:rFonts w:ascii="Calibri" w:hAnsi="Calibri"/>
                <w:sz w:val="20"/>
              </w:rPr>
            </w:pPr>
            <w:r>
              <w:rPr>
                <w:rFonts w:ascii="Calibri" w:hAnsi="Calibri"/>
                <w:sz w:val="20"/>
              </w:rPr>
              <w:t>4.2</w:t>
            </w:r>
          </w:p>
        </w:tc>
      </w:tr>
      <w:tr w:rsidR="000B3F50" w14:paraId="65F2D684" w14:textId="77777777" w:rsidTr="00CD48ED">
        <w:trPr>
          <w:jc w:val="center"/>
        </w:trPr>
        <w:tc>
          <w:tcPr>
            <w:tcW w:w="2088" w:type="dxa"/>
            <w:tcBorders>
              <w:bottom w:val="single" w:sz="18" w:space="0" w:color="auto"/>
            </w:tcBorders>
          </w:tcPr>
          <w:p w14:paraId="569097B5" w14:textId="77777777" w:rsidR="000B3F50" w:rsidRDefault="000B3F50" w:rsidP="00CD48ED">
            <w:pPr>
              <w:ind w:right="-720"/>
              <w:rPr>
                <w:rFonts w:ascii="Calibri" w:hAnsi="Calibri"/>
                <w:sz w:val="20"/>
              </w:rPr>
            </w:pPr>
            <w:r>
              <w:rPr>
                <w:rFonts w:ascii="Calibri" w:hAnsi="Calibri"/>
                <w:sz w:val="20"/>
              </w:rPr>
              <w:lastRenderedPageBreak/>
              <w:t>Total</w:t>
            </w:r>
          </w:p>
        </w:tc>
        <w:tc>
          <w:tcPr>
            <w:tcW w:w="1080" w:type="dxa"/>
            <w:tcBorders>
              <w:bottom w:val="single" w:sz="18" w:space="0" w:color="auto"/>
            </w:tcBorders>
          </w:tcPr>
          <w:p w14:paraId="0418DA24" w14:textId="77777777" w:rsidR="000B3F50" w:rsidRPr="00345617" w:rsidRDefault="000B3F50" w:rsidP="00CD48ED">
            <w:pPr>
              <w:pStyle w:val="ecmsonormal"/>
              <w:rPr>
                <w:rFonts w:ascii="Calibri" w:hAnsi="Calibri"/>
                <w:sz w:val="20"/>
                <w:szCs w:val="20"/>
              </w:rPr>
            </w:pPr>
            <w:r>
              <w:rPr>
                <w:rFonts w:ascii="Calibri" w:hAnsi="Calibri"/>
                <w:sz w:val="20"/>
                <w:szCs w:val="20"/>
              </w:rPr>
              <w:t>28,886</w:t>
            </w:r>
          </w:p>
        </w:tc>
        <w:tc>
          <w:tcPr>
            <w:tcW w:w="1080" w:type="dxa"/>
            <w:tcBorders>
              <w:bottom w:val="single" w:sz="18" w:space="0" w:color="auto"/>
            </w:tcBorders>
          </w:tcPr>
          <w:p w14:paraId="48755352" w14:textId="77777777" w:rsidR="000B3F50" w:rsidRPr="00345617" w:rsidRDefault="000B3F50" w:rsidP="00CD48ED">
            <w:pPr>
              <w:pStyle w:val="ecmsonormal"/>
              <w:rPr>
                <w:rFonts w:ascii="Calibri" w:hAnsi="Calibri"/>
                <w:sz w:val="20"/>
                <w:szCs w:val="20"/>
              </w:rPr>
            </w:pPr>
            <w:r>
              <w:rPr>
                <w:rFonts w:ascii="Calibri" w:hAnsi="Calibri"/>
                <w:sz w:val="20"/>
                <w:szCs w:val="20"/>
              </w:rPr>
              <w:t>100.0</w:t>
            </w:r>
          </w:p>
        </w:tc>
        <w:tc>
          <w:tcPr>
            <w:tcW w:w="1260" w:type="dxa"/>
            <w:tcBorders>
              <w:bottom w:val="single" w:sz="18" w:space="0" w:color="auto"/>
            </w:tcBorders>
          </w:tcPr>
          <w:p w14:paraId="580A4C20" w14:textId="77777777" w:rsidR="000B3F50" w:rsidRDefault="000B3F50" w:rsidP="00CD48ED">
            <w:pPr>
              <w:ind w:right="-720"/>
              <w:rPr>
                <w:rFonts w:ascii="Calibri" w:hAnsi="Calibri"/>
                <w:sz w:val="20"/>
              </w:rPr>
            </w:pPr>
            <w:r>
              <w:rPr>
                <w:rFonts w:ascii="Calibri" w:hAnsi="Calibri"/>
                <w:sz w:val="20"/>
              </w:rPr>
              <w:t>29,610</w:t>
            </w:r>
          </w:p>
        </w:tc>
        <w:tc>
          <w:tcPr>
            <w:tcW w:w="990" w:type="dxa"/>
            <w:tcBorders>
              <w:bottom w:val="single" w:sz="18" w:space="0" w:color="auto"/>
            </w:tcBorders>
          </w:tcPr>
          <w:p w14:paraId="1E175193" w14:textId="77777777" w:rsidR="000B3F50" w:rsidRDefault="000B3F50" w:rsidP="00CD48ED">
            <w:pPr>
              <w:ind w:right="-720"/>
              <w:rPr>
                <w:rFonts w:ascii="Calibri" w:hAnsi="Calibri"/>
                <w:sz w:val="20"/>
              </w:rPr>
            </w:pPr>
            <w:r>
              <w:rPr>
                <w:rFonts w:ascii="Calibri" w:hAnsi="Calibri"/>
                <w:sz w:val="20"/>
              </w:rPr>
              <w:t>100.0</w:t>
            </w:r>
          </w:p>
        </w:tc>
        <w:tc>
          <w:tcPr>
            <w:tcW w:w="1170" w:type="dxa"/>
            <w:tcBorders>
              <w:bottom w:val="single" w:sz="18" w:space="0" w:color="auto"/>
            </w:tcBorders>
          </w:tcPr>
          <w:p w14:paraId="7FA14818" w14:textId="77777777" w:rsidR="000B3F50" w:rsidRDefault="000B3F50" w:rsidP="00CD48ED">
            <w:pPr>
              <w:ind w:right="-720"/>
              <w:rPr>
                <w:rFonts w:ascii="Calibri" w:hAnsi="Calibri"/>
                <w:sz w:val="20"/>
              </w:rPr>
            </w:pPr>
            <w:r>
              <w:rPr>
                <w:rFonts w:ascii="Calibri" w:hAnsi="Calibri"/>
                <w:sz w:val="20"/>
              </w:rPr>
              <w:t>28,539</w:t>
            </w:r>
          </w:p>
        </w:tc>
        <w:tc>
          <w:tcPr>
            <w:tcW w:w="990" w:type="dxa"/>
            <w:tcBorders>
              <w:bottom w:val="single" w:sz="18" w:space="0" w:color="auto"/>
            </w:tcBorders>
          </w:tcPr>
          <w:p w14:paraId="6957BCCC" w14:textId="77777777" w:rsidR="000B3F50" w:rsidRDefault="000B3F50" w:rsidP="00CD48ED">
            <w:pPr>
              <w:ind w:right="-720"/>
              <w:rPr>
                <w:rFonts w:ascii="Calibri" w:hAnsi="Calibri"/>
                <w:sz w:val="20"/>
              </w:rPr>
            </w:pPr>
            <w:r>
              <w:rPr>
                <w:rFonts w:ascii="Calibri" w:hAnsi="Calibri"/>
                <w:sz w:val="20"/>
              </w:rPr>
              <w:t>100.0</w:t>
            </w:r>
          </w:p>
        </w:tc>
      </w:tr>
      <w:tr w:rsidR="000B3F50" w14:paraId="0B6EB9C4" w14:textId="77777777" w:rsidTr="00CD48ED">
        <w:trPr>
          <w:jc w:val="center"/>
        </w:trPr>
        <w:tc>
          <w:tcPr>
            <w:tcW w:w="2088" w:type="dxa"/>
          </w:tcPr>
          <w:p w14:paraId="301C822F" w14:textId="77777777" w:rsidR="000B3F50" w:rsidRDefault="000B3F50" w:rsidP="00CD48ED">
            <w:pPr>
              <w:ind w:right="-720"/>
              <w:rPr>
                <w:rFonts w:ascii="Calibri" w:hAnsi="Calibri"/>
                <w:sz w:val="20"/>
              </w:rPr>
            </w:pPr>
            <w:r>
              <w:rPr>
                <w:rFonts w:ascii="Calibri" w:hAnsi="Calibri"/>
                <w:sz w:val="20"/>
              </w:rPr>
              <w:t>Under 20 Years</w:t>
            </w:r>
          </w:p>
        </w:tc>
        <w:tc>
          <w:tcPr>
            <w:tcW w:w="1080" w:type="dxa"/>
          </w:tcPr>
          <w:p w14:paraId="50BB250F" w14:textId="77777777" w:rsidR="000B3F50" w:rsidRPr="00345617" w:rsidRDefault="000B3F50" w:rsidP="00CD48ED">
            <w:pPr>
              <w:rPr>
                <w:rFonts w:ascii="Calibri" w:hAnsi="Calibri"/>
                <w:sz w:val="20"/>
              </w:rPr>
            </w:pPr>
            <w:r>
              <w:rPr>
                <w:rFonts w:ascii="Calibri" w:hAnsi="Calibri"/>
                <w:sz w:val="20"/>
              </w:rPr>
              <w:t>8,683</w:t>
            </w:r>
          </w:p>
        </w:tc>
        <w:tc>
          <w:tcPr>
            <w:tcW w:w="1080" w:type="dxa"/>
          </w:tcPr>
          <w:p w14:paraId="36897E13" w14:textId="77777777" w:rsidR="000B3F50" w:rsidRPr="00345617" w:rsidRDefault="000B3F50" w:rsidP="00CD48ED">
            <w:pPr>
              <w:rPr>
                <w:rFonts w:ascii="Calibri" w:hAnsi="Calibri"/>
                <w:sz w:val="20"/>
              </w:rPr>
            </w:pPr>
            <w:r>
              <w:rPr>
                <w:rFonts w:ascii="Calibri" w:hAnsi="Calibri"/>
                <w:sz w:val="20"/>
              </w:rPr>
              <w:t>30.1</w:t>
            </w:r>
          </w:p>
        </w:tc>
        <w:tc>
          <w:tcPr>
            <w:tcW w:w="1260" w:type="dxa"/>
          </w:tcPr>
          <w:p w14:paraId="53B67FA2" w14:textId="77777777" w:rsidR="000B3F50" w:rsidRDefault="000B3F50" w:rsidP="00CD48ED">
            <w:pPr>
              <w:ind w:right="-720"/>
              <w:rPr>
                <w:rFonts w:ascii="Calibri" w:hAnsi="Calibri"/>
                <w:sz w:val="20"/>
              </w:rPr>
            </w:pPr>
            <w:r>
              <w:rPr>
                <w:rFonts w:ascii="Calibri" w:hAnsi="Calibri"/>
                <w:sz w:val="20"/>
              </w:rPr>
              <w:t>7,806</w:t>
            </w:r>
          </w:p>
        </w:tc>
        <w:tc>
          <w:tcPr>
            <w:tcW w:w="990" w:type="dxa"/>
          </w:tcPr>
          <w:p w14:paraId="1B4B56CD" w14:textId="77777777" w:rsidR="000B3F50" w:rsidRDefault="000B3F50" w:rsidP="00CD48ED">
            <w:pPr>
              <w:ind w:right="-720"/>
              <w:rPr>
                <w:rFonts w:ascii="Calibri" w:hAnsi="Calibri"/>
                <w:sz w:val="20"/>
              </w:rPr>
            </w:pPr>
            <w:r>
              <w:rPr>
                <w:rFonts w:ascii="Calibri" w:hAnsi="Calibri"/>
                <w:sz w:val="20"/>
              </w:rPr>
              <w:t>26.4</w:t>
            </w:r>
          </w:p>
        </w:tc>
        <w:tc>
          <w:tcPr>
            <w:tcW w:w="1170" w:type="dxa"/>
          </w:tcPr>
          <w:p w14:paraId="344DADFF" w14:textId="77777777" w:rsidR="000B3F50" w:rsidRDefault="000B3F50" w:rsidP="00CD48ED">
            <w:pPr>
              <w:ind w:right="-720"/>
              <w:rPr>
                <w:rFonts w:ascii="Calibri" w:hAnsi="Calibri"/>
                <w:sz w:val="20"/>
              </w:rPr>
            </w:pPr>
            <w:r>
              <w:rPr>
                <w:rFonts w:ascii="Calibri" w:hAnsi="Calibri"/>
                <w:sz w:val="20"/>
              </w:rPr>
              <w:t>5,763</w:t>
            </w:r>
          </w:p>
        </w:tc>
        <w:tc>
          <w:tcPr>
            <w:tcW w:w="990" w:type="dxa"/>
          </w:tcPr>
          <w:p w14:paraId="2318D9F8" w14:textId="77777777" w:rsidR="000B3F50" w:rsidRDefault="000B3F50" w:rsidP="00CD48ED">
            <w:pPr>
              <w:ind w:right="-720"/>
              <w:rPr>
                <w:rFonts w:ascii="Calibri" w:hAnsi="Calibri"/>
                <w:sz w:val="20"/>
              </w:rPr>
            </w:pPr>
            <w:r>
              <w:rPr>
                <w:rFonts w:ascii="Calibri" w:hAnsi="Calibri"/>
                <w:sz w:val="20"/>
              </w:rPr>
              <w:t>20.2</w:t>
            </w:r>
          </w:p>
        </w:tc>
      </w:tr>
      <w:tr w:rsidR="000B3F50" w14:paraId="6AEC6ED6" w14:textId="77777777" w:rsidTr="00CD48ED">
        <w:trPr>
          <w:jc w:val="center"/>
        </w:trPr>
        <w:tc>
          <w:tcPr>
            <w:tcW w:w="2088" w:type="dxa"/>
          </w:tcPr>
          <w:p w14:paraId="31D9504C" w14:textId="77777777" w:rsidR="000B3F50" w:rsidRDefault="000B3F50" w:rsidP="00CD48ED">
            <w:pPr>
              <w:ind w:right="-720"/>
              <w:rPr>
                <w:rFonts w:ascii="Calibri" w:hAnsi="Calibri"/>
                <w:sz w:val="20"/>
              </w:rPr>
            </w:pPr>
            <w:r>
              <w:rPr>
                <w:rFonts w:ascii="Calibri" w:hAnsi="Calibri"/>
                <w:sz w:val="20"/>
              </w:rPr>
              <w:t>65+ Years</w:t>
            </w:r>
          </w:p>
        </w:tc>
        <w:tc>
          <w:tcPr>
            <w:tcW w:w="1080" w:type="dxa"/>
          </w:tcPr>
          <w:p w14:paraId="78EA4102" w14:textId="77777777" w:rsidR="000B3F50" w:rsidRPr="00345617" w:rsidRDefault="000B3F50" w:rsidP="00CD48ED">
            <w:pPr>
              <w:rPr>
                <w:rFonts w:ascii="Calibri" w:hAnsi="Calibri"/>
                <w:sz w:val="20"/>
              </w:rPr>
            </w:pPr>
            <w:r>
              <w:rPr>
                <w:rFonts w:ascii="Calibri" w:hAnsi="Calibri"/>
                <w:sz w:val="20"/>
              </w:rPr>
              <w:t>4,700</w:t>
            </w:r>
          </w:p>
        </w:tc>
        <w:tc>
          <w:tcPr>
            <w:tcW w:w="1080" w:type="dxa"/>
          </w:tcPr>
          <w:p w14:paraId="4DCCDBEB" w14:textId="77777777" w:rsidR="000B3F50" w:rsidRPr="00345617" w:rsidRDefault="000B3F50" w:rsidP="00CD48ED">
            <w:pPr>
              <w:rPr>
                <w:rFonts w:ascii="Calibri" w:hAnsi="Calibri"/>
                <w:sz w:val="20"/>
              </w:rPr>
            </w:pPr>
            <w:r>
              <w:rPr>
                <w:rFonts w:ascii="Calibri" w:hAnsi="Calibri"/>
                <w:sz w:val="20"/>
              </w:rPr>
              <w:t>16.3</w:t>
            </w:r>
          </w:p>
        </w:tc>
        <w:tc>
          <w:tcPr>
            <w:tcW w:w="1260" w:type="dxa"/>
          </w:tcPr>
          <w:p w14:paraId="471D9951" w14:textId="77777777" w:rsidR="000B3F50" w:rsidRDefault="000B3F50" w:rsidP="00CD48ED">
            <w:pPr>
              <w:ind w:right="-720"/>
              <w:rPr>
                <w:rFonts w:ascii="Calibri" w:hAnsi="Calibri"/>
                <w:sz w:val="20"/>
              </w:rPr>
            </w:pPr>
            <w:r>
              <w:rPr>
                <w:rFonts w:ascii="Calibri" w:hAnsi="Calibri"/>
                <w:sz w:val="20"/>
              </w:rPr>
              <w:t>6,075</w:t>
            </w:r>
          </w:p>
        </w:tc>
        <w:tc>
          <w:tcPr>
            <w:tcW w:w="990" w:type="dxa"/>
          </w:tcPr>
          <w:p w14:paraId="558F9530" w14:textId="77777777" w:rsidR="000B3F50" w:rsidRDefault="000B3F50" w:rsidP="00CD48ED">
            <w:pPr>
              <w:ind w:right="-720"/>
              <w:rPr>
                <w:rFonts w:ascii="Calibri" w:hAnsi="Calibri"/>
                <w:sz w:val="20"/>
              </w:rPr>
            </w:pPr>
            <w:r>
              <w:rPr>
                <w:rFonts w:ascii="Calibri" w:hAnsi="Calibri"/>
                <w:sz w:val="20"/>
              </w:rPr>
              <w:t>20.5</w:t>
            </w:r>
          </w:p>
        </w:tc>
        <w:tc>
          <w:tcPr>
            <w:tcW w:w="1170" w:type="dxa"/>
          </w:tcPr>
          <w:p w14:paraId="005B2756" w14:textId="77777777" w:rsidR="000B3F50" w:rsidRDefault="000B3F50" w:rsidP="00CD48ED">
            <w:pPr>
              <w:ind w:right="-720"/>
              <w:rPr>
                <w:rFonts w:ascii="Calibri" w:hAnsi="Calibri"/>
                <w:sz w:val="20"/>
              </w:rPr>
            </w:pPr>
            <w:r>
              <w:rPr>
                <w:rFonts w:ascii="Calibri" w:hAnsi="Calibri"/>
                <w:sz w:val="20"/>
              </w:rPr>
              <w:t>7,663</w:t>
            </w:r>
          </w:p>
        </w:tc>
        <w:tc>
          <w:tcPr>
            <w:tcW w:w="990" w:type="dxa"/>
          </w:tcPr>
          <w:p w14:paraId="4400BA00" w14:textId="77777777" w:rsidR="000B3F50" w:rsidRDefault="000B3F50" w:rsidP="00CD48ED">
            <w:pPr>
              <w:ind w:right="-720"/>
              <w:rPr>
                <w:rFonts w:ascii="Calibri" w:hAnsi="Calibri"/>
                <w:sz w:val="20"/>
              </w:rPr>
            </w:pPr>
            <w:r>
              <w:rPr>
                <w:rFonts w:ascii="Calibri" w:hAnsi="Calibri"/>
                <w:sz w:val="20"/>
              </w:rPr>
              <w:t>26.9</w:t>
            </w:r>
          </w:p>
        </w:tc>
      </w:tr>
    </w:tbl>
    <w:p w14:paraId="0B64F1FE" w14:textId="77777777" w:rsidR="000B3F50" w:rsidRDefault="000B3F50" w:rsidP="000B3F50">
      <w:pPr>
        <w:ind w:right="-720" w:firstLine="360"/>
        <w:rPr>
          <w:rFonts w:ascii="Calibri" w:hAnsi="Calibri" w:cs="Lucida Sans Unicode"/>
          <w:sz w:val="20"/>
          <w:szCs w:val="20"/>
        </w:rPr>
      </w:pPr>
      <w:r>
        <w:rPr>
          <w:rFonts w:ascii="Calibri" w:hAnsi="Calibri"/>
          <w:sz w:val="20"/>
        </w:rPr>
        <w:t xml:space="preserve">Sources:  2010 U.S. Census Bureau </w:t>
      </w:r>
      <w:r>
        <w:rPr>
          <w:rFonts w:ascii="Calibri" w:hAnsi="Calibri" w:cs="Lucida Sans Unicode"/>
          <w:sz w:val="20"/>
          <w:szCs w:val="20"/>
        </w:rPr>
        <w:t>and</w:t>
      </w:r>
      <w:r w:rsidRPr="005A72C1">
        <w:rPr>
          <w:rFonts w:ascii="Calibri" w:hAnsi="Calibri" w:cs="Lucida Sans Unicode"/>
          <w:iCs/>
          <w:sz w:val="20"/>
          <w:szCs w:val="20"/>
        </w:rPr>
        <w:t xml:space="preserve"> </w:t>
      </w:r>
      <w:r w:rsidRPr="003A2B96">
        <w:rPr>
          <w:rFonts w:ascii="Calibri" w:hAnsi="Calibri" w:cs="Lucida Sans Unicode"/>
          <w:iCs/>
          <w:sz w:val="20"/>
          <w:szCs w:val="20"/>
        </w:rPr>
        <w:t>University of Massachusetts, Donahue Institute, State Data Cent</w:t>
      </w:r>
      <w:r>
        <w:rPr>
          <w:rFonts w:ascii="Calibri" w:hAnsi="Calibri" w:cs="Lucida Sans Unicode"/>
          <w:iCs/>
          <w:sz w:val="20"/>
          <w:szCs w:val="20"/>
        </w:rPr>
        <w:t>er.</w:t>
      </w:r>
    </w:p>
    <w:p w14:paraId="3AA466A1" w14:textId="77777777" w:rsidR="000B3F50" w:rsidRDefault="000B3F50" w:rsidP="000B3F50">
      <w:pPr>
        <w:ind w:right="-720"/>
        <w:jc w:val="both"/>
        <w:rPr>
          <w:rFonts w:ascii="Calibri" w:hAnsi="Calibri" w:cs="Lucida Sans Unicode"/>
          <w:sz w:val="22"/>
          <w:szCs w:val="22"/>
        </w:rPr>
      </w:pPr>
    </w:p>
    <w:p w14:paraId="500201A8" w14:textId="683D2183" w:rsidR="000B3F50" w:rsidRDefault="000B3F50" w:rsidP="000B3F50">
      <w:pPr>
        <w:jc w:val="both"/>
        <w:rPr>
          <w:rFonts w:ascii="Calibri" w:hAnsi="Calibri" w:cs="Lucida Sans Unicode"/>
          <w:sz w:val="22"/>
          <w:szCs w:val="22"/>
        </w:rPr>
      </w:pPr>
      <w:r>
        <w:rPr>
          <w:rFonts w:ascii="Calibri" w:hAnsi="Calibri" w:cs="Lucida Sans Unicode"/>
          <w:sz w:val="22"/>
          <w:szCs w:val="22"/>
        </w:rPr>
        <w:t>Additionally, the State Data Center’s 2030 projections indicate a decline in population to 28,539 residents which is below the 28,886</w:t>
      </w:r>
      <w:r w:rsidR="00504BF1">
        <w:rPr>
          <w:rFonts w:ascii="Calibri" w:hAnsi="Calibri" w:cs="Lucida Sans Unicode"/>
          <w:sz w:val="22"/>
          <w:szCs w:val="22"/>
        </w:rPr>
        <w:t xml:space="preserve"> total</w:t>
      </w:r>
      <w:r>
        <w:rPr>
          <w:rFonts w:ascii="Calibri" w:hAnsi="Calibri" w:cs="Lucida Sans Unicode"/>
          <w:sz w:val="22"/>
          <w:szCs w:val="22"/>
        </w:rPr>
        <w:t xml:space="preserve"> population </w:t>
      </w:r>
      <w:r w:rsidR="00504BF1">
        <w:rPr>
          <w:rFonts w:ascii="Calibri" w:hAnsi="Calibri" w:cs="Lucida Sans Unicode"/>
          <w:sz w:val="22"/>
          <w:szCs w:val="22"/>
        </w:rPr>
        <w:t>count</w:t>
      </w:r>
      <w:r>
        <w:rPr>
          <w:rFonts w:ascii="Calibri" w:hAnsi="Calibri" w:cs="Lucida Sans Unicode"/>
          <w:sz w:val="22"/>
          <w:szCs w:val="22"/>
        </w:rPr>
        <w:t xml:space="preserve"> in 2010 and </w:t>
      </w:r>
      <w:r w:rsidR="00BF1DC6">
        <w:rPr>
          <w:rFonts w:ascii="Calibri" w:hAnsi="Calibri" w:cs="Lucida Sans Unicode"/>
          <w:sz w:val="22"/>
          <w:szCs w:val="22"/>
        </w:rPr>
        <w:t>well below the 2020 census population count of 32,091 residents.</w:t>
      </w:r>
      <w:r>
        <w:rPr>
          <w:rFonts w:ascii="Calibri" w:hAnsi="Calibri" w:cs="Lucida Sans Unicode"/>
          <w:sz w:val="22"/>
          <w:szCs w:val="22"/>
        </w:rPr>
        <w:t xml:space="preserve">  Nevertheless, these figures still demonstrate general demographic trends related to decreases in children, gains in younger adults, and increases in seniors age 65 or older.  For example, the State Data Center estimates that those under age 20 will decline by 2,920 residents between 2010 and 2030 while those 65 years of age or older will increase by close to the same amount at 2,963 residents.  Younger adults between the ages of 25 and 34 are projected to increase by 462 residents.  </w:t>
      </w:r>
    </w:p>
    <w:p w14:paraId="78067BB2" w14:textId="77777777" w:rsidR="000B3F50" w:rsidRDefault="000B3F50" w:rsidP="000B3F50">
      <w:pPr>
        <w:ind w:right="-720" w:firstLine="720"/>
        <w:jc w:val="both"/>
        <w:rPr>
          <w:rFonts w:ascii="Calibri" w:hAnsi="Calibri"/>
          <w:sz w:val="22"/>
          <w:szCs w:val="22"/>
        </w:rPr>
      </w:pPr>
    </w:p>
    <w:p w14:paraId="2BC44A8F" w14:textId="22E0D582" w:rsidR="000B3F50" w:rsidRPr="0044066F" w:rsidRDefault="000B3F50" w:rsidP="000B3F50">
      <w:pPr>
        <w:ind w:right="-720"/>
        <w:jc w:val="both"/>
        <w:rPr>
          <w:rFonts w:ascii="Calibri" w:hAnsi="Calibri"/>
          <w:b/>
          <w:i/>
          <w:color w:val="1F497D" w:themeColor="text2"/>
          <w:sz w:val="22"/>
          <w:szCs w:val="22"/>
        </w:rPr>
      </w:pPr>
      <w:r w:rsidRPr="0044066F">
        <w:rPr>
          <w:rFonts w:ascii="Calibri" w:hAnsi="Calibri"/>
          <w:b/>
          <w:i/>
          <w:color w:val="1F497D" w:themeColor="text2"/>
          <w:sz w:val="22"/>
          <w:szCs w:val="22"/>
        </w:rPr>
        <w:t>Needham Public Schools Projections</w:t>
      </w:r>
      <w:r w:rsidR="009B525B">
        <w:rPr>
          <w:rStyle w:val="FootnoteReference"/>
          <w:rFonts w:ascii="Calibri" w:hAnsi="Calibri"/>
          <w:b/>
          <w:i/>
          <w:color w:val="1F497D" w:themeColor="text2"/>
          <w:sz w:val="22"/>
          <w:szCs w:val="22"/>
        </w:rPr>
        <w:footnoteReference w:id="15"/>
      </w:r>
    </w:p>
    <w:p w14:paraId="246D2332" w14:textId="0C3B8878" w:rsidR="000B3F50" w:rsidRDefault="000B3F50" w:rsidP="000B3F50">
      <w:pPr>
        <w:jc w:val="both"/>
        <w:rPr>
          <w:rFonts w:ascii="Calibri" w:hAnsi="Calibri"/>
          <w:sz w:val="22"/>
          <w:szCs w:val="22"/>
        </w:rPr>
      </w:pPr>
      <w:r>
        <w:rPr>
          <w:rFonts w:ascii="Calibri" w:hAnsi="Calibri"/>
          <w:sz w:val="22"/>
          <w:szCs w:val="22"/>
        </w:rPr>
        <w:t xml:space="preserve">Table </w:t>
      </w:r>
      <w:r w:rsidR="009B525B">
        <w:rPr>
          <w:rFonts w:ascii="Calibri" w:hAnsi="Calibri"/>
          <w:sz w:val="22"/>
          <w:szCs w:val="22"/>
        </w:rPr>
        <w:t>III-7</w:t>
      </w:r>
      <w:r>
        <w:rPr>
          <w:rFonts w:ascii="Calibri" w:hAnsi="Calibri"/>
          <w:sz w:val="22"/>
          <w:szCs w:val="22"/>
        </w:rPr>
        <w:t xml:space="preserve"> presents population projections that were prepared by McKibben Demographics for the Needham Public Schools which suggest no real total net growth or population loss from the 2010 census count through 2030. The figures nevertheless demonstrate the same general demographic shifts as the other projections with a decrease in younger residents</w:t>
      </w:r>
      <w:r w:rsidR="00C708AC">
        <w:rPr>
          <w:rFonts w:ascii="Calibri" w:hAnsi="Calibri"/>
          <w:sz w:val="22"/>
          <w:szCs w:val="22"/>
        </w:rPr>
        <w:t>,</w:t>
      </w:r>
      <w:r>
        <w:rPr>
          <w:rFonts w:ascii="Calibri" w:hAnsi="Calibri"/>
          <w:sz w:val="22"/>
          <w:szCs w:val="22"/>
        </w:rPr>
        <w:t xml:space="preserve"> with the exception of Millennials</w:t>
      </w:r>
      <w:r w:rsidR="00C708AC">
        <w:rPr>
          <w:rFonts w:ascii="Calibri" w:hAnsi="Calibri"/>
          <w:sz w:val="22"/>
          <w:szCs w:val="22"/>
        </w:rPr>
        <w:t>,</w:t>
      </w:r>
      <w:r>
        <w:rPr>
          <w:rFonts w:ascii="Calibri" w:hAnsi="Calibri"/>
          <w:sz w:val="22"/>
          <w:szCs w:val="22"/>
        </w:rPr>
        <w:t xml:space="preserve"> as well as increases in older residents </w:t>
      </w:r>
      <w:r w:rsidR="007B6535">
        <w:rPr>
          <w:rFonts w:ascii="Calibri" w:hAnsi="Calibri"/>
          <w:sz w:val="22"/>
          <w:szCs w:val="22"/>
        </w:rPr>
        <w:t>triggered</w:t>
      </w:r>
      <w:r w:rsidR="00C708AC">
        <w:rPr>
          <w:rFonts w:ascii="Calibri" w:hAnsi="Calibri"/>
          <w:sz w:val="22"/>
          <w:szCs w:val="22"/>
        </w:rPr>
        <w:t xml:space="preserve"> largely by the aging of the B</w:t>
      </w:r>
      <w:r>
        <w:rPr>
          <w:rFonts w:ascii="Calibri" w:hAnsi="Calibri"/>
          <w:sz w:val="22"/>
          <w:szCs w:val="22"/>
        </w:rPr>
        <w:t xml:space="preserve">aby </w:t>
      </w:r>
      <w:r w:rsidR="00C708AC">
        <w:rPr>
          <w:rFonts w:ascii="Calibri" w:hAnsi="Calibri"/>
          <w:sz w:val="22"/>
          <w:szCs w:val="22"/>
        </w:rPr>
        <w:t>B</w:t>
      </w:r>
      <w:r>
        <w:rPr>
          <w:rFonts w:ascii="Calibri" w:hAnsi="Calibri"/>
          <w:sz w:val="22"/>
          <w:szCs w:val="22"/>
        </w:rPr>
        <w:t xml:space="preserve">oom generation and the continuing residency of empty nesters.  </w:t>
      </w:r>
    </w:p>
    <w:p w14:paraId="09EC0770" w14:textId="77777777" w:rsidR="000B3F50" w:rsidRDefault="000B3F50" w:rsidP="000B3F50">
      <w:pPr>
        <w:jc w:val="both"/>
        <w:rPr>
          <w:rFonts w:ascii="Calibri" w:hAnsi="Calibri"/>
          <w:sz w:val="22"/>
          <w:szCs w:val="22"/>
        </w:rPr>
      </w:pPr>
    </w:p>
    <w:p w14:paraId="2406750F" w14:textId="0B017E38" w:rsidR="004844F1" w:rsidRDefault="000B3F50" w:rsidP="000B3F50">
      <w:pPr>
        <w:jc w:val="both"/>
        <w:rPr>
          <w:rFonts w:ascii="Calibri" w:hAnsi="Calibri"/>
          <w:sz w:val="22"/>
          <w:szCs w:val="22"/>
        </w:rPr>
      </w:pPr>
      <w:r>
        <w:rPr>
          <w:rFonts w:ascii="Calibri" w:hAnsi="Calibri"/>
          <w:sz w:val="22"/>
          <w:szCs w:val="22"/>
        </w:rPr>
        <w:t xml:space="preserve">The report’s findings suggest an increase </w:t>
      </w:r>
      <w:r w:rsidR="00C708AC">
        <w:rPr>
          <w:rFonts w:ascii="Calibri" w:hAnsi="Calibri"/>
          <w:sz w:val="22"/>
          <w:szCs w:val="22"/>
        </w:rPr>
        <w:t>of</w:t>
      </w:r>
      <w:r>
        <w:rPr>
          <w:rFonts w:ascii="Calibri" w:hAnsi="Calibri"/>
          <w:sz w:val="22"/>
          <w:szCs w:val="22"/>
        </w:rPr>
        <w:t xml:space="preserve"> 1</w:t>
      </w:r>
      <w:r w:rsidR="0003743D">
        <w:rPr>
          <w:rFonts w:ascii="Calibri" w:hAnsi="Calibri"/>
          <w:sz w:val="22"/>
          <w:szCs w:val="22"/>
        </w:rPr>
        <w:t>11</w:t>
      </w:r>
      <w:r>
        <w:rPr>
          <w:rFonts w:ascii="Calibri" w:hAnsi="Calibri"/>
          <w:sz w:val="22"/>
          <w:szCs w:val="22"/>
        </w:rPr>
        <w:t xml:space="preserve"> students between </w:t>
      </w:r>
      <w:r w:rsidR="009C466F">
        <w:rPr>
          <w:rFonts w:ascii="Calibri" w:hAnsi="Calibri"/>
          <w:sz w:val="22"/>
          <w:szCs w:val="22"/>
        </w:rPr>
        <w:t xml:space="preserve">school year </w:t>
      </w:r>
      <w:r w:rsidR="0003743D">
        <w:rPr>
          <w:rFonts w:ascii="Calibri" w:hAnsi="Calibri"/>
          <w:sz w:val="22"/>
          <w:szCs w:val="22"/>
        </w:rPr>
        <w:t>2021-2022</w:t>
      </w:r>
      <w:r>
        <w:rPr>
          <w:rFonts w:ascii="Calibri" w:hAnsi="Calibri"/>
          <w:sz w:val="22"/>
          <w:szCs w:val="22"/>
        </w:rPr>
        <w:t xml:space="preserve"> and </w:t>
      </w:r>
      <w:r w:rsidR="0003743D">
        <w:rPr>
          <w:rFonts w:ascii="Calibri" w:hAnsi="Calibri"/>
          <w:sz w:val="22"/>
          <w:szCs w:val="22"/>
        </w:rPr>
        <w:t>2025-2026,</w:t>
      </w:r>
      <w:r w:rsidR="004844F1">
        <w:rPr>
          <w:rFonts w:ascii="Calibri" w:hAnsi="Calibri"/>
          <w:sz w:val="22"/>
          <w:szCs w:val="22"/>
        </w:rPr>
        <w:t xml:space="preserve"> or from 5,835 to 5,946 students,</w:t>
      </w:r>
      <w:r w:rsidR="0003743D">
        <w:rPr>
          <w:rFonts w:ascii="Calibri" w:hAnsi="Calibri"/>
          <w:sz w:val="22"/>
          <w:szCs w:val="22"/>
        </w:rPr>
        <w:t xml:space="preserve"> the highest enrollment forecasted for pre-kindergarten through 12</w:t>
      </w:r>
      <w:r w:rsidR="0003743D" w:rsidRPr="0003743D">
        <w:rPr>
          <w:rFonts w:ascii="Calibri" w:hAnsi="Calibri"/>
          <w:sz w:val="22"/>
          <w:szCs w:val="22"/>
          <w:vertAlign w:val="superscript"/>
        </w:rPr>
        <w:t>th</w:t>
      </w:r>
      <w:r w:rsidR="0003743D">
        <w:rPr>
          <w:rFonts w:ascii="Calibri" w:hAnsi="Calibri"/>
          <w:sz w:val="22"/>
          <w:szCs w:val="22"/>
        </w:rPr>
        <w:t xml:space="preserve"> grade. </w:t>
      </w:r>
      <w:r>
        <w:rPr>
          <w:rFonts w:ascii="Calibri" w:hAnsi="Calibri"/>
          <w:sz w:val="22"/>
          <w:szCs w:val="22"/>
        </w:rPr>
        <w:t xml:space="preserve"> </w:t>
      </w:r>
      <w:r w:rsidR="0003743D">
        <w:rPr>
          <w:rFonts w:ascii="Calibri" w:hAnsi="Calibri"/>
          <w:sz w:val="22"/>
          <w:szCs w:val="22"/>
        </w:rPr>
        <w:t>The projections then suggest</w:t>
      </w:r>
      <w:r>
        <w:rPr>
          <w:rFonts w:ascii="Calibri" w:hAnsi="Calibri"/>
          <w:sz w:val="22"/>
          <w:szCs w:val="22"/>
        </w:rPr>
        <w:t xml:space="preserve"> a decline of </w:t>
      </w:r>
      <w:r w:rsidR="004844F1">
        <w:rPr>
          <w:rFonts w:ascii="Calibri" w:hAnsi="Calibri"/>
          <w:sz w:val="22"/>
          <w:szCs w:val="22"/>
        </w:rPr>
        <w:t>169</w:t>
      </w:r>
      <w:r>
        <w:rPr>
          <w:rFonts w:ascii="Calibri" w:hAnsi="Calibri"/>
          <w:sz w:val="22"/>
          <w:szCs w:val="22"/>
        </w:rPr>
        <w:t xml:space="preserve"> students </w:t>
      </w:r>
      <w:r w:rsidR="004844F1">
        <w:rPr>
          <w:rFonts w:ascii="Calibri" w:hAnsi="Calibri"/>
          <w:sz w:val="22"/>
          <w:szCs w:val="22"/>
        </w:rPr>
        <w:t>after that through</w:t>
      </w:r>
      <w:r>
        <w:rPr>
          <w:rFonts w:ascii="Calibri" w:hAnsi="Calibri"/>
          <w:sz w:val="22"/>
          <w:szCs w:val="22"/>
        </w:rPr>
        <w:t xml:space="preserve"> 203</w:t>
      </w:r>
      <w:r w:rsidR="004844F1">
        <w:rPr>
          <w:rFonts w:ascii="Calibri" w:hAnsi="Calibri"/>
          <w:sz w:val="22"/>
          <w:szCs w:val="22"/>
        </w:rPr>
        <w:t>3</w:t>
      </w:r>
      <w:r>
        <w:rPr>
          <w:rFonts w:ascii="Calibri" w:hAnsi="Calibri"/>
          <w:sz w:val="22"/>
          <w:szCs w:val="22"/>
        </w:rPr>
        <w:t>-3</w:t>
      </w:r>
      <w:r w:rsidR="004844F1">
        <w:rPr>
          <w:rFonts w:ascii="Calibri" w:hAnsi="Calibri"/>
          <w:sz w:val="22"/>
          <w:szCs w:val="22"/>
        </w:rPr>
        <w:t>4, or from 5,946 to 5,777 students</w:t>
      </w:r>
      <w:r>
        <w:rPr>
          <w:rFonts w:ascii="Calibri" w:hAnsi="Calibri"/>
          <w:sz w:val="22"/>
          <w:szCs w:val="22"/>
        </w:rPr>
        <w:t xml:space="preserve">. </w:t>
      </w:r>
      <w:r w:rsidR="004844F1">
        <w:rPr>
          <w:rFonts w:ascii="Calibri" w:hAnsi="Calibri"/>
          <w:sz w:val="22"/>
          <w:szCs w:val="22"/>
        </w:rPr>
        <w:t>These projections indicate a much higher level of growth in enrollment than is currently occurring with the 2020-2021 enrollment at 5,483 students as opposed to the forecasted 5,813.</w:t>
      </w:r>
    </w:p>
    <w:p w14:paraId="04CB656C" w14:textId="77777777" w:rsidR="004844F1" w:rsidRDefault="004844F1" w:rsidP="000B3F50">
      <w:pPr>
        <w:jc w:val="both"/>
        <w:rPr>
          <w:rFonts w:ascii="Calibri" w:hAnsi="Calibri"/>
          <w:sz w:val="22"/>
          <w:szCs w:val="22"/>
        </w:rPr>
      </w:pPr>
    </w:p>
    <w:p w14:paraId="3EE61819" w14:textId="26C593FF" w:rsidR="000B3F50" w:rsidRDefault="000B3F50" w:rsidP="000B3F50">
      <w:pPr>
        <w:jc w:val="both"/>
        <w:rPr>
          <w:rFonts w:ascii="Calibri" w:hAnsi="Calibri"/>
          <w:sz w:val="22"/>
          <w:szCs w:val="22"/>
        </w:rPr>
      </w:pPr>
      <w:r>
        <w:rPr>
          <w:rFonts w:ascii="Calibri" w:hAnsi="Calibri"/>
          <w:sz w:val="22"/>
          <w:szCs w:val="22"/>
        </w:rPr>
        <w:t>This data is primarily based on birth, death and migration data.  In regard to housing, the report suggests that “even if the district continues to have some annual new home construction (even if that construction is rental units), the rate, magnitude and price of existing home sales will become the increasingly dominant factor affecting the amount of population and enrollment change”.  The report further suggests the following with respect to housing:</w:t>
      </w:r>
    </w:p>
    <w:p w14:paraId="1C374AB4" w14:textId="77777777" w:rsidR="00166169" w:rsidRDefault="00166169" w:rsidP="000B3F50">
      <w:pPr>
        <w:jc w:val="both"/>
        <w:rPr>
          <w:rFonts w:ascii="Calibri" w:hAnsi="Calibri"/>
          <w:sz w:val="22"/>
          <w:szCs w:val="22"/>
        </w:rPr>
      </w:pPr>
    </w:p>
    <w:p w14:paraId="1039AA25" w14:textId="771F41C4" w:rsidR="00166169" w:rsidRPr="00C708AC" w:rsidRDefault="00166169" w:rsidP="00166169">
      <w:pPr>
        <w:jc w:val="both"/>
        <w:rPr>
          <w:rFonts w:ascii="Calibri" w:hAnsi="Calibri"/>
          <w:i/>
          <w:sz w:val="22"/>
          <w:szCs w:val="22"/>
        </w:rPr>
      </w:pPr>
      <w:r w:rsidRPr="00C708AC">
        <w:rPr>
          <w:rFonts w:ascii="Calibri" w:hAnsi="Calibri"/>
          <w:i/>
          <w:sz w:val="22"/>
          <w:szCs w:val="22"/>
        </w:rPr>
        <w:t xml:space="preserve">The issue over the next five to ten years is that the number of new and existing home sales over the last three years has been more than 60% lower on average than the previous seven years.  Without this in-migration flow the district pre-school age cohorts will be of insufficient size to maintain the current elementary enrollment levels.  The more dependent an area is on in-migration for students to compensate for a low number of births, the larger the enrollment will decline.  While the construction of new rental units will help reduce this problem in the short term, once these units are finished (assumed in these forecasts to be by 2027) they will have no additional impact on the overall age distribution of the district. </w:t>
      </w:r>
    </w:p>
    <w:p w14:paraId="5AF46A57" w14:textId="282FFF39" w:rsidR="00EB4684" w:rsidRDefault="00EB4684" w:rsidP="00166169">
      <w:pPr>
        <w:pStyle w:val="Heading5"/>
        <w:jc w:val="center"/>
        <w:rPr>
          <w:rFonts w:ascii="Calibri" w:hAnsi="Calibri"/>
          <w:b/>
          <w:color w:val="auto"/>
          <w:sz w:val="22"/>
          <w:szCs w:val="22"/>
        </w:rPr>
      </w:pPr>
    </w:p>
    <w:p w14:paraId="545EE84D" w14:textId="5802AD75" w:rsidR="00EB4684" w:rsidRDefault="00EB4684" w:rsidP="00EB4684"/>
    <w:p w14:paraId="79C55963" w14:textId="23031CC8" w:rsidR="00EB4684" w:rsidRDefault="00EB4684" w:rsidP="00EB4684"/>
    <w:p w14:paraId="4973FB33" w14:textId="0178A581" w:rsidR="00EB4684" w:rsidRDefault="00EB4684" w:rsidP="00EB4684"/>
    <w:p w14:paraId="0C71EE67" w14:textId="2B2C39ED" w:rsidR="00EB4684" w:rsidRDefault="00EB4684" w:rsidP="00EB4684"/>
    <w:p w14:paraId="5AB6FC15" w14:textId="77777777" w:rsidR="00CB2D33" w:rsidRPr="00EB4684" w:rsidRDefault="00CB2D33" w:rsidP="00EB4684"/>
    <w:p w14:paraId="0F40FD40" w14:textId="6DA0601F" w:rsidR="000B3F50" w:rsidRPr="00166169" w:rsidRDefault="000B3F50" w:rsidP="00166169">
      <w:pPr>
        <w:pStyle w:val="Heading5"/>
        <w:jc w:val="center"/>
        <w:rPr>
          <w:rFonts w:ascii="Calibri" w:hAnsi="Calibri"/>
          <w:b/>
          <w:sz w:val="22"/>
          <w:szCs w:val="22"/>
        </w:rPr>
      </w:pPr>
      <w:r w:rsidRPr="0044066F">
        <w:rPr>
          <w:rFonts w:ascii="Calibri" w:hAnsi="Calibri"/>
          <w:b/>
          <w:color w:val="auto"/>
          <w:sz w:val="22"/>
          <w:szCs w:val="22"/>
        </w:rPr>
        <w:t>Table</w:t>
      </w:r>
      <w:r w:rsidR="0086490C">
        <w:rPr>
          <w:rFonts w:ascii="Calibri" w:hAnsi="Calibri"/>
          <w:b/>
          <w:color w:val="auto"/>
          <w:sz w:val="22"/>
          <w:szCs w:val="22"/>
        </w:rPr>
        <w:t xml:space="preserve"> III-7</w:t>
      </w:r>
      <w:r w:rsidRPr="0044066F">
        <w:rPr>
          <w:rFonts w:ascii="Calibri" w:hAnsi="Calibri"/>
          <w:b/>
          <w:color w:val="auto"/>
          <w:sz w:val="22"/>
          <w:szCs w:val="22"/>
        </w:rPr>
        <w:t>:  2010 Census and 2020 and 2030 Needham Public School Projections</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084"/>
        <w:gridCol w:w="1084"/>
        <w:gridCol w:w="1264"/>
        <w:gridCol w:w="994"/>
        <w:gridCol w:w="1174"/>
        <w:gridCol w:w="994"/>
      </w:tblGrid>
      <w:tr w:rsidR="000B3F50" w14:paraId="28607405" w14:textId="77777777" w:rsidTr="00DF4506">
        <w:trPr>
          <w:cantSplit/>
          <w:trHeight w:val="274"/>
          <w:jc w:val="center"/>
        </w:trPr>
        <w:tc>
          <w:tcPr>
            <w:tcW w:w="2095" w:type="dxa"/>
            <w:vMerge w:val="restart"/>
            <w:tcBorders>
              <w:top w:val="single" w:sz="4" w:space="0" w:color="auto"/>
              <w:left w:val="single" w:sz="4" w:space="0" w:color="auto"/>
            </w:tcBorders>
          </w:tcPr>
          <w:p w14:paraId="4B402F61" w14:textId="77777777" w:rsidR="000B3F50" w:rsidRPr="00592342" w:rsidRDefault="000B3F50" w:rsidP="00CD48ED">
            <w:pPr>
              <w:pStyle w:val="Heading8"/>
              <w:rPr>
                <w:rFonts w:ascii="Calibri" w:hAnsi="Calibri"/>
                <w:b/>
                <w:sz w:val="22"/>
                <w:szCs w:val="22"/>
              </w:rPr>
            </w:pPr>
            <w:r w:rsidRPr="00592342">
              <w:rPr>
                <w:rFonts w:ascii="Calibri" w:hAnsi="Calibri"/>
                <w:b/>
                <w:sz w:val="22"/>
                <w:szCs w:val="22"/>
              </w:rPr>
              <w:t>Age Range</w:t>
            </w:r>
          </w:p>
        </w:tc>
        <w:tc>
          <w:tcPr>
            <w:tcW w:w="2168" w:type="dxa"/>
            <w:gridSpan w:val="2"/>
          </w:tcPr>
          <w:p w14:paraId="78667FBD" w14:textId="77777777" w:rsidR="000B3F50" w:rsidRDefault="000B3F50" w:rsidP="00CD48ED">
            <w:pPr>
              <w:ind w:right="-720"/>
              <w:rPr>
                <w:rFonts w:ascii="Calibri" w:hAnsi="Calibri"/>
                <w:b/>
                <w:bCs/>
              </w:rPr>
            </w:pPr>
            <w:r>
              <w:rPr>
                <w:rFonts w:ascii="Calibri" w:hAnsi="Calibri"/>
                <w:b/>
                <w:bCs/>
                <w:sz w:val="22"/>
              </w:rPr>
              <w:t>2010 Census</w:t>
            </w:r>
          </w:p>
        </w:tc>
        <w:tc>
          <w:tcPr>
            <w:tcW w:w="2258" w:type="dxa"/>
            <w:gridSpan w:val="2"/>
          </w:tcPr>
          <w:p w14:paraId="0F3F7E42" w14:textId="77777777" w:rsidR="000B3F50" w:rsidRDefault="000B3F50" w:rsidP="00CD48ED">
            <w:pPr>
              <w:ind w:right="-720"/>
              <w:rPr>
                <w:rFonts w:ascii="Calibri" w:hAnsi="Calibri"/>
                <w:b/>
                <w:bCs/>
              </w:rPr>
            </w:pPr>
            <w:r>
              <w:rPr>
                <w:rFonts w:ascii="Calibri" w:hAnsi="Calibri"/>
                <w:b/>
                <w:bCs/>
                <w:sz w:val="22"/>
              </w:rPr>
              <w:t>2020 Projections</w:t>
            </w:r>
          </w:p>
        </w:tc>
        <w:tc>
          <w:tcPr>
            <w:tcW w:w="2168" w:type="dxa"/>
            <w:gridSpan w:val="2"/>
          </w:tcPr>
          <w:p w14:paraId="11DB628D" w14:textId="77777777" w:rsidR="000B3F50" w:rsidRDefault="000B3F50" w:rsidP="00CD48ED">
            <w:pPr>
              <w:ind w:right="-720"/>
              <w:rPr>
                <w:rFonts w:ascii="Calibri" w:hAnsi="Calibri"/>
                <w:b/>
                <w:bCs/>
              </w:rPr>
            </w:pPr>
            <w:r>
              <w:rPr>
                <w:rFonts w:ascii="Calibri" w:hAnsi="Calibri"/>
                <w:b/>
                <w:bCs/>
                <w:sz w:val="22"/>
              </w:rPr>
              <w:t>2030 Projections</w:t>
            </w:r>
          </w:p>
        </w:tc>
      </w:tr>
      <w:tr w:rsidR="000B3F50" w14:paraId="59872314" w14:textId="77777777" w:rsidTr="00DF4506">
        <w:trPr>
          <w:cantSplit/>
          <w:trHeight w:val="155"/>
          <w:jc w:val="center"/>
        </w:trPr>
        <w:tc>
          <w:tcPr>
            <w:tcW w:w="2095" w:type="dxa"/>
            <w:vMerge/>
            <w:tcBorders>
              <w:left w:val="single" w:sz="4" w:space="0" w:color="auto"/>
            </w:tcBorders>
          </w:tcPr>
          <w:p w14:paraId="174FB185" w14:textId="77777777" w:rsidR="000B3F50" w:rsidRDefault="000B3F50" w:rsidP="00CD48ED">
            <w:pPr>
              <w:ind w:right="-720"/>
              <w:rPr>
                <w:rFonts w:ascii="Calibri" w:hAnsi="Calibri"/>
                <w:b/>
                <w:bCs/>
              </w:rPr>
            </w:pPr>
          </w:p>
        </w:tc>
        <w:tc>
          <w:tcPr>
            <w:tcW w:w="1084" w:type="dxa"/>
          </w:tcPr>
          <w:p w14:paraId="6759FCA7" w14:textId="77777777" w:rsidR="000B3F50" w:rsidRDefault="000B3F50" w:rsidP="00CD48ED">
            <w:pPr>
              <w:ind w:right="-720"/>
              <w:rPr>
                <w:rFonts w:ascii="Calibri" w:hAnsi="Calibri"/>
                <w:b/>
                <w:bCs/>
              </w:rPr>
            </w:pPr>
            <w:r>
              <w:rPr>
                <w:rFonts w:ascii="Calibri" w:hAnsi="Calibri"/>
                <w:b/>
                <w:bCs/>
                <w:sz w:val="22"/>
              </w:rPr>
              <w:t>#</w:t>
            </w:r>
          </w:p>
        </w:tc>
        <w:tc>
          <w:tcPr>
            <w:tcW w:w="1084" w:type="dxa"/>
          </w:tcPr>
          <w:p w14:paraId="023E7B7F" w14:textId="77777777" w:rsidR="000B3F50" w:rsidRDefault="000B3F50" w:rsidP="00CD48ED">
            <w:pPr>
              <w:ind w:right="-720"/>
              <w:rPr>
                <w:rFonts w:ascii="Calibri" w:hAnsi="Calibri"/>
                <w:b/>
                <w:bCs/>
              </w:rPr>
            </w:pPr>
            <w:r>
              <w:rPr>
                <w:rFonts w:ascii="Calibri" w:hAnsi="Calibri"/>
                <w:b/>
                <w:bCs/>
                <w:sz w:val="22"/>
              </w:rPr>
              <w:t>%</w:t>
            </w:r>
          </w:p>
        </w:tc>
        <w:tc>
          <w:tcPr>
            <w:tcW w:w="1264" w:type="dxa"/>
          </w:tcPr>
          <w:p w14:paraId="32146F09" w14:textId="77777777" w:rsidR="000B3F50" w:rsidRDefault="000B3F50" w:rsidP="00CD48ED">
            <w:pPr>
              <w:ind w:right="-720"/>
              <w:rPr>
                <w:rFonts w:ascii="Calibri" w:hAnsi="Calibri"/>
                <w:b/>
                <w:bCs/>
              </w:rPr>
            </w:pPr>
            <w:r>
              <w:rPr>
                <w:rFonts w:ascii="Calibri" w:hAnsi="Calibri"/>
                <w:b/>
                <w:bCs/>
                <w:sz w:val="22"/>
              </w:rPr>
              <w:t>#</w:t>
            </w:r>
          </w:p>
        </w:tc>
        <w:tc>
          <w:tcPr>
            <w:tcW w:w="993" w:type="dxa"/>
          </w:tcPr>
          <w:p w14:paraId="54F47314" w14:textId="77777777" w:rsidR="000B3F50" w:rsidRDefault="000B3F50" w:rsidP="00CD48ED">
            <w:pPr>
              <w:ind w:right="-720"/>
              <w:rPr>
                <w:rFonts w:ascii="Calibri" w:hAnsi="Calibri"/>
                <w:b/>
                <w:bCs/>
              </w:rPr>
            </w:pPr>
            <w:r>
              <w:rPr>
                <w:rFonts w:ascii="Calibri" w:hAnsi="Calibri"/>
                <w:b/>
                <w:bCs/>
                <w:sz w:val="22"/>
              </w:rPr>
              <w:t>%</w:t>
            </w:r>
          </w:p>
        </w:tc>
        <w:tc>
          <w:tcPr>
            <w:tcW w:w="1174" w:type="dxa"/>
          </w:tcPr>
          <w:p w14:paraId="40EFA9B2" w14:textId="77777777" w:rsidR="000B3F50" w:rsidRDefault="000B3F50" w:rsidP="00CD48ED">
            <w:pPr>
              <w:ind w:right="-720"/>
              <w:rPr>
                <w:rFonts w:ascii="Calibri" w:hAnsi="Calibri"/>
                <w:b/>
                <w:bCs/>
              </w:rPr>
            </w:pPr>
            <w:r>
              <w:rPr>
                <w:rFonts w:ascii="Calibri" w:hAnsi="Calibri"/>
                <w:b/>
                <w:bCs/>
                <w:sz w:val="22"/>
              </w:rPr>
              <w:t>#</w:t>
            </w:r>
          </w:p>
        </w:tc>
        <w:tc>
          <w:tcPr>
            <w:tcW w:w="993" w:type="dxa"/>
          </w:tcPr>
          <w:p w14:paraId="454DECED" w14:textId="77777777" w:rsidR="000B3F50" w:rsidRDefault="000B3F50" w:rsidP="00CD48ED">
            <w:pPr>
              <w:ind w:right="-720"/>
              <w:rPr>
                <w:rFonts w:ascii="Calibri" w:hAnsi="Calibri"/>
                <w:b/>
                <w:bCs/>
              </w:rPr>
            </w:pPr>
            <w:r>
              <w:rPr>
                <w:rFonts w:ascii="Calibri" w:hAnsi="Calibri"/>
                <w:b/>
                <w:bCs/>
                <w:sz w:val="22"/>
              </w:rPr>
              <w:t>%</w:t>
            </w:r>
          </w:p>
        </w:tc>
      </w:tr>
      <w:tr w:rsidR="000B3F50" w14:paraId="54689A5D" w14:textId="77777777" w:rsidTr="00DF4506">
        <w:trPr>
          <w:trHeight w:val="258"/>
          <w:jc w:val="center"/>
        </w:trPr>
        <w:tc>
          <w:tcPr>
            <w:tcW w:w="2095" w:type="dxa"/>
          </w:tcPr>
          <w:p w14:paraId="30598E15" w14:textId="77777777" w:rsidR="000B3F50" w:rsidRDefault="000B3F50" w:rsidP="00CD48ED">
            <w:pPr>
              <w:ind w:right="-720"/>
              <w:rPr>
                <w:rFonts w:ascii="Calibri" w:hAnsi="Calibri"/>
                <w:sz w:val="20"/>
              </w:rPr>
            </w:pPr>
            <w:r>
              <w:rPr>
                <w:rFonts w:ascii="Calibri" w:hAnsi="Calibri"/>
                <w:sz w:val="20"/>
              </w:rPr>
              <w:t>Under 5 Years</w:t>
            </w:r>
          </w:p>
        </w:tc>
        <w:tc>
          <w:tcPr>
            <w:tcW w:w="1084" w:type="dxa"/>
          </w:tcPr>
          <w:p w14:paraId="76AC90F8" w14:textId="77777777" w:rsidR="000B3F50" w:rsidRPr="00345617" w:rsidRDefault="000B3F50" w:rsidP="00CD48ED">
            <w:pPr>
              <w:pStyle w:val="ecmsonormal"/>
              <w:rPr>
                <w:rFonts w:ascii="Calibri" w:hAnsi="Calibri"/>
                <w:sz w:val="20"/>
                <w:szCs w:val="20"/>
              </w:rPr>
            </w:pPr>
            <w:r>
              <w:rPr>
                <w:rFonts w:ascii="Calibri" w:hAnsi="Calibri"/>
                <w:sz w:val="20"/>
                <w:szCs w:val="20"/>
              </w:rPr>
              <w:t>1,869</w:t>
            </w:r>
          </w:p>
        </w:tc>
        <w:tc>
          <w:tcPr>
            <w:tcW w:w="1084" w:type="dxa"/>
          </w:tcPr>
          <w:p w14:paraId="55427606" w14:textId="77777777" w:rsidR="000B3F50" w:rsidRPr="00345617" w:rsidRDefault="000B3F50" w:rsidP="00CD48ED">
            <w:pPr>
              <w:pStyle w:val="ecmsonormal"/>
              <w:rPr>
                <w:rFonts w:ascii="Calibri" w:hAnsi="Calibri"/>
                <w:sz w:val="20"/>
                <w:szCs w:val="20"/>
              </w:rPr>
            </w:pPr>
            <w:r>
              <w:rPr>
                <w:rFonts w:ascii="Calibri" w:hAnsi="Calibri"/>
                <w:sz w:val="20"/>
                <w:szCs w:val="20"/>
              </w:rPr>
              <w:t>6.5</w:t>
            </w:r>
          </w:p>
        </w:tc>
        <w:tc>
          <w:tcPr>
            <w:tcW w:w="1264" w:type="dxa"/>
          </w:tcPr>
          <w:p w14:paraId="71B6AECD" w14:textId="77777777" w:rsidR="000B3F50" w:rsidRDefault="000B3F50" w:rsidP="00CD48ED">
            <w:pPr>
              <w:ind w:right="-720"/>
              <w:rPr>
                <w:rFonts w:ascii="Calibri" w:hAnsi="Calibri"/>
                <w:sz w:val="20"/>
              </w:rPr>
            </w:pPr>
            <w:r>
              <w:rPr>
                <w:rFonts w:ascii="Calibri" w:hAnsi="Calibri"/>
                <w:sz w:val="20"/>
              </w:rPr>
              <w:t>1,760</w:t>
            </w:r>
          </w:p>
        </w:tc>
        <w:tc>
          <w:tcPr>
            <w:tcW w:w="993" w:type="dxa"/>
          </w:tcPr>
          <w:p w14:paraId="085CDA86" w14:textId="77777777" w:rsidR="000B3F50" w:rsidRDefault="000B3F50" w:rsidP="00CD48ED">
            <w:pPr>
              <w:ind w:right="-720"/>
              <w:rPr>
                <w:rFonts w:ascii="Calibri" w:hAnsi="Calibri"/>
                <w:sz w:val="20"/>
              </w:rPr>
            </w:pPr>
            <w:r>
              <w:rPr>
                <w:rFonts w:ascii="Calibri" w:hAnsi="Calibri"/>
                <w:sz w:val="20"/>
              </w:rPr>
              <w:t>6.1</w:t>
            </w:r>
          </w:p>
        </w:tc>
        <w:tc>
          <w:tcPr>
            <w:tcW w:w="1174" w:type="dxa"/>
          </w:tcPr>
          <w:p w14:paraId="6D37F775" w14:textId="77777777" w:rsidR="000B3F50" w:rsidRDefault="000B3F50" w:rsidP="00CD48ED">
            <w:pPr>
              <w:ind w:right="-720"/>
              <w:rPr>
                <w:rFonts w:ascii="Calibri" w:hAnsi="Calibri"/>
                <w:sz w:val="20"/>
              </w:rPr>
            </w:pPr>
            <w:r>
              <w:rPr>
                <w:rFonts w:ascii="Calibri" w:hAnsi="Calibri"/>
                <w:sz w:val="20"/>
              </w:rPr>
              <w:t>1,620</w:t>
            </w:r>
          </w:p>
        </w:tc>
        <w:tc>
          <w:tcPr>
            <w:tcW w:w="993" w:type="dxa"/>
          </w:tcPr>
          <w:p w14:paraId="171D26DD" w14:textId="77777777" w:rsidR="000B3F50" w:rsidRDefault="000B3F50" w:rsidP="00CD48ED">
            <w:pPr>
              <w:ind w:right="-720"/>
              <w:rPr>
                <w:rFonts w:ascii="Calibri" w:hAnsi="Calibri"/>
                <w:sz w:val="20"/>
              </w:rPr>
            </w:pPr>
            <w:r>
              <w:rPr>
                <w:rFonts w:ascii="Calibri" w:hAnsi="Calibri"/>
                <w:sz w:val="20"/>
              </w:rPr>
              <w:t>5.6</w:t>
            </w:r>
          </w:p>
        </w:tc>
      </w:tr>
      <w:tr w:rsidR="000B3F50" w14:paraId="184E249F" w14:textId="77777777" w:rsidTr="00DF4506">
        <w:trPr>
          <w:cantSplit/>
          <w:trHeight w:val="258"/>
          <w:jc w:val="center"/>
        </w:trPr>
        <w:tc>
          <w:tcPr>
            <w:tcW w:w="2095" w:type="dxa"/>
          </w:tcPr>
          <w:p w14:paraId="4BF6D6D3" w14:textId="77777777" w:rsidR="000B3F50" w:rsidRDefault="000B3F50" w:rsidP="00CD48ED">
            <w:pPr>
              <w:ind w:right="-720"/>
              <w:rPr>
                <w:rFonts w:ascii="Calibri" w:hAnsi="Calibri"/>
                <w:sz w:val="20"/>
              </w:rPr>
            </w:pPr>
            <w:r>
              <w:rPr>
                <w:rFonts w:ascii="Calibri" w:hAnsi="Calibri"/>
                <w:sz w:val="20"/>
              </w:rPr>
              <w:t>5 –14 Years</w:t>
            </w:r>
          </w:p>
        </w:tc>
        <w:tc>
          <w:tcPr>
            <w:tcW w:w="1084" w:type="dxa"/>
          </w:tcPr>
          <w:p w14:paraId="579C2BDA" w14:textId="77777777" w:rsidR="000B3F50" w:rsidRPr="00345617" w:rsidRDefault="000B3F50" w:rsidP="00CD48ED">
            <w:pPr>
              <w:pStyle w:val="ecmsonormal"/>
              <w:rPr>
                <w:rFonts w:ascii="Calibri" w:hAnsi="Calibri"/>
                <w:sz w:val="20"/>
                <w:szCs w:val="20"/>
              </w:rPr>
            </w:pPr>
            <w:r>
              <w:rPr>
                <w:rFonts w:ascii="Calibri" w:hAnsi="Calibri"/>
                <w:sz w:val="20"/>
                <w:szCs w:val="20"/>
              </w:rPr>
              <w:t>4,952</w:t>
            </w:r>
          </w:p>
        </w:tc>
        <w:tc>
          <w:tcPr>
            <w:tcW w:w="1084" w:type="dxa"/>
          </w:tcPr>
          <w:p w14:paraId="1D4B23D0"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4" w:type="dxa"/>
          </w:tcPr>
          <w:p w14:paraId="66A99F54" w14:textId="77777777" w:rsidR="000B3F50" w:rsidRDefault="000B3F50" w:rsidP="00CD48ED">
            <w:pPr>
              <w:ind w:right="-720"/>
              <w:rPr>
                <w:rFonts w:ascii="Calibri" w:hAnsi="Calibri"/>
                <w:sz w:val="20"/>
              </w:rPr>
            </w:pPr>
            <w:r>
              <w:rPr>
                <w:rFonts w:ascii="Calibri" w:hAnsi="Calibri"/>
                <w:sz w:val="20"/>
              </w:rPr>
              <w:t>4,710</w:t>
            </w:r>
          </w:p>
        </w:tc>
        <w:tc>
          <w:tcPr>
            <w:tcW w:w="993" w:type="dxa"/>
          </w:tcPr>
          <w:p w14:paraId="14523F45" w14:textId="77777777" w:rsidR="000B3F50" w:rsidRDefault="000B3F50" w:rsidP="00CD48ED">
            <w:pPr>
              <w:ind w:right="-720"/>
              <w:rPr>
                <w:rFonts w:ascii="Calibri" w:hAnsi="Calibri"/>
                <w:sz w:val="20"/>
              </w:rPr>
            </w:pPr>
            <w:r>
              <w:rPr>
                <w:rFonts w:ascii="Calibri" w:hAnsi="Calibri"/>
                <w:sz w:val="20"/>
              </w:rPr>
              <w:t>16.3</w:t>
            </w:r>
          </w:p>
        </w:tc>
        <w:tc>
          <w:tcPr>
            <w:tcW w:w="1174" w:type="dxa"/>
          </w:tcPr>
          <w:p w14:paraId="3252072B" w14:textId="77777777" w:rsidR="000B3F50" w:rsidRDefault="000B3F50" w:rsidP="00CD48ED">
            <w:pPr>
              <w:ind w:right="-720"/>
              <w:rPr>
                <w:rFonts w:ascii="Calibri" w:hAnsi="Calibri"/>
                <w:sz w:val="20"/>
              </w:rPr>
            </w:pPr>
            <w:r>
              <w:rPr>
                <w:rFonts w:ascii="Calibri" w:hAnsi="Calibri"/>
                <w:sz w:val="20"/>
              </w:rPr>
              <w:t>4,750</w:t>
            </w:r>
          </w:p>
        </w:tc>
        <w:tc>
          <w:tcPr>
            <w:tcW w:w="993" w:type="dxa"/>
          </w:tcPr>
          <w:p w14:paraId="0FE9D2F1" w14:textId="77777777" w:rsidR="000B3F50" w:rsidRDefault="000B3F50" w:rsidP="00CD48ED">
            <w:pPr>
              <w:ind w:right="-720"/>
              <w:rPr>
                <w:rFonts w:ascii="Calibri" w:hAnsi="Calibri"/>
                <w:sz w:val="20"/>
              </w:rPr>
            </w:pPr>
            <w:r>
              <w:rPr>
                <w:rFonts w:ascii="Calibri" w:hAnsi="Calibri"/>
                <w:sz w:val="20"/>
              </w:rPr>
              <w:t>16.4</w:t>
            </w:r>
          </w:p>
        </w:tc>
      </w:tr>
      <w:tr w:rsidR="000B3F50" w14:paraId="0AD991F4" w14:textId="77777777" w:rsidTr="00DF4506">
        <w:trPr>
          <w:cantSplit/>
          <w:trHeight w:val="258"/>
          <w:jc w:val="center"/>
        </w:trPr>
        <w:tc>
          <w:tcPr>
            <w:tcW w:w="2095" w:type="dxa"/>
          </w:tcPr>
          <w:p w14:paraId="08DF9CAA" w14:textId="77777777" w:rsidR="000B3F50" w:rsidRDefault="000B3F50" w:rsidP="00CD48ED">
            <w:pPr>
              <w:ind w:right="-720"/>
              <w:rPr>
                <w:rFonts w:ascii="Calibri" w:hAnsi="Calibri"/>
                <w:sz w:val="20"/>
              </w:rPr>
            </w:pPr>
            <w:r>
              <w:rPr>
                <w:rFonts w:ascii="Calibri" w:hAnsi="Calibri"/>
                <w:sz w:val="20"/>
              </w:rPr>
              <w:t xml:space="preserve">15 – 19 Years </w:t>
            </w:r>
          </w:p>
        </w:tc>
        <w:tc>
          <w:tcPr>
            <w:tcW w:w="1084" w:type="dxa"/>
          </w:tcPr>
          <w:p w14:paraId="0589E261" w14:textId="77777777" w:rsidR="000B3F50" w:rsidRPr="00345617" w:rsidRDefault="000B3F50" w:rsidP="00825439">
            <w:pPr>
              <w:pStyle w:val="ecmsonormal"/>
              <w:rPr>
                <w:rFonts w:ascii="Calibri" w:hAnsi="Calibri"/>
                <w:sz w:val="20"/>
                <w:szCs w:val="20"/>
              </w:rPr>
            </w:pPr>
            <w:r>
              <w:rPr>
                <w:rFonts w:ascii="Calibri" w:hAnsi="Calibri"/>
                <w:sz w:val="20"/>
                <w:szCs w:val="20"/>
              </w:rPr>
              <w:t>1,862</w:t>
            </w:r>
          </w:p>
        </w:tc>
        <w:tc>
          <w:tcPr>
            <w:tcW w:w="1084" w:type="dxa"/>
          </w:tcPr>
          <w:p w14:paraId="15BE54B2" w14:textId="77777777" w:rsidR="000B3F50" w:rsidRPr="00345617" w:rsidRDefault="000B3F50" w:rsidP="00CD48ED">
            <w:pPr>
              <w:pStyle w:val="ecmsonormal"/>
              <w:rPr>
                <w:rFonts w:ascii="Calibri" w:hAnsi="Calibri"/>
                <w:sz w:val="20"/>
                <w:szCs w:val="20"/>
              </w:rPr>
            </w:pPr>
            <w:r>
              <w:rPr>
                <w:rFonts w:ascii="Calibri" w:hAnsi="Calibri"/>
                <w:sz w:val="20"/>
                <w:szCs w:val="20"/>
              </w:rPr>
              <w:t>6.4</w:t>
            </w:r>
          </w:p>
        </w:tc>
        <w:tc>
          <w:tcPr>
            <w:tcW w:w="1264" w:type="dxa"/>
          </w:tcPr>
          <w:p w14:paraId="41C3DFA5" w14:textId="77777777" w:rsidR="000B3F50" w:rsidRDefault="000B3F50" w:rsidP="00CD48ED">
            <w:pPr>
              <w:ind w:right="-720"/>
              <w:rPr>
                <w:rFonts w:ascii="Calibri" w:hAnsi="Calibri"/>
                <w:sz w:val="20"/>
              </w:rPr>
            </w:pPr>
            <w:r>
              <w:rPr>
                <w:rFonts w:ascii="Calibri" w:hAnsi="Calibri"/>
                <w:sz w:val="20"/>
              </w:rPr>
              <w:t>1,910</w:t>
            </w:r>
          </w:p>
        </w:tc>
        <w:tc>
          <w:tcPr>
            <w:tcW w:w="993" w:type="dxa"/>
          </w:tcPr>
          <w:p w14:paraId="12679283" w14:textId="77777777" w:rsidR="000B3F50" w:rsidRDefault="000B3F50" w:rsidP="00CD48ED">
            <w:pPr>
              <w:ind w:right="-720"/>
              <w:rPr>
                <w:rFonts w:ascii="Calibri" w:hAnsi="Calibri"/>
                <w:sz w:val="20"/>
              </w:rPr>
            </w:pPr>
            <w:r>
              <w:rPr>
                <w:rFonts w:ascii="Calibri" w:hAnsi="Calibri"/>
                <w:sz w:val="20"/>
              </w:rPr>
              <w:t>6.6</w:t>
            </w:r>
          </w:p>
        </w:tc>
        <w:tc>
          <w:tcPr>
            <w:tcW w:w="1174" w:type="dxa"/>
          </w:tcPr>
          <w:p w14:paraId="2A6C6FB4" w14:textId="77777777" w:rsidR="000B3F50" w:rsidRDefault="000B3F50" w:rsidP="00CD48ED">
            <w:pPr>
              <w:ind w:right="-720"/>
              <w:rPr>
                <w:rFonts w:ascii="Calibri" w:hAnsi="Calibri"/>
                <w:sz w:val="20"/>
              </w:rPr>
            </w:pPr>
            <w:r>
              <w:rPr>
                <w:rFonts w:ascii="Calibri" w:hAnsi="Calibri"/>
                <w:sz w:val="20"/>
              </w:rPr>
              <w:t>1,850</w:t>
            </w:r>
          </w:p>
        </w:tc>
        <w:tc>
          <w:tcPr>
            <w:tcW w:w="993" w:type="dxa"/>
          </w:tcPr>
          <w:p w14:paraId="1D060424" w14:textId="77777777" w:rsidR="000B3F50" w:rsidRDefault="000B3F50" w:rsidP="00CD48ED">
            <w:pPr>
              <w:ind w:right="-720"/>
              <w:rPr>
                <w:rFonts w:ascii="Calibri" w:hAnsi="Calibri"/>
                <w:sz w:val="20"/>
              </w:rPr>
            </w:pPr>
            <w:r>
              <w:rPr>
                <w:rFonts w:ascii="Calibri" w:hAnsi="Calibri"/>
                <w:sz w:val="20"/>
              </w:rPr>
              <w:t>6.4</w:t>
            </w:r>
          </w:p>
        </w:tc>
      </w:tr>
      <w:tr w:rsidR="000B3F50" w14:paraId="3C3EEB60" w14:textId="77777777" w:rsidTr="00DF4506">
        <w:trPr>
          <w:trHeight w:val="258"/>
          <w:jc w:val="center"/>
        </w:trPr>
        <w:tc>
          <w:tcPr>
            <w:tcW w:w="2095" w:type="dxa"/>
          </w:tcPr>
          <w:p w14:paraId="57C0EBF2" w14:textId="77777777" w:rsidR="000B3F50" w:rsidRDefault="000B3F50" w:rsidP="00CD48ED">
            <w:pPr>
              <w:ind w:right="-720"/>
              <w:rPr>
                <w:rFonts w:ascii="Calibri" w:hAnsi="Calibri"/>
                <w:sz w:val="20"/>
              </w:rPr>
            </w:pPr>
            <w:r>
              <w:rPr>
                <w:rFonts w:ascii="Calibri" w:hAnsi="Calibri"/>
                <w:sz w:val="20"/>
              </w:rPr>
              <w:t xml:space="preserve">20 – 24 Years </w:t>
            </w:r>
          </w:p>
        </w:tc>
        <w:tc>
          <w:tcPr>
            <w:tcW w:w="1084" w:type="dxa"/>
          </w:tcPr>
          <w:p w14:paraId="1F28867F" w14:textId="77777777" w:rsidR="000B3F50" w:rsidRPr="00345617" w:rsidRDefault="000B3F50" w:rsidP="00CD48ED">
            <w:pPr>
              <w:pStyle w:val="ecmsonormal"/>
              <w:rPr>
                <w:rFonts w:ascii="Calibri" w:hAnsi="Calibri"/>
                <w:sz w:val="20"/>
                <w:szCs w:val="20"/>
              </w:rPr>
            </w:pPr>
            <w:r>
              <w:rPr>
                <w:rFonts w:ascii="Calibri" w:hAnsi="Calibri"/>
                <w:sz w:val="20"/>
                <w:szCs w:val="20"/>
              </w:rPr>
              <w:t>983</w:t>
            </w:r>
          </w:p>
        </w:tc>
        <w:tc>
          <w:tcPr>
            <w:tcW w:w="1084" w:type="dxa"/>
          </w:tcPr>
          <w:p w14:paraId="70BC78F8" w14:textId="77777777" w:rsidR="000B3F50" w:rsidRPr="00345617" w:rsidRDefault="000B3F50" w:rsidP="00CD48ED">
            <w:pPr>
              <w:pStyle w:val="ecmsonormal"/>
              <w:rPr>
                <w:rFonts w:ascii="Calibri" w:hAnsi="Calibri"/>
                <w:sz w:val="20"/>
                <w:szCs w:val="20"/>
              </w:rPr>
            </w:pPr>
            <w:r>
              <w:rPr>
                <w:rFonts w:ascii="Calibri" w:hAnsi="Calibri"/>
                <w:sz w:val="20"/>
                <w:szCs w:val="20"/>
              </w:rPr>
              <w:t>3.4</w:t>
            </w:r>
          </w:p>
        </w:tc>
        <w:tc>
          <w:tcPr>
            <w:tcW w:w="1264" w:type="dxa"/>
          </w:tcPr>
          <w:p w14:paraId="0979C333" w14:textId="77777777" w:rsidR="000B3F50" w:rsidRDefault="000B3F50" w:rsidP="00CD48ED">
            <w:pPr>
              <w:ind w:right="-720"/>
              <w:rPr>
                <w:rFonts w:ascii="Calibri" w:hAnsi="Calibri"/>
                <w:sz w:val="20"/>
              </w:rPr>
            </w:pPr>
            <w:r>
              <w:rPr>
                <w:rFonts w:ascii="Calibri" w:hAnsi="Calibri"/>
                <w:sz w:val="20"/>
              </w:rPr>
              <w:t>1,060</w:t>
            </w:r>
          </w:p>
        </w:tc>
        <w:tc>
          <w:tcPr>
            <w:tcW w:w="993" w:type="dxa"/>
          </w:tcPr>
          <w:p w14:paraId="1F422DCE" w14:textId="77777777" w:rsidR="000B3F50" w:rsidRDefault="000B3F50" w:rsidP="00CD48ED">
            <w:pPr>
              <w:ind w:right="-720"/>
              <w:rPr>
                <w:rFonts w:ascii="Calibri" w:hAnsi="Calibri"/>
                <w:sz w:val="20"/>
              </w:rPr>
            </w:pPr>
            <w:r>
              <w:rPr>
                <w:rFonts w:ascii="Calibri" w:hAnsi="Calibri"/>
                <w:sz w:val="20"/>
              </w:rPr>
              <w:t>3.7</w:t>
            </w:r>
          </w:p>
        </w:tc>
        <w:tc>
          <w:tcPr>
            <w:tcW w:w="1174" w:type="dxa"/>
          </w:tcPr>
          <w:p w14:paraId="48E40D1B" w14:textId="77777777" w:rsidR="000B3F50" w:rsidRDefault="000B3F50" w:rsidP="00CD48ED">
            <w:pPr>
              <w:ind w:right="-720"/>
              <w:rPr>
                <w:rFonts w:ascii="Calibri" w:hAnsi="Calibri"/>
                <w:sz w:val="20"/>
              </w:rPr>
            </w:pPr>
            <w:r>
              <w:rPr>
                <w:rFonts w:ascii="Calibri" w:hAnsi="Calibri"/>
                <w:sz w:val="20"/>
              </w:rPr>
              <w:t>940</w:t>
            </w:r>
          </w:p>
        </w:tc>
        <w:tc>
          <w:tcPr>
            <w:tcW w:w="993" w:type="dxa"/>
          </w:tcPr>
          <w:p w14:paraId="6FD79368" w14:textId="77777777" w:rsidR="000B3F50" w:rsidRDefault="000B3F50" w:rsidP="00CD48ED">
            <w:pPr>
              <w:ind w:right="-720"/>
              <w:rPr>
                <w:rFonts w:ascii="Calibri" w:hAnsi="Calibri"/>
                <w:sz w:val="20"/>
              </w:rPr>
            </w:pPr>
            <w:r>
              <w:rPr>
                <w:rFonts w:ascii="Calibri" w:hAnsi="Calibri"/>
                <w:sz w:val="20"/>
              </w:rPr>
              <w:t>3.2</w:t>
            </w:r>
          </w:p>
        </w:tc>
      </w:tr>
      <w:tr w:rsidR="000B3F50" w14:paraId="11718C7F" w14:textId="77777777" w:rsidTr="00DF4506">
        <w:trPr>
          <w:cantSplit/>
          <w:trHeight w:val="258"/>
          <w:jc w:val="center"/>
        </w:trPr>
        <w:tc>
          <w:tcPr>
            <w:tcW w:w="2095" w:type="dxa"/>
          </w:tcPr>
          <w:p w14:paraId="54D89F9C" w14:textId="77777777" w:rsidR="000B3F50" w:rsidRDefault="000B3F50" w:rsidP="00CD48ED">
            <w:pPr>
              <w:ind w:right="-720"/>
              <w:rPr>
                <w:rFonts w:ascii="Calibri" w:hAnsi="Calibri"/>
                <w:sz w:val="20"/>
              </w:rPr>
            </w:pPr>
            <w:r>
              <w:rPr>
                <w:rFonts w:ascii="Calibri" w:hAnsi="Calibri"/>
                <w:sz w:val="20"/>
              </w:rPr>
              <w:t>25 – 34 Years</w:t>
            </w:r>
          </w:p>
        </w:tc>
        <w:tc>
          <w:tcPr>
            <w:tcW w:w="1084" w:type="dxa"/>
          </w:tcPr>
          <w:p w14:paraId="1570066E" w14:textId="77777777" w:rsidR="000B3F50" w:rsidRPr="00345617" w:rsidRDefault="000B3F50" w:rsidP="00CD48ED">
            <w:pPr>
              <w:pStyle w:val="ecmsonormal"/>
              <w:rPr>
                <w:rFonts w:ascii="Calibri" w:hAnsi="Calibri"/>
                <w:sz w:val="20"/>
                <w:szCs w:val="20"/>
              </w:rPr>
            </w:pPr>
            <w:r>
              <w:rPr>
                <w:rFonts w:ascii="Calibri" w:hAnsi="Calibri"/>
                <w:sz w:val="20"/>
                <w:szCs w:val="20"/>
              </w:rPr>
              <w:t>1,694</w:t>
            </w:r>
          </w:p>
        </w:tc>
        <w:tc>
          <w:tcPr>
            <w:tcW w:w="1084" w:type="dxa"/>
          </w:tcPr>
          <w:p w14:paraId="05B36CE0" w14:textId="77777777" w:rsidR="000B3F50" w:rsidRPr="00345617" w:rsidRDefault="000B3F50" w:rsidP="00CD48ED">
            <w:pPr>
              <w:pStyle w:val="ecmsonormal"/>
              <w:rPr>
                <w:rFonts w:ascii="Calibri" w:hAnsi="Calibri"/>
                <w:sz w:val="20"/>
                <w:szCs w:val="20"/>
              </w:rPr>
            </w:pPr>
            <w:r>
              <w:rPr>
                <w:rFonts w:ascii="Calibri" w:hAnsi="Calibri"/>
                <w:sz w:val="20"/>
                <w:szCs w:val="20"/>
              </w:rPr>
              <w:t>5.9</w:t>
            </w:r>
          </w:p>
        </w:tc>
        <w:tc>
          <w:tcPr>
            <w:tcW w:w="1264" w:type="dxa"/>
          </w:tcPr>
          <w:p w14:paraId="4F6488B8" w14:textId="77777777" w:rsidR="000B3F50" w:rsidRDefault="000B3F50" w:rsidP="00CD48ED">
            <w:pPr>
              <w:ind w:right="-720"/>
              <w:rPr>
                <w:rFonts w:ascii="Calibri" w:hAnsi="Calibri"/>
                <w:sz w:val="20"/>
              </w:rPr>
            </w:pPr>
            <w:r>
              <w:rPr>
                <w:rFonts w:ascii="Calibri" w:hAnsi="Calibri"/>
                <w:sz w:val="20"/>
              </w:rPr>
              <w:t>2,170</w:t>
            </w:r>
          </w:p>
        </w:tc>
        <w:tc>
          <w:tcPr>
            <w:tcW w:w="993" w:type="dxa"/>
          </w:tcPr>
          <w:p w14:paraId="5EDDCF49" w14:textId="77777777" w:rsidR="000B3F50" w:rsidRDefault="000B3F50" w:rsidP="00CD48ED">
            <w:pPr>
              <w:ind w:right="-720"/>
              <w:rPr>
                <w:rFonts w:ascii="Calibri" w:hAnsi="Calibri"/>
                <w:sz w:val="20"/>
              </w:rPr>
            </w:pPr>
            <w:r>
              <w:rPr>
                <w:rFonts w:ascii="Calibri" w:hAnsi="Calibri"/>
                <w:sz w:val="20"/>
              </w:rPr>
              <w:t>7.5</w:t>
            </w:r>
          </w:p>
        </w:tc>
        <w:tc>
          <w:tcPr>
            <w:tcW w:w="1174" w:type="dxa"/>
          </w:tcPr>
          <w:p w14:paraId="7E66188E" w14:textId="77777777" w:rsidR="000B3F50" w:rsidRDefault="000B3F50" w:rsidP="00CD48ED">
            <w:pPr>
              <w:ind w:right="-720"/>
              <w:rPr>
                <w:rFonts w:ascii="Calibri" w:hAnsi="Calibri"/>
                <w:sz w:val="20"/>
              </w:rPr>
            </w:pPr>
            <w:r>
              <w:rPr>
                <w:rFonts w:ascii="Calibri" w:hAnsi="Calibri"/>
                <w:sz w:val="20"/>
              </w:rPr>
              <w:t>2,210</w:t>
            </w:r>
          </w:p>
        </w:tc>
        <w:tc>
          <w:tcPr>
            <w:tcW w:w="993" w:type="dxa"/>
          </w:tcPr>
          <w:p w14:paraId="2DC8F526" w14:textId="77777777" w:rsidR="000B3F50" w:rsidRDefault="000B3F50" w:rsidP="00CD48ED">
            <w:pPr>
              <w:ind w:right="-720"/>
              <w:rPr>
                <w:rFonts w:ascii="Calibri" w:hAnsi="Calibri"/>
                <w:sz w:val="20"/>
              </w:rPr>
            </w:pPr>
            <w:r>
              <w:rPr>
                <w:rFonts w:ascii="Calibri" w:hAnsi="Calibri"/>
                <w:sz w:val="20"/>
              </w:rPr>
              <w:t>7.6</w:t>
            </w:r>
          </w:p>
        </w:tc>
      </w:tr>
      <w:tr w:rsidR="000B3F50" w14:paraId="64C2A499" w14:textId="77777777" w:rsidTr="00DF4506">
        <w:trPr>
          <w:cantSplit/>
          <w:trHeight w:val="258"/>
          <w:jc w:val="center"/>
        </w:trPr>
        <w:tc>
          <w:tcPr>
            <w:tcW w:w="2095" w:type="dxa"/>
          </w:tcPr>
          <w:p w14:paraId="4C27A7DF" w14:textId="77777777" w:rsidR="000B3F50" w:rsidRDefault="000B3F50" w:rsidP="00CD48ED">
            <w:pPr>
              <w:ind w:right="-720"/>
              <w:rPr>
                <w:rFonts w:ascii="Calibri" w:hAnsi="Calibri"/>
                <w:sz w:val="20"/>
              </w:rPr>
            </w:pPr>
            <w:r>
              <w:rPr>
                <w:rFonts w:ascii="Calibri" w:hAnsi="Calibri"/>
                <w:sz w:val="20"/>
              </w:rPr>
              <w:t>35 – 44 Years</w:t>
            </w:r>
          </w:p>
        </w:tc>
        <w:tc>
          <w:tcPr>
            <w:tcW w:w="1084" w:type="dxa"/>
          </w:tcPr>
          <w:p w14:paraId="285FF7A5" w14:textId="77777777" w:rsidR="000B3F50" w:rsidRPr="00345617" w:rsidRDefault="000B3F50" w:rsidP="00CD48ED">
            <w:pPr>
              <w:pStyle w:val="ecmsonormal"/>
              <w:rPr>
                <w:rFonts w:ascii="Calibri" w:hAnsi="Calibri"/>
                <w:sz w:val="20"/>
                <w:szCs w:val="20"/>
              </w:rPr>
            </w:pPr>
            <w:r>
              <w:rPr>
                <w:rFonts w:ascii="Calibri" w:hAnsi="Calibri"/>
                <w:sz w:val="20"/>
                <w:szCs w:val="20"/>
              </w:rPr>
              <w:t>4,046</w:t>
            </w:r>
          </w:p>
        </w:tc>
        <w:tc>
          <w:tcPr>
            <w:tcW w:w="1084" w:type="dxa"/>
          </w:tcPr>
          <w:p w14:paraId="04AC426C" w14:textId="77777777" w:rsidR="000B3F50" w:rsidRPr="00345617" w:rsidRDefault="000B3F50" w:rsidP="00CD48ED">
            <w:pPr>
              <w:pStyle w:val="ecmsonormal"/>
              <w:rPr>
                <w:rFonts w:ascii="Calibri" w:hAnsi="Calibri"/>
                <w:sz w:val="20"/>
                <w:szCs w:val="20"/>
              </w:rPr>
            </w:pPr>
            <w:r>
              <w:rPr>
                <w:rFonts w:ascii="Calibri" w:hAnsi="Calibri"/>
                <w:sz w:val="20"/>
                <w:szCs w:val="20"/>
              </w:rPr>
              <w:t>14.0</w:t>
            </w:r>
          </w:p>
        </w:tc>
        <w:tc>
          <w:tcPr>
            <w:tcW w:w="1264" w:type="dxa"/>
          </w:tcPr>
          <w:p w14:paraId="5F7CD5AA" w14:textId="77777777" w:rsidR="000B3F50" w:rsidRDefault="000B3F50" w:rsidP="00CD48ED">
            <w:pPr>
              <w:ind w:right="-720"/>
              <w:rPr>
                <w:rFonts w:ascii="Calibri" w:hAnsi="Calibri"/>
                <w:sz w:val="20"/>
              </w:rPr>
            </w:pPr>
            <w:r>
              <w:rPr>
                <w:rFonts w:ascii="Calibri" w:hAnsi="Calibri"/>
                <w:sz w:val="20"/>
              </w:rPr>
              <w:t>3,090</w:t>
            </w:r>
          </w:p>
        </w:tc>
        <w:tc>
          <w:tcPr>
            <w:tcW w:w="993" w:type="dxa"/>
          </w:tcPr>
          <w:p w14:paraId="531DCFF2" w14:textId="77777777" w:rsidR="000B3F50" w:rsidRDefault="000B3F50" w:rsidP="00CD48ED">
            <w:pPr>
              <w:ind w:right="-720"/>
              <w:rPr>
                <w:rFonts w:ascii="Calibri" w:hAnsi="Calibri"/>
                <w:sz w:val="20"/>
              </w:rPr>
            </w:pPr>
            <w:r>
              <w:rPr>
                <w:rFonts w:ascii="Calibri" w:hAnsi="Calibri"/>
                <w:sz w:val="20"/>
              </w:rPr>
              <w:t>10.7</w:t>
            </w:r>
          </w:p>
        </w:tc>
        <w:tc>
          <w:tcPr>
            <w:tcW w:w="1174" w:type="dxa"/>
          </w:tcPr>
          <w:p w14:paraId="39BF540D" w14:textId="77777777" w:rsidR="000B3F50" w:rsidRDefault="000B3F50" w:rsidP="00CD48ED">
            <w:pPr>
              <w:ind w:right="-720"/>
              <w:rPr>
                <w:rFonts w:ascii="Calibri" w:hAnsi="Calibri"/>
                <w:sz w:val="20"/>
              </w:rPr>
            </w:pPr>
            <w:r>
              <w:rPr>
                <w:rFonts w:ascii="Calibri" w:hAnsi="Calibri"/>
                <w:sz w:val="20"/>
              </w:rPr>
              <w:t>3,600</w:t>
            </w:r>
          </w:p>
        </w:tc>
        <w:tc>
          <w:tcPr>
            <w:tcW w:w="993" w:type="dxa"/>
          </w:tcPr>
          <w:p w14:paraId="7C084817" w14:textId="77777777" w:rsidR="000B3F50" w:rsidRDefault="000B3F50" w:rsidP="00CD48ED">
            <w:pPr>
              <w:ind w:right="-720"/>
              <w:rPr>
                <w:rFonts w:ascii="Calibri" w:hAnsi="Calibri"/>
                <w:sz w:val="20"/>
              </w:rPr>
            </w:pPr>
            <w:r>
              <w:rPr>
                <w:rFonts w:ascii="Calibri" w:hAnsi="Calibri"/>
                <w:sz w:val="20"/>
              </w:rPr>
              <w:t>12.4</w:t>
            </w:r>
          </w:p>
        </w:tc>
      </w:tr>
      <w:tr w:rsidR="000B3F50" w14:paraId="1DDE6D90" w14:textId="77777777" w:rsidTr="00DF4506">
        <w:trPr>
          <w:trHeight w:val="242"/>
          <w:jc w:val="center"/>
        </w:trPr>
        <w:tc>
          <w:tcPr>
            <w:tcW w:w="2095" w:type="dxa"/>
          </w:tcPr>
          <w:p w14:paraId="1A31605E" w14:textId="77777777" w:rsidR="000B3F50" w:rsidRDefault="000B3F50" w:rsidP="00CD48ED">
            <w:pPr>
              <w:ind w:right="-720"/>
              <w:rPr>
                <w:rFonts w:ascii="Calibri" w:hAnsi="Calibri"/>
                <w:sz w:val="20"/>
              </w:rPr>
            </w:pPr>
            <w:r>
              <w:rPr>
                <w:rFonts w:ascii="Calibri" w:hAnsi="Calibri"/>
                <w:sz w:val="20"/>
              </w:rPr>
              <w:t>45 – 54 Years</w:t>
            </w:r>
          </w:p>
        </w:tc>
        <w:tc>
          <w:tcPr>
            <w:tcW w:w="1084" w:type="dxa"/>
          </w:tcPr>
          <w:p w14:paraId="734AC75E" w14:textId="77777777" w:rsidR="000B3F50" w:rsidRPr="00345617" w:rsidRDefault="000B3F50" w:rsidP="00CD48ED">
            <w:pPr>
              <w:pStyle w:val="ecmsonormal"/>
              <w:rPr>
                <w:rFonts w:ascii="Calibri" w:hAnsi="Calibri"/>
                <w:sz w:val="20"/>
                <w:szCs w:val="20"/>
              </w:rPr>
            </w:pPr>
            <w:r>
              <w:rPr>
                <w:rFonts w:ascii="Calibri" w:hAnsi="Calibri"/>
                <w:sz w:val="20"/>
                <w:szCs w:val="20"/>
              </w:rPr>
              <w:t>4,940</w:t>
            </w:r>
          </w:p>
        </w:tc>
        <w:tc>
          <w:tcPr>
            <w:tcW w:w="1084" w:type="dxa"/>
          </w:tcPr>
          <w:p w14:paraId="16CF5D75" w14:textId="77777777" w:rsidR="000B3F50" w:rsidRPr="00345617" w:rsidRDefault="000B3F50" w:rsidP="00CD48ED">
            <w:pPr>
              <w:pStyle w:val="ecmsonormal"/>
              <w:rPr>
                <w:rFonts w:ascii="Calibri" w:hAnsi="Calibri"/>
                <w:sz w:val="20"/>
                <w:szCs w:val="20"/>
              </w:rPr>
            </w:pPr>
            <w:r>
              <w:rPr>
                <w:rFonts w:ascii="Calibri" w:hAnsi="Calibri"/>
                <w:sz w:val="20"/>
                <w:szCs w:val="20"/>
              </w:rPr>
              <w:t>17.1</w:t>
            </w:r>
          </w:p>
        </w:tc>
        <w:tc>
          <w:tcPr>
            <w:tcW w:w="1264" w:type="dxa"/>
          </w:tcPr>
          <w:p w14:paraId="2C41122B" w14:textId="77777777" w:rsidR="000B3F50" w:rsidRDefault="000B3F50" w:rsidP="00CD48ED">
            <w:pPr>
              <w:ind w:right="-720"/>
              <w:rPr>
                <w:rFonts w:ascii="Calibri" w:hAnsi="Calibri"/>
                <w:sz w:val="20"/>
              </w:rPr>
            </w:pPr>
            <w:r>
              <w:rPr>
                <w:rFonts w:ascii="Calibri" w:hAnsi="Calibri"/>
                <w:sz w:val="20"/>
              </w:rPr>
              <w:t>4,040</w:t>
            </w:r>
          </w:p>
        </w:tc>
        <w:tc>
          <w:tcPr>
            <w:tcW w:w="993" w:type="dxa"/>
          </w:tcPr>
          <w:p w14:paraId="5762CC18" w14:textId="77777777" w:rsidR="000B3F50" w:rsidRDefault="000B3F50" w:rsidP="00CD48ED">
            <w:pPr>
              <w:ind w:right="-720"/>
              <w:rPr>
                <w:rFonts w:ascii="Calibri" w:hAnsi="Calibri"/>
                <w:sz w:val="20"/>
              </w:rPr>
            </w:pPr>
            <w:r>
              <w:rPr>
                <w:rFonts w:ascii="Calibri" w:hAnsi="Calibri"/>
                <w:sz w:val="20"/>
              </w:rPr>
              <w:t>14.0</w:t>
            </w:r>
          </w:p>
        </w:tc>
        <w:tc>
          <w:tcPr>
            <w:tcW w:w="1174" w:type="dxa"/>
          </w:tcPr>
          <w:p w14:paraId="043C91B5" w14:textId="77777777" w:rsidR="000B3F50" w:rsidRDefault="000B3F50" w:rsidP="00CD48ED">
            <w:pPr>
              <w:ind w:right="-720"/>
              <w:rPr>
                <w:rFonts w:ascii="Calibri" w:hAnsi="Calibri"/>
                <w:sz w:val="20"/>
              </w:rPr>
            </w:pPr>
            <w:r>
              <w:rPr>
                <w:rFonts w:ascii="Calibri" w:hAnsi="Calibri"/>
                <w:sz w:val="20"/>
              </w:rPr>
              <w:t>3,240</w:t>
            </w:r>
          </w:p>
        </w:tc>
        <w:tc>
          <w:tcPr>
            <w:tcW w:w="993" w:type="dxa"/>
          </w:tcPr>
          <w:p w14:paraId="22AE9031" w14:textId="77777777" w:rsidR="000B3F50" w:rsidRDefault="000B3F50" w:rsidP="00CD48ED">
            <w:pPr>
              <w:ind w:right="-720"/>
              <w:rPr>
                <w:rFonts w:ascii="Calibri" w:hAnsi="Calibri"/>
                <w:sz w:val="20"/>
              </w:rPr>
            </w:pPr>
            <w:r>
              <w:rPr>
                <w:rFonts w:ascii="Calibri" w:hAnsi="Calibri"/>
                <w:sz w:val="20"/>
              </w:rPr>
              <w:t>11.2</w:t>
            </w:r>
          </w:p>
        </w:tc>
      </w:tr>
      <w:tr w:rsidR="000B3F50" w14:paraId="17CCC78C" w14:textId="77777777" w:rsidTr="00DF4506">
        <w:trPr>
          <w:trHeight w:val="258"/>
          <w:jc w:val="center"/>
        </w:trPr>
        <w:tc>
          <w:tcPr>
            <w:tcW w:w="2095" w:type="dxa"/>
          </w:tcPr>
          <w:p w14:paraId="791DE4E8" w14:textId="77777777" w:rsidR="000B3F50" w:rsidRDefault="000B3F50" w:rsidP="00CD48ED">
            <w:pPr>
              <w:ind w:right="-720"/>
              <w:rPr>
                <w:rFonts w:ascii="Calibri" w:hAnsi="Calibri"/>
                <w:sz w:val="20"/>
              </w:rPr>
            </w:pPr>
            <w:r>
              <w:rPr>
                <w:rFonts w:ascii="Calibri" w:hAnsi="Calibri"/>
                <w:sz w:val="20"/>
              </w:rPr>
              <w:t>55 – 64 Years</w:t>
            </w:r>
          </w:p>
        </w:tc>
        <w:tc>
          <w:tcPr>
            <w:tcW w:w="1084" w:type="dxa"/>
          </w:tcPr>
          <w:p w14:paraId="0AE38FF2" w14:textId="77777777" w:rsidR="000B3F50" w:rsidRPr="00345617" w:rsidRDefault="000B3F50" w:rsidP="00CD48ED">
            <w:pPr>
              <w:pStyle w:val="ecmsonormal"/>
              <w:rPr>
                <w:rFonts w:ascii="Calibri" w:hAnsi="Calibri"/>
                <w:sz w:val="20"/>
                <w:szCs w:val="20"/>
              </w:rPr>
            </w:pPr>
            <w:r>
              <w:rPr>
                <w:rFonts w:ascii="Calibri" w:hAnsi="Calibri"/>
                <w:sz w:val="20"/>
                <w:szCs w:val="20"/>
              </w:rPr>
              <w:t>3,840</w:t>
            </w:r>
          </w:p>
        </w:tc>
        <w:tc>
          <w:tcPr>
            <w:tcW w:w="1084" w:type="dxa"/>
          </w:tcPr>
          <w:p w14:paraId="5715ED89" w14:textId="77777777" w:rsidR="000B3F50" w:rsidRPr="00345617" w:rsidRDefault="000B3F50" w:rsidP="00CD48ED">
            <w:pPr>
              <w:pStyle w:val="ecmsonormal"/>
              <w:rPr>
                <w:rFonts w:ascii="Calibri" w:hAnsi="Calibri"/>
                <w:sz w:val="20"/>
                <w:szCs w:val="20"/>
              </w:rPr>
            </w:pPr>
            <w:r>
              <w:rPr>
                <w:rFonts w:ascii="Calibri" w:hAnsi="Calibri"/>
                <w:sz w:val="20"/>
                <w:szCs w:val="20"/>
              </w:rPr>
              <w:t>13.3</w:t>
            </w:r>
          </w:p>
        </w:tc>
        <w:tc>
          <w:tcPr>
            <w:tcW w:w="1264" w:type="dxa"/>
          </w:tcPr>
          <w:p w14:paraId="7F468A91" w14:textId="77777777" w:rsidR="000B3F50" w:rsidRDefault="000B3F50" w:rsidP="00CD48ED">
            <w:pPr>
              <w:ind w:right="-720"/>
              <w:rPr>
                <w:rFonts w:ascii="Calibri" w:hAnsi="Calibri"/>
                <w:sz w:val="20"/>
              </w:rPr>
            </w:pPr>
            <w:r>
              <w:rPr>
                <w:rFonts w:ascii="Calibri" w:hAnsi="Calibri"/>
                <w:sz w:val="20"/>
              </w:rPr>
              <w:t>4,680</w:t>
            </w:r>
          </w:p>
        </w:tc>
        <w:tc>
          <w:tcPr>
            <w:tcW w:w="993" w:type="dxa"/>
          </w:tcPr>
          <w:p w14:paraId="503EC8CC" w14:textId="77777777" w:rsidR="000B3F50" w:rsidRDefault="000B3F50" w:rsidP="00CD48ED">
            <w:pPr>
              <w:ind w:right="-720"/>
              <w:rPr>
                <w:rFonts w:ascii="Calibri" w:hAnsi="Calibri"/>
                <w:sz w:val="20"/>
              </w:rPr>
            </w:pPr>
            <w:r>
              <w:rPr>
                <w:rFonts w:ascii="Calibri" w:hAnsi="Calibri"/>
                <w:sz w:val="20"/>
              </w:rPr>
              <w:t>16.2</w:t>
            </w:r>
          </w:p>
        </w:tc>
        <w:tc>
          <w:tcPr>
            <w:tcW w:w="1174" w:type="dxa"/>
          </w:tcPr>
          <w:p w14:paraId="13AA1826" w14:textId="77777777" w:rsidR="000B3F50" w:rsidRDefault="000B3F50" w:rsidP="00CD48ED">
            <w:pPr>
              <w:ind w:right="-720"/>
              <w:rPr>
                <w:rFonts w:ascii="Calibri" w:hAnsi="Calibri"/>
                <w:sz w:val="20"/>
              </w:rPr>
            </w:pPr>
            <w:r>
              <w:rPr>
                <w:rFonts w:ascii="Calibri" w:hAnsi="Calibri"/>
                <w:sz w:val="20"/>
              </w:rPr>
              <w:t>3,810</w:t>
            </w:r>
          </w:p>
        </w:tc>
        <w:tc>
          <w:tcPr>
            <w:tcW w:w="993" w:type="dxa"/>
          </w:tcPr>
          <w:p w14:paraId="7F6D1BB4" w14:textId="77777777" w:rsidR="000B3F50" w:rsidRDefault="000B3F50" w:rsidP="00CD48ED">
            <w:pPr>
              <w:ind w:right="-720"/>
              <w:rPr>
                <w:rFonts w:ascii="Calibri" w:hAnsi="Calibri"/>
                <w:sz w:val="20"/>
              </w:rPr>
            </w:pPr>
            <w:r>
              <w:rPr>
                <w:rFonts w:ascii="Calibri" w:hAnsi="Calibri"/>
                <w:sz w:val="20"/>
              </w:rPr>
              <w:t>13.2</w:t>
            </w:r>
          </w:p>
        </w:tc>
      </w:tr>
      <w:tr w:rsidR="000B3F50" w14:paraId="5080E82D" w14:textId="77777777" w:rsidTr="00DF4506">
        <w:trPr>
          <w:trHeight w:val="258"/>
          <w:jc w:val="center"/>
        </w:trPr>
        <w:tc>
          <w:tcPr>
            <w:tcW w:w="2095" w:type="dxa"/>
          </w:tcPr>
          <w:p w14:paraId="261002C7" w14:textId="77777777" w:rsidR="000B3F50" w:rsidRDefault="000B3F50" w:rsidP="00CD48ED">
            <w:pPr>
              <w:ind w:right="-720"/>
              <w:rPr>
                <w:rFonts w:ascii="Calibri" w:hAnsi="Calibri"/>
                <w:sz w:val="20"/>
              </w:rPr>
            </w:pPr>
            <w:r>
              <w:rPr>
                <w:rFonts w:ascii="Calibri" w:hAnsi="Calibri"/>
                <w:sz w:val="20"/>
              </w:rPr>
              <w:t>65 – 74 Years</w:t>
            </w:r>
          </w:p>
        </w:tc>
        <w:tc>
          <w:tcPr>
            <w:tcW w:w="1084" w:type="dxa"/>
          </w:tcPr>
          <w:p w14:paraId="4F47599E" w14:textId="77777777" w:rsidR="000B3F50" w:rsidRPr="00345617" w:rsidRDefault="000B3F50" w:rsidP="00CD48ED">
            <w:pPr>
              <w:pStyle w:val="ecmsonormal"/>
              <w:rPr>
                <w:rFonts w:ascii="Calibri" w:hAnsi="Calibri"/>
                <w:sz w:val="20"/>
                <w:szCs w:val="20"/>
              </w:rPr>
            </w:pPr>
            <w:r>
              <w:rPr>
                <w:rFonts w:ascii="Calibri" w:hAnsi="Calibri"/>
                <w:sz w:val="20"/>
                <w:szCs w:val="20"/>
              </w:rPr>
              <w:t>2,053</w:t>
            </w:r>
          </w:p>
        </w:tc>
        <w:tc>
          <w:tcPr>
            <w:tcW w:w="1084" w:type="dxa"/>
          </w:tcPr>
          <w:p w14:paraId="7F45ED9E" w14:textId="77777777" w:rsidR="000B3F50" w:rsidRPr="00345617" w:rsidRDefault="000B3F50" w:rsidP="00CD48ED">
            <w:pPr>
              <w:pStyle w:val="ecmsonormal"/>
              <w:rPr>
                <w:rFonts w:ascii="Calibri" w:hAnsi="Calibri"/>
                <w:sz w:val="20"/>
                <w:szCs w:val="20"/>
              </w:rPr>
            </w:pPr>
            <w:r>
              <w:rPr>
                <w:rFonts w:ascii="Calibri" w:hAnsi="Calibri"/>
                <w:sz w:val="20"/>
                <w:szCs w:val="20"/>
              </w:rPr>
              <w:t>7.1</w:t>
            </w:r>
          </w:p>
        </w:tc>
        <w:tc>
          <w:tcPr>
            <w:tcW w:w="1264" w:type="dxa"/>
          </w:tcPr>
          <w:p w14:paraId="38B9C3D4" w14:textId="77777777" w:rsidR="000B3F50" w:rsidRDefault="000B3F50" w:rsidP="00CD48ED">
            <w:pPr>
              <w:ind w:right="-720"/>
              <w:rPr>
                <w:rFonts w:ascii="Calibri" w:hAnsi="Calibri"/>
                <w:sz w:val="20"/>
              </w:rPr>
            </w:pPr>
            <w:r>
              <w:rPr>
                <w:rFonts w:ascii="Calibri" w:hAnsi="Calibri"/>
                <w:sz w:val="20"/>
              </w:rPr>
              <w:t>2,990</w:t>
            </w:r>
          </w:p>
        </w:tc>
        <w:tc>
          <w:tcPr>
            <w:tcW w:w="993" w:type="dxa"/>
          </w:tcPr>
          <w:p w14:paraId="499A788D" w14:textId="77777777" w:rsidR="000B3F50" w:rsidRDefault="000B3F50" w:rsidP="00CD48ED">
            <w:pPr>
              <w:ind w:right="-720"/>
              <w:rPr>
                <w:rFonts w:ascii="Calibri" w:hAnsi="Calibri"/>
                <w:sz w:val="20"/>
              </w:rPr>
            </w:pPr>
            <w:r>
              <w:rPr>
                <w:rFonts w:ascii="Calibri" w:hAnsi="Calibri"/>
                <w:sz w:val="20"/>
              </w:rPr>
              <w:t>10.3</w:t>
            </w:r>
          </w:p>
        </w:tc>
        <w:tc>
          <w:tcPr>
            <w:tcW w:w="1174" w:type="dxa"/>
          </w:tcPr>
          <w:p w14:paraId="460F9F93" w14:textId="77777777" w:rsidR="000B3F50" w:rsidRDefault="000B3F50" w:rsidP="00CD48ED">
            <w:pPr>
              <w:ind w:right="-720"/>
              <w:rPr>
                <w:rFonts w:ascii="Calibri" w:hAnsi="Calibri"/>
                <w:sz w:val="20"/>
              </w:rPr>
            </w:pPr>
            <w:r>
              <w:rPr>
                <w:rFonts w:ascii="Calibri" w:hAnsi="Calibri"/>
                <w:sz w:val="20"/>
              </w:rPr>
              <w:t>3,700</w:t>
            </w:r>
          </w:p>
        </w:tc>
        <w:tc>
          <w:tcPr>
            <w:tcW w:w="993" w:type="dxa"/>
          </w:tcPr>
          <w:p w14:paraId="6069A8E3" w14:textId="77777777" w:rsidR="000B3F50" w:rsidRDefault="000B3F50" w:rsidP="00CD48ED">
            <w:pPr>
              <w:ind w:right="-720"/>
              <w:rPr>
                <w:rFonts w:ascii="Calibri" w:hAnsi="Calibri"/>
                <w:sz w:val="20"/>
              </w:rPr>
            </w:pPr>
            <w:r>
              <w:rPr>
                <w:rFonts w:ascii="Calibri" w:hAnsi="Calibri"/>
                <w:sz w:val="20"/>
              </w:rPr>
              <w:t>12.8</w:t>
            </w:r>
          </w:p>
        </w:tc>
      </w:tr>
      <w:tr w:rsidR="000B3F50" w14:paraId="466A623D" w14:textId="77777777" w:rsidTr="00DF4506">
        <w:trPr>
          <w:trHeight w:val="258"/>
          <w:jc w:val="center"/>
        </w:trPr>
        <w:tc>
          <w:tcPr>
            <w:tcW w:w="2095" w:type="dxa"/>
          </w:tcPr>
          <w:p w14:paraId="7C57ECC5" w14:textId="77777777" w:rsidR="000B3F50" w:rsidRDefault="000B3F50" w:rsidP="00CD48ED">
            <w:pPr>
              <w:ind w:right="-720"/>
              <w:rPr>
                <w:rFonts w:ascii="Calibri" w:hAnsi="Calibri"/>
                <w:sz w:val="20"/>
              </w:rPr>
            </w:pPr>
            <w:r>
              <w:rPr>
                <w:rFonts w:ascii="Calibri" w:hAnsi="Calibri"/>
                <w:sz w:val="20"/>
              </w:rPr>
              <w:t>75 – 84 Years</w:t>
            </w:r>
          </w:p>
        </w:tc>
        <w:tc>
          <w:tcPr>
            <w:tcW w:w="1084" w:type="dxa"/>
          </w:tcPr>
          <w:p w14:paraId="54234D62" w14:textId="77777777" w:rsidR="000B3F50" w:rsidRPr="00345617" w:rsidRDefault="000B3F50" w:rsidP="00CD48ED">
            <w:pPr>
              <w:pStyle w:val="ecmsonormal"/>
              <w:rPr>
                <w:rFonts w:ascii="Calibri" w:hAnsi="Calibri"/>
                <w:sz w:val="20"/>
                <w:szCs w:val="20"/>
              </w:rPr>
            </w:pPr>
            <w:r>
              <w:rPr>
                <w:rFonts w:ascii="Calibri" w:hAnsi="Calibri"/>
                <w:sz w:val="20"/>
                <w:szCs w:val="20"/>
              </w:rPr>
              <w:t>1,606</w:t>
            </w:r>
          </w:p>
        </w:tc>
        <w:tc>
          <w:tcPr>
            <w:tcW w:w="1084" w:type="dxa"/>
          </w:tcPr>
          <w:p w14:paraId="695C8057" w14:textId="77777777" w:rsidR="000B3F50" w:rsidRPr="00345617" w:rsidRDefault="000B3F50" w:rsidP="00CD48ED">
            <w:pPr>
              <w:pStyle w:val="ecmsonormal"/>
              <w:rPr>
                <w:rFonts w:ascii="Calibri" w:hAnsi="Calibri"/>
                <w:sz w:val="20"/>
                <w:szCs w:val="20"/>
              </w:rPr>
            </w:pPr>
            <w:r>
              <w:rPr>
                <w:rFonts w:ascii="Calibri" w:hAnsi="Calibri"/>
                <w:sz w:val="20"/>
                <w:szCs w:val="20"/>
              </w:rPr>
              <w:t>5.6</w:t>
            </w:r>
          </w:p>
        </w:tc>
        <w:tc>
          <w:tcPr>
            <w:tcW w:w="1264" w:type="dxa"/>
          </w:tcPr>
          <w:p w14:paraId="1CB47E59" w14:textId="77777777" w:rsidR="000B3F50" w:rsidRDefault="000B3F50" w:rsidP="00CD48ED">
            <w:pPr>
              <w:ind w:right="-720"/>
              <w:rPr>
                <w:rFonts w:ascii="Calibri" w:hAnsi="Calibri"/>
                <w:sz w:val="20"/>
              </w:rPr>
            </w:pPr>
            <w:r>
              <w:rPr>
                <w:rFonts w:ascii="Calibri" w:hAnsi="Calibri"/>
                <w:sz w:val="20"/>
              </w:rPr>
              <w:t>1,490</w:t>
            </w:r>
          </w:p>
        </w:tc>
        <w:tc>
          <w:tcPr>
            <w:tcW w:w="993" w:type="dxa"/>
          </w:tcPr>
          <w:p w14:paraId="535FCFA8" w14:textId="77777777" w:rsidR="000B3F50" w:rsidRDefault="000B3F50" w:rsidP="00CD48ED">
            <w:pPr>
              <w:ind w:right="-720"/>
              <w:rPr>
                <w:rFonts w:ascii="Calibri" w:hAnsi="Calibri"/>
                <w:sz w:val="20"/>
              </w:rPr>
            </w:pPr>
            <w:r>
              <w:rPr>
                <w:rFonts w:ascii="Calibri" w:hAnsi="Calibri"/>
                <w:sz w:val="20"/>
              </w:rPr>
              <w:t>5.1</w:t>
            </w:r>
          </w:p>
        </w:tc>
        <w:tc>
          <w:tcPr>
            <w:tcW w:w="1174" w:type="dxa"/>
          </w:tcPr>
          <w:p w14:paraId="1DAE4A22" w14:textId="77777777" w:rsidR="000B3F50" w:rsidRDefault="000B3F50" w:rsidP="00CD48ED">
            <w:pPr>
              <w:ind w:right="-720"/>
              <w:rPr>
                <w:rFonts w:ascii="Calibri" w:hAnsi="Calibri"/>
                <w:sz w:val="20"/>
              </w:rPr>
            </w:pPr>
            <w:r>
              <w:rPr>
                <w:rFonts w:ascii="Calibri" w:hAnsi="Calibri"/>
                <w:sz w:val="20"/>
              </w:rPr>
              <w:t>2,220</w:t>
            </w:r>
          </w:p>
        </w:tc>
        <w:tc>
          <w:tcPr>
            <w:tcW w:w="993" w:type="dxa"/>
          </w:tcPr>
          <w:p w14:paraId="425EB59F" w14:textId="77777777" w:rsidR="000B3F50" w:rsidRDefault="000B3F50" w:rsidP="00CD48ED">
            <w:pPr>
              <w:ind w:right="-720"/>
              <w:rPr>
                <w:rFonts w:ascii="Calibri" w:hAnsi="Calibri"/>
                <w:sz w:val="20"/>
              </w:rPr>
            </w:pPr>
            <w:r>
              <w:rPr>
                <w:rFonts w:ascii="Calibri" w:hAnsi="Calibri"/>
                <w:sz w:val="20"/>
              </w:rPr>
              <w:t>7.7</w:t>
            </w:r>
          </w:p>
        </w:tc>
      </w:tr>
      <w:tr w:rsidR="000B3F50" w14:paraId="69F626A2" w14:textId="77777777" w:rsidTr="00DF4506">
        <w:trPr>
          <w:trHeight w:val="258"/>
          <w:jc w:val="center"/>
        </w:trPr>
        <w:tc>
          <w:tcPr>
            <w:tcW w:w="2095" w:type="dxa"/>
          </w:tcPr>
          <w:p w14:paraId="7A4790F4" w14:textId="77777777" w:rsidR="000B3F50" w:rsidRDefault="000B3F50" w:rsidP="00CD48ED">
            <w:pPr>
              <w:ind w:right="-720"/>
              <w:rPr>
                <w:rFonts w:ascii="Calibri" w:hAnsi="Calibri"/>
                <w:sz w:val="20"/>
              </w:rPr>
            </w:pPr>
            <w:r>
              <w:rPr>
                <w:rFonts w:ascii="Calibri" w:hAnsi="Calibri"/>
                <w:sz w:val="20"/>
              </w:rPr>
              <w:t>85 Years and Over</w:t>
            </w:r>
          </w:p>
        </w:tc>
        <w:tc>
          <w:tcPr>
            <w:tcW w:w="1084" w:type="dxa"/>
          </w:tcPr>
          <w:p w14:paraId="2690D5D5" w14:textId="77777777" w:rsidR="000B3F50" w:rsidRPr="00345617" w:rsidRDefault="000B3F50" w:rsidP="00CD48ED">
            <w:pPr>
              <w:pStyle w:val="ecmsonormal"/>
              <w:rPr>
                <w:rFonts w:ascii="Calibri" w:hAnsi="Calibri"/>
                <w:sz w:val="20"/>
                <w:szCs w:val="20"/>
              </w:rPr>
            </w:pPr>
            <w:r>
              <w:rPr>
                <w:rFonts w:ascii="Calibri" w:hAnsi="Calibri"/>
                <w:sz w:val="20"/>
                <w:szCs w:val="20"/>
              </w:rPr>
              <w:t>1,041</w:t>
            </w:r>
          </w:p>
        </w:tc>
        <w:tc>
          <w:tcPr>
            <w:tcW w:w="1084" w:type="dxa"/>
          </w:tcPr>
          <w:p w14:paraId="1D680327" w14:textId="77777777" w:rsidR="000B3F50" w:rsidRPr="00345617" w:rsidRDefault="000B3F50" w:rsidP="00CD48ED">
            <w:pPr>
              <w:pStyle w:val="ecmsonormal"/>
              <w:rPr>
                <w:rFonts w:ascii="Calibri" w:hAnsi="Calibri"/>
                <w:sz w:val="20"/>
                <w:szCs w:val="20"/>
              </w:rPr>
            </w:pPr>
            <w:r>
              <w:rPr>
                <w:rFonts w:ascii="Calibri" w:hAnsi="Calibri"/>
                <w:sz w:val="20"/>
                <w:szCs w:val="20"/>
              </w:rPr>
              <w:t>3.6</w:t>
            </w:r>
          </w:p>
        </w:tc>
        <w:tc>
          <w:tcPr>
            <w:tcW w:w="1264" w:type="dxa"/>
          </w:tcPr>
          <w:p w14:paraId="3A4DC08A" w14:textId="77777777" w:rsidR="000B3F50" w:rsidRDefault="000B3F50" w:rsidP="00CD48ED">
            <w:pPr>
              <w:ind w:right="-720"/>
              <w:rPr>
                <w:rFonts w:ascii="Calibri" w:hAnsi="Calibri"/>
                <w:sz w:val="20"/>
              </w:rPr>
            </w:pPr>
            <w:r>
              <w:rPr>
                <w:rFonts w:ascii="Calibri" w:hAnsi="Calibri"/>
                <w:sz w:val="20"/>
              </w:rPr>
              <w:t>1,060</w:t>
            </w:r>
          </w:p>
        </w:tc>
        <w:tc>
          <w:tcPr>
            <w:tcW w:w="993" w:type="dxa"/>
          </w:tcPr>
          <w:p w14:paraId="53E05203" w14:textId="77777777" w:rsidR="000B3F50" w:rsidRDefault="000B3F50" w:rsidP="00CD48ED">
            <w:pPr>
              <w:ind w:right="-720"/>
              <w:rPr>
                <w:rFonts w:ascii="Calibri" w:hAnsi="Calibri"/>
                <w:sz w:val="20"/>
              </w:rPr>
            </w:pPr>
            <w:r>
              <w:rPr>
                <w:rFonts w:ascii="Calibri" w:hAnsi="Calibri"/>
                <w:sz w:val="20"/>
              </w:rPr>
              <w:t>3.7</w:t>
            </w:r>
          </w:p>
        </w:tc>
        <w:tc>
          <w:tcPr>
            <w:tcW w:w="1174" w:type="dxa"/>
          </w:tcPr>
          <w:p w14:paraId="5FB71BCC" w14:textId="77777777" w:rsidR="000B3F50" w:rsidRDefault="000B3F50" w:rsidP="00CD48ED">
            <w:pPr>
              <w:ind w:right="-720"/>
              <w:rPr>
                <w:rFonts w:ascii="Calibri" w:hAnsi="Calibri"/>
                <w:sz w:val="20"/>
              </w:rPr>
            </w:pPr>
            <w:r>
              <w:rPr>
                <w:rFonts w:ascii="Calibri" w:hAnsi="Calibri"/>
                <w:sz w:val="20"/>
              </w:rPr>
              <w:t>1 ,020</w:t>
            </w:r>
          </w:p>
        </w:tc>
        <w:tc>
          <w:tcPr>
            <w:tcW w:w="993" w:type="dxa"/>
          </w:tcPr>
          <w:p w14:paraId="0EB251BB" w14:textId="77777777" w:rsidR="000B3F50" w:rsidRDefault="000B3F50" w:rsidP="00CD48ED">
            <w:pPr>
              <w:ind w:right="-720"/>
              <w:rPr>
                <w:rFonts w:ascii="Calibri" w:hAnsi="Calibri"/>
                <w:sz w:val="20"/>
              </w:rPr>
            </w:pPr>
            <w:r>
              <w:rPr>
                <w:rFonts w:ascii="Calibri" w:hAnsi="Calibri"/>
                <w:sz w:val="20"/>
              </w:rPr>
              <w:t>3.5</w:t>
            </w:r>
          </w:p>
        </w:tc>
      </w:tr>
      <w:tr w:rsidR="000B3F50" w14:paraId="1CD935DB" w14:textId="77777777" w:rsidTr="00DF4506">
        <w:trPr>
          <w:trHeight w:val="258"/>
          <w:jc w:val="center"/>
        </w:trPr>
        <w:tc>
          <w:tcPr>
            <w:tcW w:w="2095" w:type="dxa"/>
            <w:tcBorders>
              <w:bottom w:val="single" w:sz="18" w:space="0" w:color="auto"/>
            </w:tcBorders>
          </w:tcPr>
          <w:p w14:paraId="2334FB6E" w14:textId="77777777" w:rsidR="000B3F50" w:rsidRDefault="000B3F50" w:rsidP="00CD48ED">
            <w:pPr>
              <w:ind w:right="-720"/>
              <w:rPr>
                <w:rFonts w:ascii="Calibri" w:hAnsi="Calibri"/>
                <w:sz w:val="20"/>
              </w:rPr>
            </w:pPr>
            <w:r>
              <w:rPr>
                <w:rFonts w:ascii="Calibri" w:hAnsi="Calibri"/>
                <w:sz w:val="20"/>
              </w:rPr>
              <w:t>Total</w:t>
            </w:r>
          </w:p>
        </w:tc>
        <w:tc>
          <w:tcPr>
            <w:tcW w:w="1084" w:type="dxa"/>
            <w:tcBorders>
              <w:bottom w:val="single" w:sz="18" w:space="0" w:color="auto"/>
            </w:tcBorders>
          </w:tcPr>
          <w:p w14:paraId="429E77FD" w14:textId="77777777" w:rsidR="000B3F50" w:rsidRPr="00345617" w:rsidRDefault="000B3F50" w:rsidP="00CD48ED">
            <w:pPr>
              <w:pStyle w:val="ecmsonormal"/>
              <w:rPr>
                <w:rFonts w:ascii="Calibri" w:hAnsi="Calibri"/>
                <w:sz w:val="20"/>
                <w:szCs w:val="20"/>
              </w:rPr>
            </w:pPr>
            <w:r>
              <w:rPr>
                <w:rFonts w:ascii="Calibri" w:hAnsi="Calibri"/>
                <w:sz w:val="20"/>
                <w:szCs w:val="20"/>
              </w:rPr>
              <w:t>28,886</w:t>
            </w:r>
          </w:p>
        </w:tc>
        <w:tc>
          <w:tcPr>
            <w:tcW w:w="1084" w:type="dxa"/>
            <w:tcBorders>
              <w:bottom w:val="single" w:sz="18" w:space="0" w:color="auto"/>
            </w:tcBorders>
          </w:tcPr>
          <w:p w14:paraId="546DF442" w14:textId="77777777" w:rsidR="000B3F50" w:rsidRPr="00345617" w:rsidRDefault="000B3F50" w:rsidP="00CD48ED">
            <w:pPr>
              <w:pStyle w:val="ecmsonormal"/>
              <w:rPr>
                <w:rFonts w:ascii="Calibri" w:hAnsi="Calibri"/>
                <w:sz w:val="20"/>
                <w:szCs w:val="20"/>
              </w:rPr>
            </w:pPr>
            <w:r>
              <w:rPr>
                <w:rFonts w:ascii="Calibri" w:hAnsi="Calibri"/>
                <w:sz w:val="20"/>
                <w:szCs w:val="20"/>
              </w:rPr>
              <w:t>100.0</w:t>
            </w:r>
          </w:p>
        </w:tc>
        <w:tc>
          <w:tcPr>
            <w:tcW w:w="1264" w:type="dxa"/>
            <w:tcBorders>
              <w:bottom w:val="single" w:sz="18" w:space="0" w:color="auto"/>
            </w:tcBorders>
          </w:tcPr>
          <w:p w14:paraId="19406F88" w14:textId="77777777" w:rsidR="000B3F50" w:rsidRDefault="000B3F50" w:rsidP="00CD48ED">
            <w:pPr>
              <w:ind w:right="-720"/>
              <w:rPr>
                <w:rFonts w:ascii="Calibri" w:hAnsi="Calibri"/>
                <w:sz w:val="20"/>
              </w:rPr>
            </w:pPr>
            <w:r>
              <w:rPr>
                <w:rFonts w:ascii="Calibri" w:hAnsi="Calibri"/>
                <w:sz w:val="20"/>
              </w:rPr>
              <w:t>28,960</w:t>
            </w:r>
          </w:p>
        </w:tc>
        <w:tc>
          <w:tcPr>
            <w:tcW w:w="993" w:type="dxa"/>
            <w:tcBorders>
              <w:bottom w:val="single" w:sz="18" w:space="0" w:color="auto"/>
            </w:tcBorders>
          </w:tcPr>
          <w:p w14:paraId="580368EE" w14:textId="77777777" w:rsidR="000B3F50" w:rsidRDefault="000B3F50" w:rsidP="00CD48ED">
            <w:pPr>
              <w:ind w:right="-720"/>
              <w:rPr>
                <w:rFonts w:ascii="Calibri" w:hAnsi="Calibri"/>
                <w:sz w:val="20"/>
              </w:rPr>
            </w:pPr>
            <w:r>
              <w:rPr>
                <w:rFonts w:ascii="Calibri" w:hAnsi="Calibri"/>
                <w:sz w:val="20"/>
              </w:rPr>
              <w:t>100.0</w:t>
            </w:r>
          </w:p>
        </w:tc>
        <w:tc>
          <w:tcPr>
            <w:tcW w:w="1174" w:type="dxa"/>
            <w:tcBorders>
              <w:bottom w:val="single" w:sz="18" w:space="0" w:color="auto"/>
            </w:tcBorders>
          </w:tcPr>
          <w:p w14:paraId="15DD58F7" w14:textId="77777777" w:rsidR="000B3F50" w:rsidRDefault="000B3F50" w:rsidP="00CD48ED">
            <w:pPr>
              <w:ind w:right="-720"/>
              <w:rPr>
                <w:rFonts w:ascii="Calibri" w:hAnsi="Calibri"/>
                <w:sz w:val="20"/>
              </w:rPr>
            </w:pPr>
            <w:r>
              <w:rPr>
                <w:rFonts w:ascii="Calibri" w:hAnsi="Calibri"/>
                <w:sz w:val="20"/>
              </w:rPr>
              <w:t>28,960</w:t>
            </w:r>
          </w:p>
        </w:tc>
        <w:tc>
          <w:tcPr>
            <w:tcW w:w="993" w:type="dxa"/>
            <w:tcBorders>
              <w:bottom w:val="single" w:sz="18" w:space="0" w:color="auto"/>
            </w:tcBorders>
          </w:tcPr>
          <w:p w14:paraId="67AAC1C9" w14:textId="77777777" w:rsidR="000B3F50" w:rsidRDefault="000B3F50" w:rsidP="00CD48ED">
            <w:pPr>
              <w:ind w:right="-720"/>
              <w:rPr>
                <w:rFonts w:ascii="Calibri" w:hAnsi="Calibri"/>
                <w:sz w:val="20"/>
              </w:rPr>
            </w:pPr>
            <w:r>
              <w:rPr>
                <w:rFonts w:ascii="Calibri" w:hAnsi="Calibri"/>
                <w:sz w:val="20"/>
              </w:rPr>
              <w:t>100.0</w:t>
            </w:r>
          </w:p>
        </w:tc>
      </w:tr>
      <w:tr w:rsidR="000B3F50" w14:paraId="1D726F75" w14:textId="77777777" w:rsidTr="00DF4506">
        <w:trPr>
          <w:trHeight w:val="258"/>
          <w:jc w:val="center"/>
        </w:trPr>
        <w:tc>
          <w:tcPr>
            <w:tcW w:w="2095" w:type="dxa"/>
          </w:tcPr>
          <w:p w14:paraId="53F3D35F" w14:textId="77777777" w:rsidR="000B3F50" w:rsidRDefault="000B3F50" w:rsidP="00CD48ED">
            <w:pPr>
              <w:ind w:right="-720"/>
              <w:rPr>
                <w:rFonts w:ascii="Calibri" w:hAnsi="Calibri"/>
                <w:sz w:val="20"/>
              </w:rPr>
            </w:pPr>
            <w:r>
              <w:rPr>
                <w:rFonts w:ascii="Calibri" w:hAnsi="Calibri"/>
                <w:sz w:val="20"/>
              </w:rPr>
              <w:t>Under 20 Years</w:t>
            </w:r>
          </w:p>
        </w:tc>
        <w:tc>
          <w:tcPr>
            <w:tcW w:w="1084" w:type="dxa"/>
          </w:tcPr>
          <w:p w14:paraId="4C00C1EC" w14:textId="77777777" w:rsidR="000B3F50" w:rsidRPr="00345617" w:rsidRDefault="000B3F50" w:rsidP="00CD48ED">
            <w:pPr>
              <w:rPr>
                <w:rFonts w:ascii="Calibri" w:hAnsi="Calibri"/>
                <w:sz w:val="20"/>
              </w:rPr>
            </w:pPr>
            <w:r>
              <w:rPr>
                <w:rFonts w:ascii="Calibri" w:hAnsi="Calibri"/>
                <w:sz w:val="20"/>
              </w:rPr>
              <w:t>8,683</w:t>
            </w:r>
          </w:p>
        </w:tc>
        <w:tc>
          <w:tcPr>
            <w:tcW w:w="1084" w:type="dxa"/>
          </w:tcPr>
          <w:p w14:paraId="541C4F7A" w14:textId="77777777" w:rsidR="000B3F50" w:rsidRPr="00345617" w:rsidRDefault="000B3F50" w:rsidP="00CD48ED">
            <w:pPr>
              <w:rPr>
                <w:rFonts w:ascii="Calibri" w:hAnsi="Calibri"/>
                <w:sz w:val="20"/>
              </w:rPr>
            </w:pPr>
            <w:r>
              <w:rPr>
                <w:rFonts w:ascii="Calibri" w:hAnsi="Calibri"/>
                <w:sz w:val="20"/>
              </w:rPr>
              <w:t>30.1</w:t>
            </w:r>
          </w:p>
        </w:tc>
        <w:tc>
          <w:tcPr>
            <w:tcW w:w="1264" w:type="dxa"/>
          </w:tcPr>
          <w:p w14:paraId="5D21E5DE" w14:textId="77777777" w:rsidR="000B3F50" w:rsidRDefault="000B3F50" w:rsidP="00CD48ED">
            <w:pPr>
              <w:ind w:right="-720"/>
              <w:rPr>
                <w:rFonts w:ascii="Calibri" w:hAnsi="Calibri"/>
                <w:sz w:val="20"/>
              </w:rPr>
            </w:pPr>
            <w:r>
              <w:rPr>
                <w:rFonts w:ascii="Calibri" w:hAnsi="Calibri"/>
                <w:sz w:val="20"/>
              </w:rPr>
              <w:t>8,380</w:t>
            </w:r>
          </w:p>
        </w:tc>
        <w:tc>
          <w:tcPr>
            <w:tcW w:w="993" w:type="dxa"/>
          </w:tcPr>
          <w:p w14:paraId="787C5AB9" w14:textId="77777777" w:rsidR="000B3F50" w:rsidRDefault="000B3F50" w:rsidP="00CD48ED">
            <w:pPr>
              <w:ind w:right="-720"/>
              <w:rPr>
                <w:rFonts w:ascii="Calibri" w:hAnsi="Calibri"/>
                <w:sz w:val="20"/>
              </w:rPr>
            </w:pPr>
            <w:r>
              <w:rPr>
                <w:rFonts w:ascii="Calibri" w:hAnsi="Calibri"/>
                <w:sz w:val="20"/>
              </w:rPr>
              <w:t>28.9</w:t>
            </w:r>
          </w:p>
        </w:tc>
        <w:tc>
          <w:tcPr>
            <w:tcW w:w="1174" w:type="dxa"/>
          </w:tcPr>
          <w:p w14:paraId="55B16CAF" w14:textId="77777777" w:rsidR="000B3F50" w:rsidRDefault="000B3F50" w:rsidP="00CD48ED">
            <w:pPr>
              <w:ind w:right="-720"/>
              <w:rPr>
                <w:rFonts w:ascii="Calibri" w:hAnsi="Calibri"/>
                <w:sz w:val="20"/>
              </w:rPr>
            </w:pPr>
            <w:r>
              <w:rPr>
                <w:rFonts w:ascii="Calibri" w:hAnsi="Calibri"/>
                <w:sz w:val="20"/>
              </w:rPr>
              <w:t>8,220</w:t>
            </w:r>
          </w:p>
        </w:tc>
        <w:tc>
          <w:tcPr>
            <w:tcW w:w="993" w:type="dxa"/>
          </w:tcPr>
          <w:p w14:paraId="12A34A9F" w14:textId="77777777" w:rsidR="000B3F50" w:rsidRDefault="000B3F50" w:rsidP="00CD48ED">
            <w:pPr>
              <w:ind w:right="-720"/>
              <w:rPr>
                <w:rFonts w:ascii="Calibri" w:hAnsi="Calibri"/>
                <w:sz w:val="20"/>
              </w:rPr>
            </w:pPr>
            <w:r>
              <w:rPr>
                <w:rFonts w:ascii="Calibri" w:hAnsi="Calibri"/>
                <w:sz w:val="20"/>
              </w:rPr>
              <w:t>28.4</w:t>
            </w:r>
          </w:p>
        </w:tc>
      </w:tr>
      <w:tr w:rsidR="000B3F50" w14:paraId="61B68D69" w14:textId="77777777" w:rsidTr="00DF4506">
        <w:trPr>
          <w:trHeight w:val="274"/>
          <w:jc w:val="center"/>
        </w:trPr>
        <w:tc>
          <w:tcPr>
            <w:tcW w:w="2095" w:type="dxa"/>
          </w:tcPr>
          <w:p w14:paraId="4A2AB019" w14:textId="77777777" w:rsidR="000B3F50" w:rsidRDefault="000B3F50" w:rsidP="00CD48ED">
            <w:pPr>
              <w:ind w:right="-720"/>
              <w:rPr>
                <w:rFonts w:ascii="Calibri" w:hAnsi="Calibri"/>
                <w:sz w:val="20"/>
              </w:rPr>
            </w:pPr>
            <w:r>
              <w:rPr>
                <w:rFonts w:ascii="Calibri" w:hAnsi="Calibri"/>
                <w:sz w:val="20"/>
              </w:rPr>
              <w:t>65+ Years</w:t>
            </w:r>
          </w:p>
        </w:tc>
        <w:tc>
          <w:tcPr>
            <w:tcW w:w="1084" w:type="dxa"/>
          </w:tcPr>
          <w:p w14:paraId="62B28BB1" w14:textId="77777777" w:rsidR="000B3F50" w:rsidRPr="00345617" w:rsidRDefault="000B3F50" w:rsidP="00CD48ED">
            <w:pPr>
              <w:rPr>
                <w:rFonts w:ascii="Calibri" w:hAnsi="Calibri"/>
                <w:sz w:val="20"/>
              </w:rPr>
            </w:pPr>
            <w:r>
              <w:rPr>
                <w:rFonts w:ascii="Calibri" w:hAnsi="Calibri"/>
                <w:sz w:val="20"/>
              </w:rPr>
              <w:t>4,700</w:t>
            </w:r>
          </w:p>
        </w:tc>
        <w:tc>
          <w:tcPr>
            <w:tcW w:w="1084" w:type="dxa"/>
          </w:tcPr>
          <w:p w14:paraId="76A5F29E" w14:textId="77777777" w:rsidR="000B3F50" w:rsidRPr="00345617" w:rsidRDefault="000B3F50" w:rsidP="00CD48ED">
            <w:pPr>
              <w:rPr>
                <w:rFonts w:ascii="Calibri" w:hAnsi="Calibri"/>
                <w:sz w:val="20"/>
              </w:rPr>
            </w:pPr>
            <w:r>
              <w:rPr>
                <w:rFonts w:ascii="Calibri" w:hAnsi="Calibri"/>
                <w:sz w:val="20"/>
              </w:rPr>
              <w:t>16.3</w:t>
            </w:r>
          </w:p>
        </w:tc>
        <w:tc>
          <w:tcPr>
            <w:tcW w:w="1264" w:type="dxa"/>
          </w:tcPr>
          <w:p w14:paraId="57599820" w14:textId="77777777" w:rsidR="000B3F50" w:rsidRDefault="000B3F50" w:rsidP="00CD48ED">
            <w:pPr>
              <w:ind w:right="-720"/>
              <w:rPr>
                <w:rFonts w:ascii="Calibri" w:hAnsi="Calibri"/>
                <w:sz w:val="20"/>
              </w:rPr>
            </w:pPr>
            <w:r>
              <w:rPr>
                <w:rFonts w:ascii="Calibri" w:hAnsi="Calibri"/>
                <w:sz w:val="20"/>
              </w:rPr>
              <w:t>5,540</w:t>
            </w:r>
          </w:p>
        </w:tc>
        <w:tc>
          <w:tcPr>
            <w:tcW w:w="993" w:type="dxa"/>
          </w:tcPr>
          <w:p w14:paraId="232DDFDD" w14:textId="77777777" w:rsidR="000B3F50" w:rsidRDefault="000B3F50" w:rsidP="00CD48ED">
            <w:pPr>
              <w:ind w:right="-720"/>
              <w:rPr>
                <w:rFonts w:ascii="Calibri" w:hAnsi="Calibri"/>
                <w:sz w:val="20"/>
              </w:rPr>
            </w:pPr>
            <w:r>
              <w:rPr>
                <w:rFonts w:ascii="Calibri" w:hAnsi="Calibri"/>
                <w:sz w:val="20"/>
              </w:rPr>
              <w:t>19.1</w:t>
            </w:r>
          </w:p>
        </w:tc>
        <w:tc>
          <w:tcPr>
            <w:tcW w:w="1174" w:type="dxa"/>
          </w:tcPr>
          <w:p w14:paraId="31F1EBC4" w14:textId="77777777" w:rsidR="000B3F50" w:rsidRDefault="000B3F50" w:rsidP="00CD48ED">
            <w:pPr>
              <w:ind w:right="-720"/>
              <w:rPr>
                <w:rFonts w:ascii="Calibri" w:hAnsi="Calibri"/>
                <w:sz w:val="20"/>
              </w:rPr>
            </w:pPr>
            <w:r>
              <w:rPr>
                <w:rFonts w:ascii="Calibri" w:hAnsi="Calibri"/>
                <w:sz w:val="20"/>
              </w:rPr>
              <w:t>6,940</w:t>
            </w:r>
          </w:p>
        </w:tc>
        <w:tc>
          <w:tcPr>
            <w:tcW w:w="993" w:type="dxa"/>
          </w:tcPr>
          <w:p w14:paraId="28EE86CF" w14:textId="77777777" w:rsidR="000B3F50" w:rsidRDefault="000B3F50" w:rsidP="00CD48ED">
            <w:pPr>
              <w:ind w:right="-720"/>
              <w:rPr>
                <w:rFonts w:ascii="Calibri" w:hAnsi="Calibri"/>
                <w:sz w:val="20"/>
              </w:rPr>
            </w:pPr>
            <w:r>
              <w:rPr>
                <w:rFonts w:ascii="Calibri" w:hAnsi="Calibri"/>
                <w:sz w:val="20"/>
              </w:rPr>
              <w:t>24.0</w:t>
            </w:r>
          </w:p>
        </w:tc>
      </w:tr>
    </w:tbl>
    <w:p w14:paraId="335BE9A9" w14:textId="77777777" w:rsidR="00DF4506" w:rsidRDefault="000B3F50" w:rsidP="00DF4506">
      <w:pPr>
        <w:ind w:left="360"/>
        <w:jc w:val="both"/>
        <w:rPr>
          <w:rFonts w:ascii="Calibri" w:hAnsi="Calibri"/>
          <w:sz w:val="20"/>
          <w:szCs w:val="20"/>
        </w:rPr>
      </w:pPr>
      <w:r w:rsidRPr="00630919">
        <w:rPr>
          <w:rFonts w:ascii="Calibri" w:hAnsi="Calibri"/>
          <w:sz w:val="20"/>
          <w:szCs w:val="20"/>
        </w:rPr>
        <w:t>Sources: 2010 U.S. Cens</w:t>
      </w:r>
      <w:r>
        <w:rPr>
          <w:rFonts w:ascii="Calibri" w:hAnsi="Calibri"/>
          <w:sz w:val="20"/>
          <w:szCs w:val="20"/>
        </w:rPr>
        <w:t>u</w:t>
      </w:r>
      <w:r w:rsidRPr="00630919">
        <w:rPr>
          <w:rFonts w:ascii="Calibri" w:hAnsi="Calibri"/>
          <w:sz w:val="20"/>
          <w:szCs w:val="20"/>
        </w:rPr>
        <w:t xml:space="preserve">s Bureau and Demographic Study conducted by McKibben Demographics for </w:t>
      </w:r>
    </w:p>
    <w:p w14:paraId="681FBD2D" w14:textId="53601E8E" w:rsidR="000B3F50" w:rsidRPr="00630919" w:rsidRDefault="000B3F50" w:rsidP="00DF4506">
      <w:pPr>
        <w:ind w:left="360"/>
        <w:jc w:val="both"/>
        <w:rPr>
          <w:rFonts w:ascii="Calibri" w:hAnsi="Calibri"/>
          <w:sz w:val="20"/>
          <w:szCs w:val="20"/>
        </w:rPr>
      </w:pPr>
      <w:r w:rsidRPr="00630919">
        <w:rPr>
          <w:rFonts w:ascii="Calibri" w:hAnsi="Calibri"/>
          <w:sz w:val="20"/>
          <w:szCs w:val="20"/>
        </w:rPr>
        <w:t xml:space="preserve">the Needham Public Schools, </w:t>
      </w:r>
      <w:r w:rsidR="004844F1" w:rsidRPr="004844F1">
        <w:rPr>
          <w:rFonts w:asciiTheme="minorHAnsi" w:hAnsiTheme="minorHAnsi"/>
          <w:sz w:val="20"/>
          <w:szCs w:val="20"/>
        </w:rPr>
        <w:t>January 2, 2019</w:t>
      </w:r>
      <w:r w:rsidRPr="00630919">
        <w:rPr>
          <w:rFonts w:ascii="Calibri" w:hAnsi="Calibri"/>
          <w:sz w:val="20"/>
          <w:szCs w:val="20"/>
        </w:rPr>
        <w:t xml:space="preserve">. </w:t>
      </w:r>
    </w:p>
    <w:p w14:paraId="24A95DD0" w14:textId="77777777" w:rsidR="0044066F" w:rsidRDefault="0044066F" w:rsidP="000B3F50">
      <w:pPr>
        <w:ind w:right="-720"/>
        <w:jc w:val="both"/>
        <w:rPr>
          <w:rFonts w:ascii="Calibri" w:hAnsi="Calibri" w:cs="Lucida Sans Unicode"/>
          <w:sz w:val="22"/>
          <w:szCs w:val="22"/>
        </w:rPr>
      </w:pPr>
    </w:p>
    <w:p w14:paraId="1080AEB6" w14:textId="6A367823" w:rsidR="00C95AAC" w:rsidRDefault="000B3F50" w:rsidP="00C95AAC">
      <w:pPr>
        <w:jc w:val="both"/>
        <w:rPr>
          <w:rFonts w:asciiTheme="minorHAnsi" w:hAnsiTheme="minorHAnsi"/>
          <w:sz w:val="22"/>
          <w:szCs w:val="22"/>
        </w:rPr>
      </w:pPr>
      <w:r>
        <w:rPr>
          <w:rFonts w:ascii="Calibri" w:hAnsi="Calibri" w:cs="Lucida Sans Unicode"/>
          <w:sz w:val="22"/>
          <w:szCs w:val="22"/>
        </w:rPr>
        <w:t xml:space="preserve">Table </w:t>
      </w:r>
      <w:r w:rsidR="001B322C">
        <w:rPr>
          <w:rFonts w:ascii="Calibri" w:hAnsi="Calibri" w:cs="Lucida Sans Unicode"/>
          <w:sz w:val="22"/>
          <w:szCs w:val="22"/>
        </w:rPr>
        <w:t>III-8</w:t>
      </w:r>
      <w:r>
        <w:rPr>
          <w:rFonts w:ascii="Calibri" w:hAnsi="Calibri" w:cs="Lucida Sans Unicode"/>
          <w:sz w:val="22"/>
          <w:szCs w:val="22"/>
        </w:rPr>
        <w:t xml:space="preserve"> </w:t>
      </w:r>
      <w:r w:rsidR="00794293">
        <w:rPr>
          <w:rFonts w:ascii="Calibri" w:hAnsi="Calibri" w:cs="Lucida Sans Unicode"/>
          <w:sz w:val="22"/>
          <w:szCs w:val="22"/>
        </w:rPr>
        <w:t xml:space="preserve">and Figure </w:t>
      </w:r>
      <w:r w:rsidR="001B322C">
        <w:rPr>
          <w:rFonts w:ascii="Calibri" w:hAnsi="Calibri" w:cs="Lucida Sans Unicode"/>
          <w:sz w:val="22"/>
          <w:szCs w:val="22"/>
        </w:rPr>
        <w:t>III-</w:t>
      </w:r>
      <w:r w:rsidR="00794293">
        <w:rPr>
          <w:rFonts w:ascii="Calibri" w:hAnsi="Calibri" w:cs="Lucida Sans Unicode"/>
          <w:sz w:val="22"/>
          <w:szCs w:val="22"/>
        </w:rPr>
        <w:t xml:space="preserve">5 </w:t>
      </w:r>
      <w:r>
        <w:rPr>
          <w:rFonts w:ascii="Calibri" w:hAnsi="Calibri" w:cs="Lucida Sans Unicode"/>
          <w:sz w:val="22"/>
          <w:szCs w:val="22"/>
        </w:rPr>
        <w:t>provide a comparison of the 2030 MAPC Stronger Region, State Data Center</w:t>
      </w:r>
      <w:r w:rsidR="007B6535">
        <w:rPr>
          <w:rFonts w:ascii="Calibri" w:hAnsi="Calibri" w:cs="Lucida Sans Unicode"/>
          <w:sz w:val="22"/>
          <w:szCs w:val="22"/>
        </w:rPr>
        <w:t>,</w:t>
      </w:r>
      <w:r>
        <w:rPr>
          <w:rFonts w:ascii="Calibri" w:hAnsi="Calibri" w:cs="Lucida Sans Unicode"/>
          <w:sz w:val="22"/>
          <w:szCs w:val="22"/>
        </w:rPr>
        <w:t xml:space="preserve"> and Needham Public School projections. The State Data Center and Needham Public School projections suggest relatively comparable total population estimates, but the decreases in children as well as the increases in older adults are much less extreme in the Public School figures in comparison to the others. </w:t>
      </w:r>
      <w:r w:rsidR="00C95AAC">
        <w:rPr>
          <w:rFonts w:asciiTheme="minorHAnsi" w:hAnsiTheme="minorHAnsi"/>
          <w:sz w:val="22"/>
          <w:szCs w:val="22"/>
        </w:rPr>
        <w:t>Of particular note in these population projections are the following general demographic shifts and resulting implications:</w:t>
      </w:r>
    </w:p>
    <w:p w14:paraId="33BB2DCC" w14:textId="77777777" w:rsidR="00C95AAC" w:rsidRDefault="00C95AAC" w:rsidP="00C95AAC">
      <w:pPr>
        <w:jc w:val="both"/>
        <w:rPr>
          <w:rFonts w:asciiTheme="minorHAnsi" w:hAnsiTheme="minorHAnsi"/>
          <w:sz w:val="22"/>
          <w:szCs w:val="22"/>
        </w:rPr>
      </w:pPr>
    </w:p>
    <w:p w14:paraId="2ED8AEFF" w14:textId="77777777" w:rsidR="00C95AAC" w:rsidRDefault="00C95AAC" w:rsidP="005D3FC9">
      <w:pPr>
        <w:pStyle w:val="ListParagraph"/>
        <w:numPr>
          <w:ilvl w:val="0"/>
          <w:numId w:val="11"/>
        </w:numPr>
        <w:jc w:val="both"/>
        <w:rPr>
          <w:rFonts w:asciiTheme="minorHAnsi" w:hAnsiTheme="minorHAnsi"/>
          <w:sz w:val="22"/>
          <w:szCs w:val="22"/>
        </w:rPr>
      </w:pPr>
      <w:r>
        <w:rPr>
          <w:rFonts w:asciiTheme="minorHAnsi" w:hAnsiTheme="minorHAnsi"/>
          <w:sz w:val="22"/>
          <w:szCs w:val="22"/>
        </w:rPr>
        <w:t>Some d</w:t>
      </w:r>
      <w:r w:rsidRPr="00847D62">
        <w:rPr>
          <w:rFonts w:asciiTheme="minorHAnsi" w:hAnsiTheme="minorHAnsi"/>
          <w:sz w:val="22"/>
          <w:szCs w:val="22"/>
        </w:rPr>
        <w:t>eclin</w:t>
      </w:r>
      <w:r>
        <w:rPr>
          <w:rFonts w:asciiTheme="minorHAnsi" w:hAnsiTheme="minorHAnsi"/>
          <w:sz w:val="22"/>
          <w:szCs w:val="22"/>
        </w:rPr>
        <w:t>es in the</w:t>
      </w:r>
      <w:r w:rsidRPr="00847D62">
        <w:rPr>
          <w:rFonts w:asciiTheme="minorHAnsi" w:hAnsiTheme="minorHAnsi"/>
          <w:sz w:val="22"/>
          <w:szCs w:val="22"/>
        </w:rPr>
        <w:t xml:space="preserve"> numbers of children which will provide relief to Needham’s public school system</w:t>
      </w:r>
      <w:r>
        <w:rPr>
          <w:rFonts w:asciiTheme="minorHAnsi" w:hAnsiTheme="minorHAnsi"/>
          <w:sz w:val="22"/>
          <w:szCs w:val="22"/>
        </w:rPr>
        <w:t>,</w:t>
      </w:r>
      <w:r w:rsidRPr="00847D62">
        <w:rPr>
          <w:rFonts w:asciiTheme="minorHAnsi" w:hAnsiTheme="minorHAnsi"/>
          <w:sz w:val="22"/>
          <w:szCs w:val="22"/>
        </w:rPr>
        <w:t xml:space="preserve"> reducing costs</w:t>
      </w:r>
      <w:r>
        <w:rPr>
          <w:rFonts w:asciiTheme="minorHAnsi" w:hAnsiTheme="minorHAnsi"/>
          <w:sz w:val="22"/>
          <w:szCs w:val="22"/>
        </w:rPr>
        <w:t xml:space="preserve"> with decreases in school enrollment</w:t>
      </w:r>
      <w:r w:rsidRPr="00847D62">
        <w:rPr>
          <w:rFonts w:asciiTheme="minorHAnsi" w:hAnsiTheme="minorHAnsi"/>
          <w:sz w:val="22"/>
          <w:szCs w:val="22"/>
        </w:rPr>
        <w:t xml:space="preserve">. </w:t>
      </w:r>
      <w:r>
        <w:rPr>
          <w:rFonts w:asciiTheme="minorHAnsi" w:hAnsiTheme="minorHAnsi"/>
          <w:sz w:val="22"/>
          <w:szCs w:val="22"/>
        </w:rPr>
        <w:t xml:space="preserve">MAPC and State Data Center projections suggest greater declines in children than those prepared for the Needham Public School District. </w:t>
      </w:r>
    </w:p>
    <w:p w14:paraId="49BE35D7" w14:textId="77777777" w:rsidR="00C95AAC" w:rsidRDefault="00C95AAC" w:rsidP="00C95AAC">
      <w:pPr>
        <w:pStyle w:val="ListParagraph"/>
        <w:ind w:left="768"/>
        <w:jc w:val="both"/>
        <w:rPr>
          <w:rFonts w:asciiTheme="minorHAnsi" w:hAnsiTheme="minorHAnsi"/>
          <w:sz w:val="22"/>
          <w:szCs w:val="22"/>
        </w:rPr>
      </w:pPr>
      <w:r w:rsidRPr="00847D62">
        <w:rPr>
          <w:rFonts w:asciiTheme="minorHAnsi" w:hAnsiTheme="minorHAnsi"/>
          <w:sz w:val="22"/>
          <w:szCs w:val="22"/>
        </w:rPr>
        <w:t xml:space="preserve"> </w:t>
      </w:r>
    </w:p>
    <w:p w14:paraId="212464B4" w14:textId="024C2615" w:rsidR="00C95AAC" w:rsidRDefault="00C95AAC" w:rsidP="005D3FC9">
      <w:pPr>
        <w:pStyle w:val="ListParagraph"/>
        <w:numPr>
          <w:ilvl w:val="0"/>
          <w:numId w:val="11"/>
        </w:numPr>
        <w:jc w:val="both"/>
        <w:rPr>
          <w:rFonts w:asciiTheme="minorHAnsi" w:hAnsiTheme="minorHAnsi"/>
          <w:sz w:val="22"/>
          <w:szCs w:val="22"/>
        </w:rPr>
      </w:pPr>
      <w:r>
        <w:rPr>
          <w:rFonts w:asciiTheme="minorHAnsi" w:hAnsiTheme="minorHAnsi"/>
          <w:sz w:val="22"/>
          <w:szCs w:val="22"/>
        </w:rPr>
        <w:t>I</w:t>
      </w:r>
      <w:r w:rsidRPr="00847D62">
        <w:rPr>
          <w:rFonts w:asciiTheme="minorHAnsi" w:hAnsiTheme="minorHAnsi"/>
          <w:sz w:val="22"/>
          <w:szCs w:val="22"/>
        </w:rPr>
        <w:t>ncrease</w:t>
      </w:r>
      <w:r>
        <w:rPr>
          <w:rFonts w:asciiTheme="minorHAnsi" w:hAnsiTheme="minorHAnsi"/>
          <w:sz w:val="22"/>
          <w:szCs w:val="22"/>
        </w:rPr>
        <w:t>s</w:t>
      </w:r>
      <w:r w:rsidRPr="00847D62">
        <w:rPr>
          <w:rFonts w:asciiTheme="minorHAnsi" w:hAnsiTheme="minorHAnsi"/>
          <w:sz w:val="22"/>
          <w:szCs w:val="22"/>
        </w:rPr>
        <w:t xml:space="preserve"> in younger adults with sufficient income to afford housing in Needham. </w:t>
      </w:r>
      <w:r>
        <w:rPr>
          <w:rFonts w:asciiTheme="minorHAnsi" w:hAnsiTheme="minorHAnsi"/>
          <w:sz w:val="22"/>
          <w:szCs w:val="22"/>
        </w:rPr>
        <w:t>These smaller households will</w:t>
      </w:r>
      <w:r w:rsidRPr="00847D62">
        <w:rPr>
          <w:rFonts w:asciiTheme="minorHAnsi" w:hAnsiTheme="minorHAnsi"/>
          <w:sz w:val="22"/>
          <w:szCs w:val="22"/>
        </w:rPr>
        <w:t xml:space="preserve"> likely</w:t>
      </w:r>
      <w:r>
        <w:rPr>
          <w:rFonts w:asciiTheme="minorHAnsi" w:hAnsiTheme="minorHAnsi"/>
          <w:sz w:val="22"/>
          <w:szCs w:val="22"/>
        </w:rPr>
        <w:t xml:space="preserve"> put less stress on local infrastructure, and many will be attracted to the smaller multi-family units that </w:t>
      </w:r>
      <w:r w:rsidR="00177DF0">
        <w:rPr>
          <w:rFonts w:asciiTheme="minorHAnsi" w:hAnsiTheme="minorHAnsi"/>
          <w:sz w:val="22"/>
          <w:szCs w:val="22"/>
        </w:rPr>
        <w:t>have been</w:t>
      </w:r>
      <w:r>
        <w:rPr>
          <w:rFonts w:asciiTheme="minorHAnsi" w:hAnsiTheme="minorHAnsi"/>
          <w:sz w:val="22"/>
          <w:szCs w:val="22"/>
        </w:rPr>
        <w:t xml:space="preserve"> produced as part of the new rental developments or opportunities that might arise out of new zoning such as the Mixed Use Overlay District</w:t>
      </w:r>
      <w:r w:rsidR="00420362">
        <w:rPr>
          <w:rFonts w:asciiTheme="minorHAnsi" w:hAnsiTheme="minorHAnsi"/>
          <w:sz w:val="22"/>
          <w:szCs w:val="22"/>
        </w:rPr>
        <w:t xml:space="preserve"> (MUOD)</w:t>
      </w:r>
      <w:r>
        <w:rPr>
          <w:rFonts w:asciiTheme="minorHAnsi" w:hAnsiTheme="minorHAnsi"/>
          <w:sz w:val="22"/>
          <w:szCs w:val="22"/>
        </w:rPr>
        <w:t xml:space="preserve"> or potential accessory dwelling units.</w:t>
      </w:r>
      <w:r w:rsidRPr="00847D62">
        <w:rPr>
          <w:rFonts w:asciiTheme="minorHAnsi" w:hAnsiTheme="minorHAnsi"/>
          <w:sz w:val="22"/>
          <w:szCs w:val="22"/>
        </w:rPr>
        <w:t xml:space="preserve"> </w:t>
      </w:r>
      <w:r>
        <w:rPr>
          <w:rFonts w:asciiTheme="minorHAnsi" w:hAnsiTheme="minorHAnsi"/>
          <w:sz w:val="22"/>
          <w:szCs w:val="22"/>
        </w:rPr>
        <w:t xml:space="preserve">Fiscal analyses of the MUOD and recent multi-family developments have indicated that they will likely result in positive annual fiscal benefits to the Town. </w:t>
      </w:r>
    </w:p>
    <w:p w14:paraId="0C3820F0" w14:textId="77777777" w:rsidR="00C95AAC" w:rsidRPr="0046762D" w:rsidRDefault="00C95AAC" w:rsidP="00C95AAC">
      <w:pPr>
        <w:jc w:val="both"/>
        <w:rPr>
          <w:rFonts w:asciiTheme="minorHAnsi" w:hAnsiTheme="minorHAnsi"/>
          <w:sz w:val="22"/>
          <w:szCs w:val="22"/>
        </w:rPr>
      </w:pPr>
    </w:p>
    <w:p w14:paraId="60545EF8" w14:textId="77777777" w:rsidR="00C95AAC" w:rsidRDefault="00C95AAC" w:rsidP="005D3FC9">
      <w:pPr>
        <w:pStyle w:val="ListParagraph"/>
        <w:numPr>
          <w:ilvl w:val="0"/>
          <w:numId w:val="11"/>
        </w:numPr>
        <w:jc w:val="both"/>
        <w:rPr>
          <w:rFonts w:asciiTheme="minorHAnsi" w:hAnsiTheme="minorHAnsi"/>
          <w:sz w:val="22"/>
          <w:szCs w:val="22"/>
        </w:rPr>
      </w:pPr>
      <w:r>
        <w:rPr>
          <w:rFonts w:asciiTheme="minorHAnsi" w:hAnsiTheme="minorHAnsi"/>
          <w:sz w:val="22"/>
          <w:szCs w:val="22"/>
        </w:rPr>
        <w:lastRenderedPageBreak/>
        <w:t>Some declines in middle-age residents who are likely to be homeowners, many with school-age children.  This population puts substantial pressure on Town services.</w:t>
      </w:r>
    </w:p>
    <w:p w14:paraId="1FCC2A62" w14:textId="77777777" w:rsidR="00C95AAC" w:rsidRPr="0046762D" w:rsidRDefault="00C95AAC" w:rsidP="00C95AAC">
      <w:pPr>
        <w:jc w:val="both"/>
        <w:rPr>
          <w:rFonts w:asciiTheme="minorHAnsi" w:hAnsiTheme="minorHAnsi"/>
          <w:sz w:val="22"/>
          <w:szCs w:val="22"/>
        </w:rPr>
      </w:pPr>
    </w:p>
    <w:p w14:paraId="7682C6B8" w14:textId="4DF54D77" w:rsidR="00C95AAC" w:rsidRPr="00847D62" w:rsidRDefault="00EB4684" w:rsidP="005D3FC9">
      <w:pPr>
        <w:pStyle w:val="ListParagraph"/>
        <w:numPr>
          <w:ilvl w:val="0"/>
          <w:numId w:val="11"/>
        </w:numPr>
        <w:jc w:val="both"/>
        <w:rPr>
          <w:rFonts w:asciiTheme="minorHAnsi" w:hAnsiTheme="minorHAnsi"/>
          <w:sz w:val="22"/>
          <w:szCs w:val="22"/>
        </w:rPr>
      </w:pPr>
      <w:r>
        <w:rPr>
          <w:rFonts w:asciiTheme="minorHAnsi" w:hAnsiTheme="minorHAnsi"/>
          <w:sz w:val="22"/>
          <w:szCs w:val="22"/>
        </w:rPr>
        <w:t>I</w:t>
      </w:r>
      <w:r w:rsidR="00C95AAC">
        <w:rPr>
          <w:rFonts w:asciiTheme="minorHAnsi" w:hAnsiTheme="minorHAnsi"/>
          <w:sz w:val="22"/>
          <w:szCs w:val="22"/>
        </w:rPr>
        <w:t xml:space="preserve">ncreases in older adults 65 years of age or older, many who would prefer to downsize in the community but have tended to remain in their homes given limited housing alternatives.  These residents will likely put greater pressure on the Council on Aging and local ambulance services as well as private health services.  The increase in this age category is much higher in the MAPC and State Data Center projections as compared to the Needham Public School estimates. </w:t>
      </w:r>
    </w:p>
    <w:p w14:paraId="120E67E0" w14:textId="3B6B8F2B" w:rsidR="000B3F50" w:rsidRPr="0044066F" w:rsidRDefault="000B3F50" w:rsidP="0044066F">
      <w:pPr>
        <w:pStyle w:val="Heading5"/>
        <w:jc w:val="center"/>
        <w:rPr>
          <w:rFonts w:ascii="Calibri" w:hAnsi="Calibri" w:cs="Lucida Sans Unicode"/>
          <w:b/>
          <w:bCs/>
          <w:sz w:val="22"/>
          <w:szCs w:val="22"/>
        </w:rPr>
      </w:pPr>
      <w:r w:rsidRPr="0044066F">
        <w:rPr>
          <w:rFonts w:ascii="Calibri" w:hAnsi="Calibri" w:cs="Lucida Sans Unicode"/>
          <w:b/>
          <w:color w:val="auto"/>
          <w:sz w:val="22"/>
          <w:szCs w:val="22"/>
        </w:rPr>
        <w:t xml:space="preserve">Table </w:t>
      </w:r>
      <w:r w:rsidR="0086490C">
        <w:rPr>
          <w:rFonts w:ascii="Calibri" w:hAnsi="Calibri" w:cs="Lucida Sans Unicode"/>
          <w:b/>
          <w:color w:val="auto"/>
          <w:sz w:val="22"/>
          <w:szCs w:val="22"/>
        </w:rPr>
        <w:t>III-8</w:t>
      </w:r>
      <w:r w:rsidRPr="0044066F">
        <w:rPr>
          <w:rFonts w:ascii="Calibri" w:hAnsi="Calibri" w:cs="Lucida Sans Unicode"/>
          <w:b/>
          <w:color w:val="auto"/>
          <w:sz w:val="22"/>
          <w:szCs w:val="22"/>
        </w:rPr>
        <w:t xml:space="preserve">: </w:t>
      </w:r>
      <w:r w:rsidR="00E21E08">
        <w:rPr>
          <w:rFonts w:ascii="Calibri" w:hAnsi="Calibri" w:cs="Lucida Sans Unicode"/>
          <w:b/>
          <w:color w:val="auto"/>
          <w:sz w:val="22"/>
          <w:szCs w:val="22"/>
        </w:rPr>
        <w:t>Comparison of</w:t>
      </w:r>
      <w:r w:rsidRPr="0044066F">
        <w:rPr>
          <w:rFonts w:ascii="Calibri" w:hAnsi="Calibri" w:cs="Lucida Sans Unicode"/>
          <w:b/>
          <w:color w:val="auto"/>
          <w:sz w:val="22"/>
          <w:szCs w:val="22"/>
        </w:rPr>
        <w:t xml:space="preserve"> Population Projections for 2030</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960"/>
        <w:gridCol w:w="930"/>
        <w:gridCol w:w="1080"/>
        <w:gridCol w:w="1080"/>
        <w:gridCol w:w="1080"/>
        <w:gridCol w:w="1080"/>
        <w:gridCol w:w="1068"/>
        <w:gridCol w:w="1092"/>
      </w:tblGrid>
      <w:tr w:rsidR="000B3F50" w:rsidRPr="003A2B96" w14:paraId="69ABA66F" w14:textId="77777777" w:rsidTr="00CD48ED">
        <w:trPr>
          <w:cantSplit/>
          <w:trHeight w:val="197"/>
          <w:jc w:val="center"/>
        </w:trPr>
        <w:tc>
          <w:tcPr>
            <w:tcW w:w="1530" w:type="dxa"/>
            <w:vMerge w:val="restart"/>
            <w:tcBorders>
              <w:top w:val="single" w:sz="4" w:space="0" w:color="auto"/>
              <w:left w:val="single" w:sz="4" w:space="0" w:color="auto"/>
              <w:bottom w:val="single" w:sz="4" w:space="0" w:color="auto"/>
              <w:right w:val="single" w:sz="4" w:space="0" w:color="auto"/>
            </w:tcBorders>
          </w:tcPr>
          <w:p w14:paraId="4DB3A68F" w14:textId="77777777" w:rsidR="000B3F50" w:rsidRPr="003A2B96" w:rsidRDefault="000B3F50" w:rsidP="00CD48ED">
            <w:pPr>
              <w:ind w:right="-720"/>
              <w:rPr>
                <w:rFonts w:ascii="Calibri" w:hAnsi="Calibri" w:cs="Lucida Sans Unicode"/>
                <w:b/>
                <w:bCs/>
              </w:rPr>
            </w:pPr>
          </w:p>
          <w:p w14:paraId="00099FE8"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 xml:space="preserve">Age Range </w:t>
            </w:r>
          </w:p>
        </w:tc>
        <w:tc>
          <w:tcPr>
            <w:tcW w:w="1890" w:type="dxa"/>
            <w:gridSpan w:val="2"/>
            <w:tcBorders>
              <w:top w:val="single" w:sz="4" w:space="0" w:color="auto"/>
              <w:left w:val="single" w:sz="4" w:space="0" w:color="auto"/>
              <w:bottom w:val="single" w:sz="4" w:space="0" w:color="auto"/>
              <w:right w:val="single" w:sz="4" w:space="0" w:color="auto"/>
            </w:tcBorders>
          </w:tcPr>
          <w:p w14:paraId="0C484699"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2010 Census</w:t>
            </w:r>
          </w:p>
        </w:tc>
        <w:tc>
          <w:tcPr>
            <w:tcW w:w="2160" w:type="dxa"/>
            <w:gridSpan w:val="2"/>
            <w:tcBorders>
              <w:top w:val="single" w:sz="4" w:space="0" w:color="auto"/>
              <w:left w:val="single" w:sz="4" w:space="0" w:color="auto"/>
              <w:bottom w:val="single" w:sz="4" w:space="0" w:color="auto"/>
              <w:right w:val="single" w:sz="4" w:space="0" w:color="auto"/>
            </w:tcBorders>
          </w:tcPr>
          <w:p w14:paraId="4BC921B7" w14:textId="77777777" w:rsidR="000B3F50" w:rsidRDefault="000B3F50" w:rsidP="00CD48ED">
            <w:pPr>
              <w:ind w:right="-720"/>
              <w:rPr>
                <w:rFonts w:ascii="Calibri" w:hAnsi="Calibri" w:cs="Lucida Sans Unicode"/>
                <w:b/>
                <w:bCs/>
              </w:rPr>
            </w:pPr>
            <w:r>
              <w:rPr>
                <w:rFonts w:ascii="Calibri" w:hAnsi="Calibri" w:cs="Lucida Sans Unicode"/>
                <w:b/>
                <w:bCs/>
                <w:sz w:val="22"/>
                <w:szCs w:val="22"/>
              </w:rPr>
              <w:t>MAPC</w:t>
            </w:r>
            <w:r w:rsidRPr="003A2B96">
              <w:rPr>
                <w:rFonts w:ascii="Calibri" w:hAnsi="Calibri" w:cs="Lucida Sans Unicode"/>
                <w:b/>
                <w:bCs/>
                <w:sz w:val="22"/>
                <w:szCs w:val="22"/>
              </w:rPr>
              <w:t xml:space="preserve"> </w:t>
            </w:r>
            <w:r>
              <w:rPr>
                <w:rFonts w:ascii="Calibri" w:hAnsi="Calibri" w:cs="Lucida Sans Unicode"/>
                <w:b/>
                <w:bCs/>
                <w:sz w:val="22"/>
                <w:szCs w:val="22"/>
              </w:rPr>
              <w:t xml:space="preserve">Stronger </w:t>
            </w:r>
          </w:p>
          <w:p w14:paraId="7E1F5192" w14:textId="77777777" w:rsidR="000B3F50" w:rsidRPr="003A2B96" w:rsidRDefault="000B3F50" w:rsidP="00CD48ED">
            <w:pPr>
              <w:ind w:right="-720"/>
              <w:rPr>
                <w:rFonts w:ascii="Calibri" w:hAnsi="Calibri" w:cs="Lucida Sans Unicode"/>
                <w:b/>
                <w:bCs/>
              </w:rPr>
            </w:pPr>
            <w:r>
              <w:rPr>
                <w:rFonts w:ascii="Calibri" w:hAnsi="Calibri" w:cs="Lucida Sans Unicode"/>
                <w:b/>
                <w:bCs/>
                <w:sz w:val="22"/>
                <w:szCs w:val="22"/>
              </w:rPr>
              <w:t xml:space="preserve">Region </w:t>
            </w:r>
            <w:r w:rsidRPr="003A2B96">
              <w:rPr>
                <w:rFonts w:ascii="Calibri" w:hAnsi="Calibri" w:cs="Lucida Sans Unicode"/>
                <w:b/>
                <w:bCs/>
                <w:sz w:val="22"/>
                <w:szCs w:val="22"/>
              </w:rPr>
              <w:t>Projections</w:t>
            </w:r>
          </w:p>
        </w:tc>
        <w:tc>
          <w:tcPr>
            <w:tcW w:w="2160" w:type="dxa"/>
            <w:gridSpan w:val="2"/>
            <w:tcBorders>
              <w:top w:val="single" w:sz="4" w:space="0" w:color="auto"/>
              <w:left w:val="single" w:sz="4" w:space="0" w:color="auto"/>
              <w:bottom w:val="single" w:sz="4" w:space="0" w:color="auto"/>
              <w:right w:val="single" w:sz="4" w:space="0" w:color="auto"/>
            </w:tcBorders>
          </w:tcPr>
          <w:p w14:paraId="128951D7" w14:textId="77777777" w:rsidR="000B3F50" w:rsidRPr="003A2B96" w:rsidRDefault="000B3F50" w:rsidP="00CD48ED">
            <w:pPr>
              <w:ind w:right="-720"/>
              <w:rPr>
                <w:rFonts w:ascii="Calibri" w:hAnsi="Calibri" w:cs="Lucida Sans Unicode"/>
                <w:b/>
                <w:bCs/>
              </w:rPr>
            </w:pPr>
            <w:r>
              <w:rPr>
                <w:rFonts w:ascii="Calibri" w:hAnsi="Calibri" w:cs="Lucida Sans Unicode"/>
                <w:b/>
                <w:bCs/>
                <w:sz w:val="22"/>
                <w:szCs w:val="22"/>
              </w:rPr>
              <w:t>State Data Center</w:t>
            </w:r>
            <w:r w:rsidRPr="003A2B96">
              <w:rPr>
                <w:rFonts w:ascii="Calibri" w:hAnsi="Calibri" w:cs="Lucida Sans Unicode"/>
                <w:b/>
                <w:bCs/>
                <w:sz w:val="22"/>
                <w:szCs w:val="22"/>
              </w:rPr>
              <w:t xml:space="preserve"> Projections</w:t>
            </w:r>
          </w:p>
        </w:tc>
        <w:tc>
          <w:tcPr>
            <w:tcW w:w="2160" w:type="dxa"/>
            <w:gridSpan w:val="2"/>
            <w:tcBorders>
              <w:top w:val="single" w:sz="4" w:space="0" w:color="auto"/>
              <w:left w:val="single" w:sz="4" w:space="0" w:color="auto"/>
              <w:bottom w:val="single" w:sz="4" w:space="0" w:color="auto"/>
              <w:right w:val="single" w:sz="4" w:space="0" w:color="auto"/>
            </w:tcBorders>
          </w:tcPr>
          <w:p w14:paraId="39156C10" w14:textId="77777777" w:rsidR="000B3F50" w:rsidRDefault="000B3F50" w:rsidP="00CD48ED">
            <w:pPr>
              <w:ind w:right="-720"/>
              <w:rPr>
                <w:rFonts w:ascii="Calibri" w:hAnsi="Calibri" w:cs="Lucida Sans Unicode"/>
                <w:b/>
                <w:bCs/>
              </w:rPr>
            </w:pPr>
            <w:r>
              <w:rPr>
                <w:rFonts w:ascii="Calibri" w:hAnsi="Calibri" w:cs="Lucida Sans Unicode"/>
                <w:b/>
                <w:bCs/>
                <w:sz w:val="22"/>
                <w:szCs w:val="22"/>
              </w:rPr>
              <w:t xml:space="preserve">Needham Public </w:t>
            </w:r>
          </w:p>
          <w:p w14:paraId="05DF7C2E" w14:textId="77777777" w:rsidR="000B3F50" w:rsidRDefault="000B3F50" w:rsidP="00CD48ED">
            <w:pPr>
              <w:ind w:right="-720"/>
              <w:rPr>
                <w:rFonts w:ascii="Calibri" w:hAnsi="Calibri" w:cs="Lucida Sans Unicode"/>
                <w:b/>
                <w:bCs/>
              </w:rPr>
            </w:pPr>
            <w:r>
              <w:rPr>
                <w:rFonts w:ascii="Calibri" w:hAnsi="Calibri" w:cs="Lucida Sans Unicode"/>
                <w:b/>
                <w:bCs/>
                <w:sz w:val="22"/>
                <w:szCs w:val="22"/>
              </w:rPr>
              <w:t>Schools Projections</w:t>
            </w:r>
          </w:p>
        </w:tc>
      </w:tr>
      <w:tr w:rsidR="000B3F50" w:rsidRPr="003A2B96" w14:paraId="5625BD9C" w14:textId="77777777" w:rsidTr="00CD48ED">
        <w:trPr>
          <w:cantSplit/>
          <w:jc w:val="center"/>
        </w:trPr>
        <w:tc>
          <w:tcPr>
            <w:tcW w:w="1530" w:type="dxa"/>
            <w:vMerge/>
            <w:tcBorders>
              <w:top w:val="single" w:sz="4" w:space="0" w:color="auto"/>
              <w:left w:val="single" w:sz="4" w:space="0" w:color="auto"/>
              <w:bottom w:val="single" w:sz="4" w:space="0" w:color="auto"/>
              <w:right w:val="single" w:sz="4" w:space="0" w:color="auto"/>
            </w:tcBorders>
            <w:vAlign w:val="center"/>
          </w:tcPr>
          <w:p w14:paraId="791CD33A" w14:textId="77777777" w:rsidR="000B3F50" w:rsidRPr="003A2B96" w:rsidRDefault="000B3F50" w:rsidP="00CD48ED">
            <w:pPr>
              <w:rPr>
                <w:rFonts w:ascii="Calibri" w:hAnsi="Calibri" w:cs="Lucida Sans Unicode"/>
                <w:b/>
                <w:bCs/>
              </w:rPr>
            </w:pPr>
          </w:p>
        </w:tc>
        <w:tc>
          <w:tcPr>
            <w:tcW w:w="960" w:type="dxa"/>
            <w:tcBorders>
              <w:top w:val="single" w:sz="4" w:space="0" w:color="auto"/>
              <w:left w:val="single" w:sz="4" w:space="0" w:color="auto"/>
              <w:bottom w:val="single" w:sz="4" w:space="0" w:color="auto"/>
              <w:right w:val="single" w:sz="4" w:space="0" w:color="auto"/>
            </w:tcBorders>
          </w:tcPr>
          <w:p w14:paraId="61E04F48"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930" w:type="dxa"/>
            <w:tcBorders>
              <w:top w:val="single" w:sz="4" w:space="0" w:color="auto"/>
              <w:left w:val="single" w:sz="4" w:space="0" w:color="auto"/>
              <w:bottom w:val="single" w:sz="4" w:space="0" w:color="auto"/>
              <w:right w:val="single" w:sz="4" w:space="0" w:color="auto"/>
            </w:tcBorders>
          </w:tcPr>
          <w:p w14:paraId="754E56B1"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5960C6D3"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70B876AC"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6FADA582"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73B36455"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68" w:type="dxa"/>
            <w:tcBorders>
              <w:top w:val="single" w:sz="4" w:space="0" w:color="auto"/>
              <w:left w:val="single" w:sz="4" w:space="0" w:color="auto"/>
              <w:bottom w:val="single" w:sz="4" w:space="0" w:color="auto"/>
              <w:right w:val="single" w:sz="4" w:space="0" w:color="auto"/>
            </w:tcBorders>
          </w:tcPr>
          <w:p w14:paraId="441D17AD"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c>
          <w:tcPr>
            <w:tcW w:w="1092" w:type="dxa"/>
            <w:tcBorders>
              <w:top w:val="single" w:sz="4" w:space="0" w:color="auto"/>
              <w:left w:val="single" w:sz="4" w:space="0" w:color="auto"/>
              <w:bottom w:val="single" w:sz="4" w:space="0" w:color="auto"/>
              <w:right w:val="single" w:sz="4" w:space="0" w:color="auto"/>
            </w:tcBorders>
          </w:tcPr>
          <w:p w14:paraId="2B2218FF" w14:textId="77777777" w:rsidR="000B3F50" w:rsidRPr="003A2B96" w:rsidRDefault="000B3F50" w:rsidP="00CD48ED">
            <w:pPr>
              <w:ind w:right="-720"/>
              <w:rPr>
                <w:rFonts w:ascii="Calibri" w:hAnsi="Calibri" w:cs="Lucida Sans Unicode"/>
                <w:b/>
                <w:bCs/>
              </w:rPr>
            </w:pPr>
            <w:r w:rsidRPr="003A2B96">
              <w:rPr>
                <w:rFonts w:ascii="Calibri" w:hAnsi="Calibri" w:cs="Lucida Sans Unicode"/>
                <w:b/>
                <w:bCs/>
                <w:sz w:val="22"/>
                <w:szCs w:val="22"/>
              </w:rPr>
              <w:t>%</w:t>
            </w:r>
          </w:p>
        </w:tc>
      </w:tr>
      <w:tr w:rsidR="000B3F50" w:rsidRPr="003A2B96" w14:paraId="292FC09E"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00E7F4C0"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Under</w:t>
            </w:r>
            <w:r w:rsidRPr="003A2B96">
              <w:rPr>
                <w:rFonts w:ascii="Calibri" w:hAnsi="Calibri" w:cs="Lucida Sans Unicode"/>
                <w:sz w:val="20"/>
                <w:szCs w:val="20"/>
              </w:rPr>
              <w:t xml:space="preserve"> 5 </w:t>
            </w:r>
            <w:r>
              <w:rPr>
                <w:rFonts w:ascii="Calibri" w:hAnsi="Calibri" w:cs="Lucida Sans Unicode"/>
                <w:sz w:val="20"/>
                <w:szCs w:val="20"/>
              </w:rPr>
              <w:t>Years</w:t>
            </w:r>
          </w:p>
        </w:tc>
        <w:tc>
          <w:tcPr>
            <w:tcW w:w="960" w:type="dxa"/>
            <w:tcBorders>
              <w:top w:val="single" w:sz="4" w:space="0" w:color="auto"/>
              <w:left w:val="single" w:sz="4" w:space="0" w:color="auto"/>
              <w:bottom w:val="single" w:sz="4" w:space="0" w:color="auto"/>
              <w:right w:val="single" w:sz="4" w:space="0" w:color="auto"/>
            </w:tcBorders>
          </w:tcPr>
          <w:p w14:paraId="5DA50C84"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1,869</w:t>
            </w:r>
          </w:p>
        </w:tc>
        <w:tc>
          <w:tcPr>
            <w:tcW w:w="930" w:type="dxa"/>
            <w:tcBorders>
              <w:top w:val="single" w:sz="4" w:space="0" w:color="auto"/>
              <w:left w:val="single" w:sz="4" w:space="0" w:color="auto"/>
              <w:bottom w:val="single" w:sz="4" w:space="0" w:color="auto"/>
              <w:right w:val="single" w:sz="4" w:space="0" w:color="auto"/>
            </w:tcBorders>
          </w:tcPr>
          <w:p w14:paraId="1FDE0896"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6.5</w:t>
            </w:r>
          </w:p>
        </w:tc>
        <w:tc>
          <w:tcPr>
            <w:tcW w:w="1080" w:type="dxa"/>
            <w:tcBorders>
              <w:top w:val="single" w:sz="4" w:space="0" w:color="auto"/>
              <w:left w:val="single" w:sz="4" w:space="0" w:color="auto"/>
              <w:bottom w:val="single" w:sz="4" w:space="0" w:color="auto"/>
              <w:right w:val="single" w:sz="4" w:space="0" w:color="auto"/>
            </w:tcBorders>
          </w:tcPr>
          <w:p w14:paraId="23FC1F43"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1,650</w:t>
            </w:r>
          </w:p>
        </w:tc>
        <w:tc>
          <w:tcPr>
            <w:tcW w:w="1080" w:type="dxa"/>
            <w:tcBorders>
              <w:top w:val="single" w:sz="4" w:space="0" w:color="auto"/>
              <w:left w:val="single" w:sz="4" w:space="0" w:color="auto"/>
              <w:bottom w:val="single" w:sz="4" w:space="0" w:color="auto"/>
              <w:right w:val="single" w:sz="4" w:space="0" w:color="auto"/>
            </w:tcBorders>
          </w:tcPr>
          <w:p w14:paraId="1A480CBB"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5.4</w:t>
            </w:r>
          </w:p>
        </w:tc>
        <w:tc>
          <w:tcPr>
            <w:tcW w:w="1080" w:type="dxa"/>
            <w:tcBorders>
              <w:top w:val="single" w:sz="4" w:space="0" w:color="auto"/>
              <w:left w:val="single" w:sz="4" w:space="0" w:color="auto"/>
              <w:bottom w:val="single" w:sz="4" w:space="0" w:color="auto"/>
              <w:right w:val="single" w:sz="4" w:space="0" w:color="auto"/>
            </w:tcBorders>
            <w:vAlign w:val="center"/>
          </w:tcPr>
          <w:p w14:paraId="591D2F09"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1,340</w:t>
            </w:r>
          </w:p>
        </w:tc>
        <w:tc>
          <w:tcPr>
            <w:tcW w:w="1080" w:type="dxa"/>
            <w:tcBorders>
              <w:top w:val="single" w:sz="4" w:space="0" w:color="auto"/>
              <w:left w:val="single" w:sz="4" w:space="0" w:color="auto"/>
              <w:bottom w:val="single" w:sz="4" w:space="0" w:color="auto"/>
              <w:right w:val="single" w:sz="4" w:space="0" w:color="auto"/>
            </w:tcBorders>
            <w:vAlign w:val="center"/>
          </w:tcPr>
          <w:p w14:paraId="4FA24296"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4.7</w:t>
            </w:r>
          </w:p>
        </w:tc>
        <w:tc>
          <w:tcPr>
            <w:tcW w:w="1068" w:type="dxa"/>
            <w:tcBorders>
              <w:top w:val="single" w:sz="4" w:space="0" w:color="auto"/>
              <w:left w:val="single" w:sz="4" w:space="0" w:color="auto"/>
              <w:bottom w:val="single" w:sz="4" w:space="0" w:color="auto"/>
              <w:right w:val="single" w:sz="4" w:space="0" w:color="auto"/>
            </w:tcBorders>
          </w:tcPr>
          <w:p w14:paraId="1EE157ED"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1,620</w:t>
            </w:r>
          </w:p>
        </w:tc>
        <w:tc>
          <w:tcPr>
            <w:tcW w:w="1092" w:type="dxa"/>
            <w:tcBorders>
              <w:top w:val="single" w:sz="4" w:space="0" w:color="auto"/>
              <w:left w:val="single" w:sz="4" w:space="0" w:color="auto"/>
              <w:bottom w:val="single" w:sz="4" w:space="0" w:color="auto"/>
              <w:right w:val="single" w:sz="4" w:space="0" w:color="auto"/>
            </w:tcBorders>
          </w:tcPr>
          <w:p w14:paraId="45F6D3FF"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5.6</w:t>
            </w:r>
          </w:p>
        </w:tc>
      </w:tr>
      <w:tr w:rsidR="000B3F50" w:rsidRPr="003A2B96" w14:paraId="29B2C746"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27FD4537"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5 to 19 Y</w:t>
            </w:r>
            <w:r w:rsidRPr="003A2B96">
              <w:rPr>
                <w:rFonts w:ascii="Calibri" w:hAnsi="Calibri" w:cs="Lucida Sans Unicode"/>
                <w:sz w:val="20"/>
                <w:szCs w:val="20"/>
              </w:rPr>
              <w:t>ears</w:t>
            </w:r>
          </w:p>
        </w:tc>
        <w:tc>
          <w:tcPr>
            <w:tcW w:w="960" w:type="dxa"/>
            <w:tcBorders>
              <w:top w:val="single" w:sz="4" w:space="0" w:color="auto"/>
              <w:left w:val="single" w:sz="4" w:space="0" w:color="auto"/>
              <w:bottom w:val="single" w:sz="4" w:space="0" w:color="auto"/>
              <w:right w:val="single" w:sz="4" w:space="0" w:color="auto"/>
            </w:tcBorders>
          </w:tcPr>
          <w:p w14:paraId="3A552453"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6,814</w:t>
            </w:r>
          </w:p>
        </w:tc>
        <w:tc>
          <w:tcPr>
            <w:tcW w:w="930" w:type="dxa"/>
            <w:tcBorders>
              <w:top w:val="single" w:sz="4" w:space="0" w:color="auto"/>
              <w:left w:val="single" w:sz="4" w:space="0" w:color="auto"/>
              <w:bottom w:val="single" w:sz="4" w:space="0" w:color="auto"/>
              <w:right w:val="single" w:sz="4" w:space="0" w:color="auto"/>
            </w:tcBorders>
          </w:tcPr>
          <w:p w14:paraId="6F5F59B8"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23.6</w:t>
            </w:r>
          </w:p>
        </w:tc>
        <w:tc>
          <w:tcPr>
            <w:tcW w:w="1080" w:type="dxa"/>
            <w:tcBorders>
              <w:top w:val="single" w:sz="4" w:space="0" w:color="auto"/>
              <w:left w:val="single" w:sz="4" w:space="0" w:color="auto"/>
              <w:bottom w:val="single" w:sz="4" w:space="0" w:color="auto"/>
              <w:right w:val="single" w:sz="4" w:space="0" w:color="auto"/>
            </w:tcBorders>
          </w:tcPr>
          <w:p w14:paraId="3801D251"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5,935</w:t>
            </w:r>
          </w:p>
        </w:tc>
        <w:tc>
          <w:tcPr>
            <w:tcW w:w="1080" w:type="dxa"/>
            <w:tcBorders>
              <w:top w:val="single" w:sz="4" w:space="0" w:color="auto"/>
              <w:left w:val="single" w:sz="4" w:space="0" w:color="auto"/>
              <w:bottom w:val="single" w:sz="4" w:space="0" w:color="auto"/>
              <w:right w:val="single" w:sz="4" w:space="0" w:color="auto"/>
            </w:tcBorders>
          </w:tcPr>
          <w:p w14:paraId="38EE4B9D"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19.3</w:t>
            </w:r>
          </w:p>
        </w:tc>
        <w:tc>
          <w:tcPr>
            <w:tcW w:w="1080" w:type="dxa"/>
            <w:tcBorders>
              <w:top w:val="single" w:sz="4" w:space="0" w:color="auto"/>
              <w:left w:val="single" w:sz="4" w:space="0" w:color="auto"/>
              <w:bottom w:val="single" w:sz="4" w:space="0" w:color="auto"/>
              <w:right w:val="single" w:sz="4" w:space="0" w:color="auto"/>
            </w:tcBorders>
            <w:vAlign w:val="center"/>
          </w:tcPr>
          <w:p w14:paraId="28D785E0"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5,389</w:t>
            </w:r>
          </w:p>
        </w:tc>
        <w:tc>
          <w:tcPr>
            <w:tcW w:w="1080" w:type="dxa"/>
            <w:tcBorders>
              <w:top w:val="single" w:sz="4" w:space="0" w:color="auto"/>
              <w:left w:val="single" w:sz="4" w:space="0" w:color="auto"/>
              <w:bottom w:val="single" w:sz="4" w:space="0" w:color="auto"/>
              <w:right w:val="single" w:sz="4" w:space="0" w:color="auto"/>
            </w:tcBorders>
            <w:vAlign w:val="center"/>
          </w:tcPr>
          <w:p w14:paraId="6F37B2EC"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18.9</w:t>
            </w:r>
          </w:p>
        </w:tc>
        <w:tc>
          <w:tcPr>
            <w:tcW w:w="1068" w:type="dxa"/>
            <w:tcBorders>
              <w:top w:val="single" w:sz="4" w:space="0" w:color="auto"/>
              <w:left w:val="single" w:sz="4" w:space="0" w:color="auto"/>
              <w:bottom w:val="single" w:sz="4" w:space="0" w:color="auto"/>
              <w:right w:val="single" w:sz="4" w:space="0" w:color="auto"/>
            </w:tcBorders>
          </w:tcPr>
          <w:p w14:paraId="46D7EBB0"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6,600</w:t>
            </w:r>
          </w:p>
        </w:tc>
        <w:tc>
          <w:tcPr>
            <w:tcW w:w="1092" w:type="dxa"/>
            <w:tcBorders>
              <w:top w:val="single" w:sz="4" w:space="0" w:color="auto"/>
              <w:left w:val="single" w:sz="4" w:space="0" w:color="auto"/>
              <w:bottom w:val="single" w:sz="4" w:space="0" w:color="auto"/>
              <w:right w:val="single" w:sz="4" w:space="0" w:color="auto"/>
            </w:tcBorders>
          </w:tcPr>
          <w:p w14:paraId="6479A4C3"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22.8</w:t>
            </w:r>
          </w:p>
        </w:tc>
      </w:tr>
      <w:tr w:rsidR="000B3F50" w:rsidRPr="003A2B96" w14:paraId="00B10FE1"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4A939AA0"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20 to 34 Y</w:t>
            </w:r>
            <w:r w:rsidRPr="003A2B96">
              <w:rPr>
                <w:rFonts w:ascii="Calibri" w:hAnsi="Calibri" w:cs="Lucida Sans Unicode"/>
                <w:sz w:val="20"/>
                <w:szCs w:val="20"/>
              </w:rPr>
              <w:t>ears</w:t>
            </w:r>
          </w:p>
        </w:tc>
        <w:tc>
          <w:tcPr>
            <w:tcW w:w="960" w:type="dxa"/>
            <w:tcBorders>
              <w:top w:val="single" w:sz="4" w:space="0" w:color="auto"/>
              <w:left w:val="single" w:sz="4" w:space="0" w:color="auto"/>
              <w:bottom w:val="single" w:sz="4" w:space="0" w:color="auto"/>
              <w:right w:val="single" w:sz="4" w:space="0" w:color="auto"/>
            </w:tcBorders>
          </w:tcPr>
          <w:p w14:paraId="1B9FCFEF"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2,677</w:t>
            </w:r>
          </w:p>
        </w:tc>
        <w:tc>
          <w:tcPr>
            <w:tcW w:w="930" w:type="dxa"/>
            <w:tcBorders>
              <w:top w:val="single" w:sz="4" w:space="0" w:color="auto"/>
              <w:left w:val="single" w:sz="4" w:space="0" w:color="auto"/>
              <w:bottom w:val="single" w:sz="4" w:space="0" w:color="auto"/>
              <w:right w:val="single" w:sz="4" w:space="0" w:color="auto"/>
            </w:tcBorders>
          </w:tcPr>
          <w:p w14:paraId="5CF8B533"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9.3</w:t>
            </w:r>
          </w:p>
        </w:tc>
        <w:tc>
          <w:tcPr>
            <w:tcW w:w="1080" w:type="dxa"/>
            <w:tcBorders>
              <w:top w:val="single" w:sz="4" w:space="0" w:color="auto"/>
              <w:left w:val="single" w:sz="4" w:space="0" w:color="auto"/>
              <w:bottom w:val="single" w:sz="4" w:space="0" w:color="auto"/>
              <w:right w:val="single" w:sz="4" w:space="0" w:color="auto"/>
            </w:tcBorders>
          </w:tcPr>
          <w:p w14:paraId="4C4C5A44"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3,680</w:t>
            </w:r>
          </w:p>
        </w:tc>
        <w:tc>
          <w:tcPr>
            <w:tcW w:w="1080" w:type="dxa"/>
            <w:tcBorders>
              <w:top w:val="single" w:sz="4" w:space="0" w:color="auto"/>
              <w:left w:val="single" w:sz="4" w:space="0" w:color="auto"/>
              <w:bottom w:val="single" w:sz="4" w:space="0" w:color="auto"/>
              <w:right w:val="single" w:sz="4" w:space="0" w:color="auto"/>
            </w:tcBorders>
          </w:tcPr>
          <w:p w14:paraId="282FBC65"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12.0</w:t>
            </w:r>
          </w:p>
        </w:tc>
        <w:tc>
          <w:tcPr>
            <w:tcW w:w="1080" w:type="dxa"/>
            <w:tcBorders>
              <w:top w:val="single" w:sz="4" w:space="0" w:color="auto"/>
              <w:left w:val="single" w:sz="4" w:space="0" w:color="auto"/>
              <w:bottom w:val="single" w:sz="4" w:space="0" w:color="auto"/>
              <w:right w:val="single" w:sz="4" w:space="0" w:color="auto"/>
            </w:tcBorders>
            <w:vAlign w:val="center"/>
          </w:tcPr>
          <w:p w14:paraId="4A5B326D"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3,122</w:t>
            </w:r>
          </w:p>
        </w:tc>
        <w:tc>
          <w:tcPr>
            <w:tcW w:w="1080" w:type="dxa"/>
            <w:tcBorders>
              <w:top w:val="single" w:sz="4" w:space="0" w:color="auto"/>
              <w:left w:val="single" w:sz="4" w:space="0" w:color="auto"/>
              <w:bottom w:val="single" w:sz="4" w:space="0" w:color="auto"/>
              <w:right w:val="single" w:sz="4" w:space="0" w:color="auto"/>
            </w:tcBorders>
            <w:vAlign w:val="center"/>
          </w:tcPr>
          <w:p w14:paraId="27AA613B"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10.9</w:t>
            </w:r>
          </w:p>
        </w:tc>
        <w:tc>
          <w:tcPr>
            <w:tcW w:w="1068" w:type="dxa"/>
            <w:tcBorders>
              <w:top w:val="single" w:sz="4" w:space="0" w:color="auto"/>
              <w:left w:val="single" w:sz="4" w:space="0" w:color="auto"/>
              <w:bottom w:val="single" w:sz="4" w:space="0" w:color="auto"/>
              <w:right w:val="single" w:sz="4" w:space="0" w:color="auto"/>
            </w:tcBorders>
          </w:tcPr>
          <w:p w14:paraId="4E60E1E9"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3,150</w:t>
            </w:r>
          </w:p>
        </w:tc>
        <w:tc>
          <w:tcPr>
            <w:tcW w:w="1092" w:type="dxa"/>
            <w:tcBorders>
              <w:top w:val="single" w:sz="4" w:space="0" w:color="auto"/>
              <w:left w:val="single" w:sz="4" w:space="0" w:color="auto"/>
              <w:bottom w:val="single" w:sz="4" w:space="0" w:color="auto"/>
              <w:right w:val="single" w:sz="4" w:space="0" w:color="auto"/>
            </w:tcBorders>
          </w:tcPr>
          <w:p w14:paraId="75C77A70"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10.9</w:t>
            </w:r>
          </w:p>
        </w:tc>
      </w:tr>
      <w:tr w:rsidR="000B3F50" w:rsidRPr="003A2B96" w14:paraId="32223239"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23BAE183"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35 to 64 Y</w:t>
            </w:r>
            <w:r w:rsidRPr="003A2B96">
              <w:rPr>
                <w:rFonts w:ascii="Calibri" w:hAnsi="Calibri" w:cs="Lucida Sans Unicode"/>
                <w:sz w:val="20"/>
                <w:szCs w:val="20"/>
              </w:rPr>
              <w:t>ears</w:t>
            </w:r>
          </w:p>
        </w:tc>
        <w:tc>
          <w:tcPr>
            <w:tcW w:w="960" w:type="dxa"/>
            <w:tcBorders>
              <w:top w:val="single" w:sz="4" w:space="0" w:color="auto"/>
              <w:left w:val="single" w:sz="4" w:space="0" w:color="auto"/>
              <w:bottom w:val="single" w:sz="4" w:space="0" w:color="auto"/>
              <w:right w:val="single" w:sz="4" w:space="0" w:color="auto"/>
            </w:tcBorders>
          </w:tcPr>
          <w:p w14:paraId="536A2FF6"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12,826</w:t>
            </w:r>
          </w:p>
        </w:tc>
        <w:tc>
          <w:tcPr>
            <w:tcW w:w="930" w:type="dxa"/>
            <w:tcBorders>
              <w:top w:val="single" w:sz="4" w:space="0" w:color="auto"/>
              <w:left w:val="single" w:sz="4" w:space="0" w:color="auto"/>
              <w:bottom w:val="single" w:sz="4" w:space="0" w:color="auto"/>
              <w:right w:val="single" w:sz="4" w:space="0" w:color="auto"/>
            </w:tcBorders>
          </w:tcPr>
          <w:p w14:paraId="2BBEDFC0"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44.4</w:t>
            </w:r>
          </w:p>
        </w:tc>
        <w:tc>
          <w:tcPr>
            <w:tcW w:w="1080" w:type="dxa"/>
            <w:tcBorders>
              <w:top w:val="single" w:sz="4" w:space="0" w:color="auto"/>
              <w:left w:val="single" w:sz="4" w:space="0" w:color="auto"/>
              <w:bottom w:val="single" w:sz="4" w:space="0" w:color="auto"/>
              <w:right w:val="single" w:sz="4" w:space="0" w:color="auto"/>
            </w:tcBorders>
          </w:tcPr>
          <w:p w14:paraId="549A8FC8"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12,002</w:t>
            </w:r>
          </w:p>
        </w:tc>
        <w:tc>
          <w:tcPr>
            <w:tcW w:w="1080" w:type="dxa"/>
            <w:tcBorders>
              <w:top w:val="single" w:sz="4" w:space="0" w:color="auto"/>
              <w:left w:val="single" w:sz="4" w:space="0" w:color="auto"/>
              <w:bottom w:val="single" w:sz="4" w:space="0" w:color="auto"/>
              <w:right w:val="single" w:sz="4" w:space="0" w:color="auto"/>
            </w:tcBorders>
          </w:tcPr>
          <w:p w14:paraId="488ACCFD"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39.0</w:t>
            </w:r>
          </w:p>
        </w:tc>
        <w:tc>
          <w:tcPr>
            <w:tcW w:w="1080" w:type="dxa"/>
            <w:tcBorders>
              <w:top w:val="single" w:sz="4" w:space="0" w:color="auto"/>
              <w:left w:val="single" w:sz="4" w:space="0" w:color="auto"/>
              <w:bottom w:val="single" w:sz="4" w:space="0" w:color="auto"/>
              <w:right w:val="single" w:sz="4" w:space="0" w:color="auto"/>
            </w:tcBorders>
            <w:vAlign w:val="center"/>
          </w:tcPr>
          <w:p w14:paraId="0FE6DDE1"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11,991</w:t>
            </w:r>
          </w:p>
        </w:tc>
        <w:tc>
          <w:tcPr>
            <w:tcW w:w="1080" w:type="dxa"/>
            <w:tcBorders>
              <w:top w:val="single" w:sz="4" w:space="0" w:color="auto"/>
              <w:left w:val="single" w:sz="4" w:space="0" w:color="auto"/>
              <w:bottom w:val="single" w:sz="4" w:space="0" w:color="auto"/>
              <w:right w:val="single" w:sz="4" w:space="0" w:color="auto"/>
            </w:tcBorders>
            <w:vAlign w:val="center"/>
          </w:tcPr>
          <w:p w14:paraId="26DABDA8" w14:textId="77777777" w:rsidR="000B3F50" w:rsidRPr="003A2B96" w:rsidRDefault="000B3F50" w:rsidP="00CD48ED">
            <w:pPr>
              <w:ind w:right="-720"/>
              <w:rPr>
                <w:rFonts w:ascii="Calibri" w:hAnsi="Calibri" w:cs="Lucida Sans Unicode"/>
                <w:sz w:val="20"/>
                <w:szCs w:val="20"/>
              </w:rPr>
            </w:pPr>
            <w:r>
              <w:rPr>
                <w:rFonts w:ascii="Calibri" w:hAnsi="Calibri" w:cs="Lucida Sans Unicode"/>
                <w:sz w:val="20"/>
                <w:szCs w:val="20"/>
              </w:rPr>
              <w:t>42.0</w:t>
            </w:r>
          </w:p>
        </w:tc>
        <w:tc>
          <w:tcPr>
            <w:tcW w:w="1068" w:type="dxa"/>
            <w:tcBorders>
              <w:top w:val="single" w:sz="4" w:space="0" w:color="auto"/>
              <w:left w:val="single" w:sz="4" w:space="0" w:color="auto"/>
              <w:bottom w:val="single" w:sz="4" w:space="0" w:color="auto"/>
              <w:right w:val="single" w:sz="4" w:space="0" w:color="auto"/>
            </w:tcBorders>
          </w:tcPr>
          <w:p w14:paraId="30AAA35C"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10,650</w:t>
            </w:r>
          </w:p>
        </w:tc>
        <w:tc>
          <w:tcPr>
            <w:tcW w:w="1092" w:type="dxa"/>
            <w:tcBorders>
              <w:top w:val="single" w:sz="4" w:space="0" w:color="auto"/>
              <w:left w:val="single" w:sz="4" w:space="0" w:color="auto"/>
              <w:bottom w:val="single" w:sz="4" w:space="0" w:color="auto"/>
              <w:right w:val="single" w:sz="4" w:space="0" w:color="auto"/>
            </w:tcBorders>
          </w:tcPr>
          <w:p w14:paraId="1D49C549" w14:textId="77777777" w:rsidR="000B3F50" w:rsidRDefault="000B3F50" w:rsidP="00CD48ED">
            <w:pPr>
              <w:ind w:right="-720"/>
              <w:rPr>
                <w:rFonts w:ascii="Calibri" w:hAnsi="Calibri" w:cs="Lucida Sans Unicode"/>
                <w:sz w:val="20"/>
                <w:szCs w:val="20"/>
              </w:rPr>
            </w:pPr>
            <w:r>
              <w:rPr>
                <w:rFonts w:ascii="Calibri" w:hAnsi="Calibri" w:cs="Lucida Sans Unicode"/>
                <w:sz w:val="20"/>
                <w:szCs w:val="20"/>
              </w:rPr>
              <w:t>36.8</w:t>
            </w:r>
          </w:p>
        </w:tc>
      </w:tr>
      <w:tr w:rsidR="000B3F50" w:rsidRPr="003A2B96" w14:paraId="7AF54E33"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64ED9117"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65+ Y</w:t>
            </w:r>
            <w:r w:rsidRPr="003A2B96">
              <w:rPr>
                <w:rFonts w:ascii="Calibri" w:hAnsi="Calibri" w:cs="Lucida Sans Unicode"/>
                <w:sz w:val="20"/>
                <w:szCs w:val="20"/>
              </w:rPr>
              <w:t>ears</w:t>
            </w:r>
          </w:p>
        </w:tc>
        <w:tc>
          <w:tcPr>
            <w:tcW w:w="960" w:type="dxa"/>
            <w:tcBorders>
              <w:top w:val="single" w:sz="4" w:space="0" w:color="auto"/>
              <w:left w:val="single" w:sz="4" w:space="0" w:color="auto"/>
              <w:bottom w:val="single" w:sz="4" w:space="0" w:color="auto"/>
              <w:right w:val="single" w:sz="4" w:space="0" w:color="auto"/>
            </w:tcBorders>
          </w:tcPr>
          <w:p w14:paraId="08E41E23"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4,700</w:t>
            </w:r>
          </w:p>
        </w:tc>
        <w:tc>
          <w:tcPr>
            <w:tcW w:w="930" w:type="dxa"/>
            <w:tcBorders>
              <w:top w:val="single" w:sz="4" w:space="0" w:color="auto"/>
              <w:left w:val="single" w:sz="4" w:space="0" w:color="auto"/>
              <w:bottom w:val="single" w:sz="4" w:space="0" w:color="auto"/>
              <w:right w:val="single" w:sz="4" w:space="0" w:color="auto"/>
            </w:tcBorders>
          </w:tcPr>
          <w:p w14:paraId="3264E514"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16.3</w:t>
            </w:r>
          </w:p>
        </w:tc>
        <w:tc>
          <w:tcPr>
            <w:tcW w:w="1080" w:type="dxa"/>
            <w:tcBorders>
              <w:top w:val="single" w:sz="4" w:space="0" w:color="auto"/>
              <w:left w:val="single" w:sz="4" w:space="0" w:color="auto"/>
              <w:bottom w:val="single" w:sz="4" w:space="0" w:color="auto"/>
              <w:right w:val="single" w:sz="4" w:space="0" w:color="auto"/>
            </w:tcBorders>
          </w:tcPr>
          <w:p w14:paraId="63B50B3A"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7,479</w:t>
            </w:r>
          </w:p>
        </w:tc>
        <w:tc>
          <w:tcPr>
            <w:tcW w:w="1080" w:type="dxa"/>
            <w:tcBorders>
              <w:top w:val="single" w:sz="4" w:space="0" w:color="auto"/>
              <w:left w:val="single" w:sz="4" w:space="0" w:color="auto"/>
              <w:bottom w:val="single" w:sz="4" w:space="0" w:color="auto"/>
              <w:right w:val="single" w:sz="4" w:space="0" w:color="auto"/>
            </w:tcBorders>
          </w:tcPr>
          <w:p w14:paraId="337C9D8B"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24.3</w:t>
            </w:r>
          </w:p>
        </w:tc>
        <w:tc>
          <w:tcPr>
            <w:tcW w:w="1080" w:type="dxa"/>
            <w:tcBorders>
              <w:top w:val="single" w:sz="4" w:space="0" w:color="auto"/>
              <w:left w:val="single" w:sz="4" w:space="0" w:color="auto"/>
              <w:bottom w:val="single" w:sz="4" w:space="0" w:color="auto"/>
              <w:right w:val="single" w:sz="4" w:space="0" w:color="auto"/>
            </w:tcBorders>
          </w:tcPr>
          <w:p w14:paraId="4EB49F6F" w14:textId="77777777" w:rsidR="000B3F50" w:rsidRDefault="000B3F50" w:rsidP="00CD48ED">
            <w:pPr>
              <w:ind w:right="-720"/>
              <w:rPr>
                <w:rFonts w:ascii="Calibri" w:hAnsi="Calibri"/>
                <w:sz w:val="20"/>
              </w:rPr>
            </w:pPr>
            <w:r>
              <w:rPr>
                <w:rFonts w:ascii="Calibri" w:hAnsi="Calibri"/>
                <w:sz w:val="20"/>
              </w:rPr>
              <w:t>7,663</w:t>
            </w:r>
          </w:p>
        </w:tc>
        <w:tc>
          <w:tcPr>
            <w:tcW w:w="1080" w:type="dxa"/>
            <w:tcBorders>
              <w:top w:val="single" w:sz="4" w:space="0" w:color="auto"/>
              <w:left w:val="single" w:sz="4" w:space="0" w:color="auto"/>
              <w:bottom w:val="single" w:sz="4" w:space="0" w:color="auto"/>
              <w:right w:val="single" w:sz="4" w:space="0" w:color="auto"/>
            </w:tcBorders>
          </w:tcPr>
          <w:p w14:paraId="0255392C" w14:textId="77777777" w:rsidR="000B3F50" w:rsidRDefault="000B3F50" w:rsidP="00CD48ED">
            <w:pPr>
              <w:ind w:right="-720"/>
              <w:rPr>
                <w:rFonts w:ascii="Calibri" w:hAnsi="Calibri"/>
                <w:sz w:val="20"/>
              </w:rPr>
            </w:pPr>
            <w:r>
              <w:rPr>
                <w:rFonts w:ascii="Calibri" w:hAnsi="Calibri"/>
                <w:sz w:val="20"/>
              </w:rPr>
              <w:t>26.9</w:t>
            </w:r>
          </w:p>
        </w:tc>
        <w:tc>
          <w:tcPr>
            <w:tcW w:w="1068" w:type="dxa"/>
            <w:tcBorders>
              <w:top w:val="single" w:sz="4" w:space="0" w:color="auto"/>
              <w:left w:val="single" w:sz="4" w:space="0" w:color="auto"/>
              <w:bottom w:val="single" w:sz="4" w:space="0" w:color="auto"/>
              <w:right w:val="single" w:sz="4" w:space="0" w:color="auto"/>
            </w:tcBorders>
          </w:tcPr>
          <w:p w14:paraId="1A7F0A47" w14:textId="77777777" w:rsidR="000B3F50" w:rsidRDefault="000B3F50" w:rsidP="00CD48ED">
            <w:pPr>
              <w:ind w:right="-720"/>
              <w:rPr>
                <w:rFonts w:ascii="Calibri" w:hAnsi="Calibri"/>
                <w:sz w:val="20"/>
              </w:rPr>
            </w:pPr>
            <w:r>
              <w:rPr>
                <w:rFonts w:ascii="Calibri" w:hAnsi="Calibri"/>
                <w:sz w:val="20"/>
              </w:rPr>
              <w:t>6,940</w:t>
            </w:r>
          </w:p>
        </w:tc>
        <w:tc>
          <w:tcPr>
            <w:tcW w:w="1092" w:type="dxa"/>
            <w:tcBorders>
              <w:top w:val="single" w:sz="4" w:space="0" w:color="auto"/>
              <w:left w:val="single" w:sz="4" w:space="0" w:color="auto"/>
              <w:bottom w:val="single" w:sz="4" w:space="0" w:color="auto"/>
              <w:right w:val="single" w:sz="4" w:space="0" w:color="auto"/>
            </w:tcBorders>
          </w:tcPr>
          <w:p w14:paraId="16BA0F9A" w14:textId="77777777" w:rsidR="000B3F50" w:rsidRDefault="000B3F50" w:rsidP="00CD48ED">
            <w:pPr>
              <w:ind w:right="-720"/>
              <w:rPr>
                <w:rFonts w:ascii="Calibri" w:hAnsi="Calibri"/>
                <w:sz w:val="20"/>
              </w:rPr>
            </w:pPr>
            <w:r>
              <w:rPr>
                <w:rFonts w:ascii="Calibri" w:hAnsi="Calibri"/>
                <w:sz w:val="20"/>
              </w:rPr>
              <w:t>24.0</w:t>
            </w:r>
          </w:p>
        </w:tc>
      </w:tr>
      <w:tr w:rsidR="000B3F50" w:rsidRPr="003A2B96" w14:paraId="5064CB81" w14:textId="77777777" w:rsidTr="00CD48ED">
        <w:trPr>
          <w:jc w:val="center"/>
        </w:trPr>
        <w:tc>
          <w:tcPr>
            <w:tcW w:w="1530" w:type="dxa"/>
            <w:tcBorders>
              <w:top w:val="single" w:sz="4" w:space="0" w:color="auto"/>
              <w:left w:val="single" w:sz="4" w:space="0" w:color="auto"/>
              <w:bottom w:val="single" w:sz="4" w:space="0" w:color="auto"/>
              <w:right w:val="single" w:sz="4" w:space="0" w:color="auto"/>
            </w:tcBorders>
          </w:tcPr>
          <w:p w14:paraId="2FC5F0C4" w14:textId="77777777" w:rsidR="000B3F50" w:rsidRPr="003A2B96" w:rsidRDefault="000B3F50" w:rsidP="00CD48ED">
            <w:pPr>
              <w:ind w:right="-720"/>
              <w:rPr>
                <w:rFonts w:ascii="Calibri" w:hAnsi="Calibri" w:cs="Lucida Sans Unicode"/>
                <w:sz w:val="20"/>
                <w:szCs w:val="20"/>
              </w:rPr>
            </w:pPr>
            <w:r w:rsidRPr="003A2B96">
              <w:rPr>
                <w:rFonts w:ascii="Calibri" w:hAnsi="Calibri" w:cs="Lucida Sans Unicode"/>
                <w:sz w:val="20"/>
                <w:szCs w:val="20"/>
              </w:rPr>
              <w:t>Total</w:t>
            </w:r>
          </w:p>
        </w:tc>
        <w:tc>
          <w:tcPr>
            <w:tcW w:w="960" w:type="dxa"/>
            <w:tcBorders>
              <w:top w:val="single" w:sz="4" w:space="0" w:color="auto"/>
              <w:left w:val="single" w:sz="4" w:space="0" w:color="auto"/>
              <w:bottom w:val="single" w:sz="4" w:space="0" w:color="auto"/>
              <w:right w:val="single" w:sz="4" w:space="0" w:color="auto"/>
            </w:tcBorders>
          </w:tcPr>
          <w:p w14:paraId="57B25AF4"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28,886</w:t>
            </w:r>
          </w:p>
        </w:tc>
        <w:tc>
          <w:tcPr>
            <w:tcW w:w="930" w:type="dxa"/>
            <w:tcBorders>
              <w:top w:val="single" w:sz="4" w:space="0" w:color="auto"/>
              <w:left w:val="single" w:sz="4" w:space="0" w:color="auto"/>
              <w:bottom w:val="single" w:sz="4" w:space="0" w:color="auto"/>
              <w:right w:val="single" w:sz="4" w:space="0" w:color="auto"/>
            </w:tcBorders>
          </w:tcPr>
          <w:p w14:paraId="705834FB"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100.0</w:t>
            </w:r>
          </w:p>
        </w:tc>
        <w:tc>
          <w:tcPr>
            <w:tcW w:w="1080" w:type="dxa"/>
            <w:tcBorders>
              <w:top w:val="single" w:sz="4" w:space="0" w:color="auto"/>
              <w:left w:val="single" w:sz="4" w:space="0" w:color="auto"/>
              <w:bottom w:val="single" w:sz="4" w:space="0" w:color="auto"/>
              <w:right w:val="single" w:sz="4" w:space="0" w:color="auto"/>
            </w:tcBorders>
          </w:tcPr>
          <w:p w14:paraId="02F56212"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30,746</w:t>
            </w:r>
          </w:p>
        </w:tc>
        <w:tc>
          <w:tcPr>
            <w:tcW w:w="1080" w:type="dxa"/>
            <w:tcBorders>
              <w:top w:val="single" w:sz="4" w:space="0" w:color="auto"/>
              <w:left w:val="single" w:sz="4" w:space="0" w:color="auto"/>
              <w:bottom w:val="single" w:sz="4" w:space="0" w:color="auto"/>
              <w:right w:val="single" w:sz="4" w:space="0" w:color="auto"/>
            </w:tcBorders>
          </w:tcPr>
          <w:p w14:paraId="1ABFFAC6" w14:textId="77777777" w:rsidR="000B3F50" w:rsidRPr="003A2B96" w:rsidRDefault="000B3F50" w:rsidP="00CD48ED">
            <w:pPr>
              <w:rPr>
                <w:rFonts w:ascii="Calibri" w:hAnsi="Calibri" w:cs="Lucida Sans Unicode"/>
                <w:sz w:val="20"/>
                <w:szCs w:val="20"/>
              </w:rPr>
            </w:pPr>
            <w:r>
              <w:rPr>
                <w:rFonts w:ascii="Calibri" w:hAnsi="Calibri" w:cs="Lucida Sans Unicode"/>
                <w:sz w:val="20"/>
                <w:szCs w:val="20"/>
              </w:rPr>
              <w:t>100.0</w:t>
            </w:r>
          </w:p>
        </w:tc>
        <w:tc>
          <w:tcPr>
            <w:tcW w:w="1080" w:type="dxa"/>
            <w:tcBorders>
              <w:top w:val="single" w:sz="4" w:space="0" w:color="auto"/>
              <w:left w:val="single" w:sz="4" w:space="0" w:color="auto"/>
              <w:bottom w:val="single" w:sz="4" w:space="0" w:color="auto"/>
              <w:right w:val="single" w:sz="4" w:space="0" w:color="auto"/>
            </w:tcBorders>
          </w:tcPr>
          <w:p w14:paraId="5204342E" w14:textId="77777777" w:rsidR="000B3F50" w:rsidRDefault="000B3F50" w:rsidP="00CD48ED">
            <w:pPr>
              <w:ind w:right="-720"/>
              <w:rPr>
                <w:rFonts w:ascii="Calibri" w:hAnsi="Calibri"/>
                <w:sz w:val="20"/>
              </w:rPr>
            </w:pPr>
            <w:r>
              <w:rPr>
                <w:rFonts w:ascii="Calibri" w:hAnsi="Calibri"/>
                <w:sz w:val="20"/>
              </w:rPr>
              <w:t>28,539</w:t>
            </w:r>
          </w:p>
        </w:tc>
        <w:tc>
          <w:tcPr>
            <w:tcW w:w="1080" w:type="dxa"/>
            <w:tcBorders>
              <w:top w:val="single" w:sz="4" w:space="0" w:color="auto"/>
              <w:left w:val="single" w:sz="4" w:space="0" w:color="auto"/>
              <w:bottom w:val="single" w:sz="4" w:space="0" w:color="auto"/>
              <w:right w:val="single" w:sz="4" w:space="0" w:color="auto"/>
            </w:tcBorders>
          </w:tcPr>
          <w:p w14:paraId="0652A6AD" w14:textId="77777777" w:rsidR="000B3F50" w:rsidRDefault="000B3F50" w:rsidP="00CD48ED">
            <w:pPr>
              <w:ind w:right="-720"/>
              <w:rPr>
                <w:rFonts w:ascii="Calibri" w:hAnsi="Calibri"/>
                <w:sz w:val="20"/>
              </w:rPr>
            </w:pPr>
            <w:r>
              <w:rPr>
                <w:rFonts w:ascii="Calibri" w:hAnsi="Calibri"/>
                <w:sz w:val="20"/>
              </w:rPr>
              <w:t>100.0</w:t>
            </w:r>
          </w:p>
        </w:tc>
        <w:tc>
          <w:tcPr>
            <w:tcW w:w="1068" w:type="dxa"/>
            <w:tcBorders>
              <w:top w:val="single" w:sz="4" w:space="0" w:color="auto"/>
              <w:left w:val="single" w:sz="4" w:space="0" w:color="auto"/>
              <w:bottom w:val="single" w:sz="4" w:space="0" w:color="auto"/>
              <w:right w:val="single" w:sz="4" w:space="0" w:color="auto"/>
            </w:tcBorders>
          </w:tcPr>
          <w:p w14:paraId="2BD0E5C8" w14:textId="77777777" w:rsidR="000B3F50" w:rsidRDefault="000B3F50" w:rsidP="00CD48ED">
            <w:pPr>
              <w:ind w:right="-720"/>
              <w:rPr>
                <w:rFonts w:ascii="Calibri" w:hAnsi="Calibri"/>
                <w:sz w:val="20"/>
              </w:rPr>
            </w:pPr>
            <w:r>
              <w:rPr>
                <w:rFonts w:ascii="Calibri" w:hAnsi="Calibri"/>
                <w:sz w:val="20"/>
              </w:rPr>
              <w:t>28,960</w:t>
            </w:r>
          </w:p>
        </w:tc>
        <w:tc>
          <w:tcPr>
            <w:tcW w:w="1092" w:type="dxa"/>
            <w:tcBorders>
              <w:top w:val="single" w:sz="4" w:space="0" w:color="auto"/>
              <w:left w:val="single" w:sz="4" w:space="0" w:color="auto"/>
              <w:bottom w:val="single" w:sz="4" w:space="0" w:color="auto"/>
              <w:right w:val="single" w:sz="4" w:space="0" w:color="auto"/>
            </w:tcBorders>
          </w:tcPr>
          <w:p w14:paraId="080C0692" w14:textId="586BF7B6" w:rsidR="000B3F50" w:rsidRDefault="000B3F50" w:rsidP="00CD48ED">
            <w:pPr>
              <w:ind w:right="-720"/>
              <w:rPr>
                <w:rFonts w:ascii="Calibri" w:hAnsi="Calibri"/>
                <w:sz w:val="20"/>
              </w:rPr>
            </w:pPr>
            <w:r>
              <w:rPr>
                <w:rFonts w:ascii="Calibri" w:hAnsi="Calibri"/>
                <w:sz w:val="20"/>
              </w:rPr>
              <w:t>100.0</w:t>
            </w:r>
          </w:p>
        </w:tc>
      </w:tr>
    </w:tbl>
    <w:p w14:paraId="45E0041B" w14:textId="0A529E65" w:rsidR="00794293" w:rsidRDefault="00794293" w:rsidP="00794293">
      <w:pPr>
        <w:tabs>
          <w:tab w:val="left" w:pos="9360"/>
        </w:tabs>
        <w:rPr>
          <w:rFonts w:ascii="Calibri" w:hAnsi="Calibri"/>
          <w:sz w:val="20"/>
          <w:szCs w:val="20"/>
        </w:rPr>
      </w:pPr>
      <w:r w:rsidRPr="00630919">
        <w:rPr>
          <w:rFonts w:ascii="Calibri" w:hAnsi="Calibri"/>
          <w:sz w:val="20"/>
          <w:szCs w:val="20"/>
        </w:rPr>
        <w:t xml:space="preserve">Sources:  2010 U.S. Census Bureau, </w:t>
      </w:r>
      <w:r w:rsidRPr="00630919">
        <w:rPr>
          <w:rFonts w:ascii="Calibri" w:hAnsi="Calibri" w:cs="Lucida Sans Unicode"/>
          <w:sz w:val="20"/>
          <w:szCs w:val="20"/>
        </w:rPr>
        <w:t xml:space="preserve">Metropolitan Area Planning Council’s Population and Housing Demand Projections </w:t>
      </w:r>
      <w:r>
        <w:rPr>
          <w:rFonts w:ascii="Calibri" w:hAnsi="Calibri" w:cs="Lucida Sans Unicode"/>
          <w:sz w:val="20"/>
          <w:szCs w:val="20"/>
        </w:rPr>
        <w:t>based on the Stronger Region Scenario</w:t>
      </w:r>
      <w:r w:rsidRPr="00630919">
        <w:rPr>
          <w:rFonts w:ascii="Calibri" w:hAnsi="Calibri" w:cs="Lucida Sans Unicode"/>
          <w:sz w:val="20"/>
          <w:szCs w:val="20"/>
        </w:rPr>
        <w:t>, January 2014</w:t>
      </w:r>
      <w:r>
        <w:rPr>
          <w:rFonts w:ascii="Calibri" w:hAnsi="Calibri" w:cs="Lucida Sans Unicode"/>
          <w:sz w:val="20"/>
          <w:szCs w:val="20"/>
        </w:rPr>
        <w:t>;</w:t>
      </w:r>
      <w:r w:rsidRPr="00630919">
        <w:rPr>
          <w:rFonts w:ascii="Calibri" w:hAnsi="Calibri" w:cs="Lucida Sans Unicode"/>
          <w:iCs/>
          <w:sz w:val="20"/>
          <w:szCs w:val="20"/>
        </w:rPr>
        <w:t xml:space="preserve"> University of Massachusetts, Donahue Institute, State Data Center</w:t>
      </w:r>
      <w:r>
        <w:rPr>
          <w:rFonts w:ascii="Calibri" w:hAnsi="Calibri" w:cs="Lucida Sans Unicode"/>
          <w:iCs/>
          <w:sz w:val="20"/>
          <w:szCs w:val="20"/>
        </w:rPr>
        <w:t>; and</w:t>
      </w:r>
      <w:r w:rsidRPr="00630919">
        <w:rPr>
          <w:rFonts w:ascii="Calibri" w:hAnsi="Calibri"/>
          <w:sz w:val="20"/>
          <w:szCs w:val="20"/>
        </w:rPr>
        <w:t xml:space="preserve"> Demographic Study conducted by McKibben Demographics for the Needham Public Schools, </w:t>
      </w:r>
      <w:r w:rsidR="004844F1" w:rsidRPr="004844F1">
        <w:rPr>
          <w:rFonts w:asciiTheme="minorHAnsi" w:hAnsiTheme="minorHAnsi"/>
          <w:sz w:val="20"/>
          <w:szCs w:val="20"/>
        </w:rPr>
        <w:t>January 2, 2019</w:t>
      </w:r>
      <w:r w:rsidRPr="00630919">
        <w:rPr>
          <w:rFonts w:ascii="Calibri" w:hAnsi="Calibri"/>
          <w:sz w:val="20"/>
          <w:szCs w:val="20"/>
        </w:rPr>
        <w:t>.</w:t>
      </w:r>
    </w:p>
    <w:p w14:paraId="3E0A5D65" w14:textId="77777777" w:rsidR="00794293" w:rsidRDefault="00794293" w:rsidP="00794293">
      <w:pPr>
        <w:tabs>
          <w:tab w:val="left" w:pos="9360"/>
        </w:tabs>
        <w:rPr>
          <w:rFonts w:ascii="Calibri" w:hAnsi="Calibri"/>
          <w:sz w:val="20"/>
          <w:szCs w:val="20"/>
        </w:rPr>
      </w:pPr>
    </w:p>
    <w:p w14:paraId="2EADC083" w14:textId="77777777" w:rsidR="00794293" w:rsidRPr="00630919" w:rsidRDefault="00794293" w:rsidP="00794293">
      <w:pPr>
        <w:tabs>
          <w:tab w:val="left" w:pos="9360"/>
        </w:tabs>
        <w:jc w:val="center"/>
        <w:rPr>
          <w:rFonts w:ascii="Calibri" w:hAnsi="Calibri" w:cs="Lucida Sans Unicode"/>
          <w:sz w:val="20"/>
          <w:szCs w:val="20"/>
        </w:rPr>
      </w:pPr>
      <w:r>
        <w:rPr>
          <w:noProof/>
        </w:rPr>
        <w:drawing>
          <wp:inline distT="0" distB="0" distL="0" distR="0" wp14:anchorId="3932A740" wp14:editId="68C4D912">
            <wp:extent cx="4552950" cy="2747962"/>
            <wp:effectExtent l="0" t="0" r="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BF2CBE" w14:textId="77777777" w:rsidR="00794293" w:rsidRDefault="00794293" w:rsidP="00794293">
      <w:pPr>
        <w:jc w:val="both"/>
      </w:pPr>
    </w:p>
    <w:p w14:paraId="732455FA" w14:textId="77777777" w:rsidR="000B3F50" w:rsidRDefault="000B3F50" w:rsidP="000B3F50">
      <w:pPr>
        <w:jc w:val="both"/>
        <w:rPr>
          <w:rFonts w:asciiTheme="minorHAnsi" w:hAnsiTheme="minorHAnsi"/>
          <w:sz w:val="22"/>
          <w:szCs w:val="22"/>
        </w:rPr>
      </w:pPr>
      <w:r>
        <w:rPr>
          <w:rFonts w:asciiTheme="minorHAnsi" w:hAnsiTheme="minorHAnsi"/>
          <w:sz w:val="22"/>
          <w:szCs w:val="22"/>
        </w:rPr>
        <w:t>Previous fiscal analyses of new Chapter 40B development or the Mixed Use Overlay District as well as some updated cost information suggest the following:</w:t>
      </w:r>
    </w:p>
    <w:p w14:paraId="540359AC" w14:textId="77777777" w:rsidR="000B3F50" w:rsidRDefault="000B3F50" w:rsidP="000B3F50">
      <w:pPr>
        <w:jc w:val="both"/>
        <w:rPr>
          <w:rFonts w:asciiTheme="minorHAnsi" w:hAnsiTheme="minorHAnsi"/>
          <w:sz w:val="22"/>
          <w:szCs w:val="22"/>
        </w:rPr>
      </w:pPr>
    </w:p>
    <w:p w14:paraId="443CC693" w14:textId="68C2ED28" w:rsidR="00420362" w:rsidRDefault="00420362" w:rsidP="005D3FC9">
      <w:pPr>
        <w:pStyle w:val="ListParagraph"/>
        <w:numPr>
          <w:ilvl w:val="0"/>
          <w:numId w:val="12"/>
        </w:numPr>
        <w:jc w:val="both"/>
        <w:rPr>
          <w:rFonts w:ascii="Calibri" w:hAnsi="Calibri"/>
          <w:sz w:val="22"/>
          <w:szCs w:val="22"/>
        </w:rPr>
      </w:pPr>
      <w:r w:rsidRPr="00420362">
        <w:rPr>
          <w:rFonts w:ascii="Calibri" w:hAnsi="Calibri"/>
          <w:sz w:val="22"/>
          <w:szCs w:val="22"/>
        </w:rPr>
        <w:t xml:space="preserve">The </w:t>
      </w:r>
      <w:r>
        <w:rPr>
          <w:rFonts w:ascii="Calibri" w:hAnsi="Calibri"/>
          <w:sz w:val="22"/>
          <w:szCs w:val="22"/>
        </w:rPr>
        <w:t xml:space="preserve">Needham Public School </w:t>
      </w:r>
      <w:r w:rsidRPr="00420362">
        <w:rPr>
          <w:rFonts w:ascii="Calibri" w:hAnsi="Calibri"/>
          <w:sz w:val="22"/>
          <w:szCs w:val="22"/>
        </w:rPr>
        <w:t xml:space="preserve">projections suggest a decline of 169 students </w:t>
      </w:r>
      <w:r>
        <w:rPr>
          <w:rFonts w:ascii="Calibri" w:hAnsi="Calibri"/>
          <w:sz w:val="22"/>
          <w:szCs w:val="22"/>
        </w:rPr>
        <w:t>between 2025-2026</w:t>
      </w:r>
      <w:r w:rsidR="00BC1747">
        <w:rPr>
          <w:rFonts w:ascii="Calibri" w:hAnsi="Calibri"/>
          <w:sz w:val="22"/>
          <w:szCs w:val="22"/>
        </w:rPr>
        <w:t xml:space="preserve"> and</w:t>
      </w:r>
      <w:r w:rsidRPr="00420362">
        <w:rPr>
          <w:rFonts w:ascii="Calibri" w:hAnsi="Calibri"/>
          <w:sz w:val="22"/>
          <w:szCs w:val="22"/>
        </w:rPr>
        <w:t xml:space="preserve"> 2033-34, or from 5,946 to 5,777 students. These projections indicate a much higher level of growth in enrollment than is currently occurring with the 2020-2021 enrollment at 5,483 </w:t>
      </w:r>
      <w:r w:rsidRPr="00420362">
        <w:rPr>
          <w:rFonts w:ascii="Calibri" w:hAnsi="Calibri"/>
          <w:sz w:val="22"/>
          <w:szCs w:val="22"/>
        </w:rPr>
        <w:lastRenderedPageBreak/>
        <w:t>students as opposed to the forecasted 5,813.</w:t>
      </w:r>
      <w:r w:rsidR="00BC1747" w:rsidRPr="00BC1747">
        <w:rPr>
          <w:rFonts w:asciiTheme="minorHAnsi" w:hAnsiTheme="minorHAnsi"/>
          <w:sz w:val="22"/>
          <w:szCs w:val="22"/>
        </w:rPr>
        <w:t xml:space="preserve"> </w:t>
      </w:r>
      <w:r w:rsidR="00BC1747">
        <w:rPr>
          <w:rFonts w:asciiTheme="minorHAnsi" w:hAnsiTheme="minorHAnsi"/>
          <w:sz w:val="22"/>
          <w:szCs w:val="22"/>
        </w:rPr>
        <w:t xml:space="preserve"> </w:t>
      </w:r>
      <w:r w:rsidR="00BC1747" w:rsidRPr="00FB5F86">
        <w:rPr>
          <w:rFonts w:asciiTheme="minorHAnsi" w:hAnsiTheme="minorHAnsi"/>
          <w:sz w:val="22"/>
          <w:szCs w:val="22"/>
        </w:rPr>
        <w:t>With average school costs of approximately $15,</w:t>
      </w:r>
      <w:r w:rsidR="00AA45D3">
        <w:rPr>
          <w:rFonts w:asciiTheme="minorHAnsi" w:hAnsiTheme="minorHAnsi"/>
          <w:sz w:val="22"/>
          <w:szCs w:val="22"/>
        </w:rPr>
        <w:t>0</w:t>
      </w:r>
      <w:r w:rsidR="00BC1747" w:rsidRPr="00FB5F86">
        <w:rPr>
          <w:rFonts w:asciiTheme="minorHAnsi" w:hAnsiTheme="minorHAnsi"/>
          <w:sz w:val="22"/>
          <w:szCs w:val="22"/>
        </w:rPr>
        <w:t xml:space="preserve">00 per student, savings would be significant.  </w:t>
      </w:r>
    </w:p>
    <w:p w14:paraId="3A48BC82" w14:textId="77777777" w:rsidR="00BC1747" w:rsidRPr="00420362" w:rsidRDefault="00BC1747" w:rsidP="00BC1747">
      <w:pPr>
        <w:pStyle w:val="ListParagraph"/>
        <w:jc w:val="both"/>
        <w:rPr>
          <w:rFonts w:ascii="Calibri" w:hAnsi="Calibri"/>
          <w:sz w:val="22"/>
          <w:szCs w:val="22"/>
        </w:rPr>
      </w:pPr>
    </w:p>
    <w:p w14:paraId="22C9F212" w14:textId="552CB919" w:rsidR="000B3F50" w:rsidRPr="00A3728B" w:rsidRDefault="000B3F50" w:rsidP="005D3FC9">
      <w:pPr>
        <w:pStyle w:val="ListParagraph"/>
        <w:numPr>
          <w:ilvl w:val="0"/>
          <w:numId w:val="12"/>
        </w:numPr>
        <w:jc w:val="both"/>
      </w:pPr>
      <w:r>
        <w:rPr>
          <w:rFonts w:asciiTheme="minorHAnsi" w:hAnsiTheme="minorHAnsi"/>
          <w:sz w:val="22"/>
          <w:szCs w:val="22"/>
        </w:rPr>
        <w:t>Because Needham is so close to buildout</w:t>
      </w:r>
      <w:r w:rsidR="009C466F">
        <w:rPr>
          <w:rFonts w:asciiTheme="minorHAnsi" w:hAnsiTheme="minorHAnsi"/>
          <w:sz w:val="22"/>
          <w:szCs w:val="22"/>
        </w:rPr>
        <w:t xml:space="preserve"> of single-family homes</w:t>
      </w:r>
      <w:r>
        <w:rPr>
          <w:rFonts w:asciiTheme="minorHAnsi" w:hAnsiTheme="minorHAnsi"/>
          <w:sz w:val="22"/>
          <w:szCs w:val="22"/>
        </w:rPr>
        <w:t>, any new development is likely to involve new multi-family development in business areas and/or the redevelopment of existing properties that will be better oriented towards young single adults, young couples</w:t>
      </w:r>
      <w:r w:rsidR="00420362">
        <w:rPr>
          <w:rFonts w:asciiTheme="minorHAnsi" w:hAnsiTheme="minorHAnsi"/>
          <w:sz w:val="22"/>
          <w:szCs w:val="22"/>
        </w:rPr>
        <w:t>,</w:t>
      </w:r>
      <w:r>
        <w:rPr>
          <w:rFonts w:asciiTheme="minorHAnsi" w:hAnsiTheme="minorHAnsi"/>
          <w:sz w:val="22"/>
          <w:szCs w:val="22"/>
        </w:rPr>
        <w:t xml:space="preserve"> and downsizers who put less demand on local services. </w:t>
      </w:r>
    </w:p>
    <w:p w14:paraId="385867EB" w14:textId="77777777" w:rsidR="000B3F50" w:rsidRPr="00A3728B" w:rsidRDefault="000B3F50" w:rsidP="000B3F50">
      <w:pPr>
        <w:pStyle w:val="ListParagraph"/>
        <w:rPr>
          <w:rFonts w:asciiTheme="minorHAnsi" w:hAnsiTheme="minorHAnsi"/>
          <w:sz w:val="22"/>
          <w:szCs w:val="22"/>
        </w:rPr>
      </w:pPr>
    </w:p>
    <w:p w14:paraId="329771DF" w14:textId="56A9BA33" w:rsidR="000B3F50" w:rsidRPr="00B17A5E" w:rsidRDefault="000B3F50" w:rsidP="005D3FC9">
      <w:pPr>
        <w:pStyle w:val="ListParagraph"/>
        <w:numPr>
          <w:ilvl w:val="0"/>
          <w:numId w:val="12"/>
        </w:numPr>
        <w:jc w:val="both"/>
      </w:pPr>
      <w:r>
        <w:rPr>
          <w:rFonts w:asciiTheme="minorHAnsi" w:hAnsiTheme="minorHAnsi"/>
          <w:sz w:val="22"/>
          <w:szCs w:val="22"/>
        </w:rPr>
        <w:t>With time and the turnover of homes by empty nesters, it is likely that the population will increase after 2030 as families reoccupy the homes with accompanied increases in the number of children</w:t>
      </w:r>
      <w:r w:rsidR="00177DF0">
        <w:rPr>
          <w:rFonts w:asciiTheme="minorHAnsi" w:hAnsiTheme="minorHAnsi"/>
          <w:sz w:val="22"/>
          <w:szCs w:val="22"/>
        </w:rPr>
        <w:t>,</w:t>
      </w:r>
      <w:r>
        <w:rPr>
          <w:rFonts w:asciiTheme="minorHAnsi" w:hAnsiTheme="minorHAnsi"/>
          <w:sz w:val="22"/>
          <w:szCs w:val="22"/>
        </w:rPr>
        <w:t xml:space="preserve"> school enrollments</w:t>
      </w:r>
      <w:r w:rsidR="00177DF0">
        <w:rPr>
          <w:rFonts w:asciiTheme="minorHAnsi" w:hAnsiTheme="minorHAnsi"/>
          <w:sz w:val="22"/>
          <w:szCs w:val="22"/>
        </w:rPr>
        <w:t>,</w:t>
      </w:r>
      <w:r>
        <w:rPr>
          <w:rFonts w:asciiTheme="minorHAnsi" w:hAnsiTheme="minorHAnsi"/>
          <w:sz w:val="22"/>
          <w:szCs w:val="22"/>
        </w:rPr>
        <w:t xml:space="preserve"> and a higher demand for local services. </w:t>
      </w:r>
    </w:p>
    <w:p w14:paraId="76F84722" w14:textId="6C96ECD2" w:rsidR="008772FC" w:rsidRPr="00EB5D55" w:rsidRDefault="008772FC" w:rsidP="008772FC">
      <w:pPr>
        <w:pStyle w:val="Heading3"/>
        <w:ind w:right="-720"/>
        <w:rPr>
          <w:rFonts w:asciiTheme="minorHAnsi" w:hAnsiTheme="minorHAnsi"/>
          <w:color w:val="1F497D" w:themeColor="text2"/>
        </w:rPr>
      </w:pPr>
      <w:bookmarkStart w:id="5" w:name="_Toc2252329"/>
      <w:r w:rsidRPr="00EB5D55">
        <w:rPr>
          <w:rFonts w:asciiTheme="minorHAnsi" w:hAnsiTheme="minorHAnsi"/>
          <w:color w:val="1F497D" w:themeColor="text2"/>
        </w:rPr>
        <w:t>4.</w:t>
      </w:r>
      <w:r w:rsidRPr="00EB5D55">
        <w:rPr>
          <w:rFonts w:asciiTheme="minorHAnsi" w:hAnsiTheme="minorHAnsi"/>
          <w:color w:val="1F497D" w:themeColor="text2"/>
        </w:rPr>
        <w:tab/>
        <w:t>Households – More families</w:t>
      </w:r>
      <w:r w:rsidR="003935DC">
        <w:rPr>
          <w:rFonts w:asciiTheme="minorHAnsi" w:hAnsiTheme="minorHAnsi"/>
          <w:color w:val="1F497D" w:themeColor="text2"/>
        </w:rPr>
        <w:t xml:space="preserve"> </w:t>
      </w:r>
      <w:r w:rsidR="002C3DEC">
        <w:rPr>
          <w:rFonts w:asciiTheme="minorHAnsi" w:hAnsiTheme="minorHAnsi"/>
          <w:color w:val="1F497D" w:themeColor="text2"/>
        </w:rPr>
        <w:t>and</w:t>
      </w:r>
      <w:r w:rsidR="001B322C">
        <w:rPr>
          <w:rFonts w:asciiTheme="minorHAnsi" w:hAnsiTheme="minorHAnsi"/>
          <w:color w:val="1F497D" w:themeColor="text2"/>
        </w:rPr>
        <w:t xml:space="preserve"> recent</w:t>
      </w:r>
      <w:r w:rsidR="002C3DEC">
        <w:rPr>
          <w:rFonts w:asciiTheme="minorHAnsi" w:hAnsiTheme="minorHAnsi"/>
          <w:color w:val="1F497D" w:themeColor="text2"/>
        </w:rPr>
        <w:t xml:space="preserve"> increases in household size</w:t>
      </w:r>
      <w:r>
        <w:rPr>
          <w:rStyle w:val="FootnoteReference"/>
          <w:rFonts w:asciiTheme="minorHAnsi" w:hAnsiTheme="minorHAnsi"/>
          <w:color w:val="1F497D" w:themeColor="text2"/>
        </w:rPr>
        <w:footnoteReference w:id="16"/>
      </w:r>
      <w:bookmarkEnd w:id="5"/>
      <w:r w:rsidRPr="00EB5D55">
        <w:rPr>
          <w:rFonts w:asciiTheme="minorHAnsi" w:hAnsiTheme="minorHAnsi"/>
          <w:color w:val="1F497D" w:themeColor="text2"/>
        </w:rPr>
        <w:t xml:space="preserve"> </w:t>
      </w:r>
    </w:p>
    <w:p w14:paraId="4D8B9CBF" w14:textId="5736C84D" w:rsidR="0060793C" w:rsidRDefault="008772FC" w:rsidP="0060793C">
      <w:pPr>
        <w:pStyle w:val="BodyText"/>
        <w:spacing w:after="0"/>
        <w:jc w:val="both"/>
        <w:rPr>
          <w:rFonts w:ascii="Calibri" w:hAnsi="Calibri"/>
          <w:bCs/>
          <w:sz w:val="22"/>
          <w:szCs w:val="22"/>
        </w:rPr>
      </w:pPr>
      <w:r w:rsidRPr="00445E74">
        <w:rPr>
          <w:rFonts w:ascii="Calibri" w:hAnsi="Calibri"/>
          <w:bCs/>
          <w:sz w:val="22"/>
          <w:szCs w:val="22"/>
        </w:rPr>
        <w:t xml:space="preserve">As shown in Table </w:t>
      </w:r>
      <w:r w:rsidR="00E2770A">
        <w:rPr>
          <w:rFonts w:ascii="Calibri" w:hAnsi="Calibri"/>
          <w:bCs/>
          <w:sz w:val="22"/>
          <w:szCs w:val="22"/>
        </w:rPr>
        <w:t>III-9</w:t>
      </w:r>
      <w:r w:rsidRPr="00445E74">
        <w:rPr>
          <w:rFonts w:ascii="Calibri" w:hAnsi="Calibri"/>
          <w:bCs/>
          <w:sz w:val="22"/>
          <w:szCs w:val="22"/>
        </w:rPr>
        <w:t>, after an increase in the number of households between 1990 and 2000, the number of households fell by 271 or 2.6% to 10,341 by 2010</w:t>
      </w:r>
      <w:r w:rsidR="00177DF0">
        <w:rPr>
          <w:rFonts w:ascii="Calibri" w:hAnsi="Calibri"/>
          <w:bCs/>
          <w:sz w:val="22"/>
          <w:szCs w:val="22"/>
        </w:rPr>
        <w:t xml:space="preserve">.  It </w:t>
      </w:r>
      <w:r w:rsidRPr="00445E74">
        <w:rPr>
          <w:rFonts w:ascii="Calibri" w:hAnsi="Calibri"/>
          <w:bCs/>
          <w:sz w:val="22"/>
          <w:szCs w:val="22"/>
        </w:rPr>
        <w:t>then increased to 10,</w:t>
      </w:r>
      <w:r w:rsidR="006231F7">
        <w:rPr>
          <w:rFonts w:ascii="Calibri" w:hAnsi="Calibri"/>
          <w:bCs/>
          <w:sz w:val="22"/>
          <w:szCs w:val="22"/>
        </w:rPr>
        <w:t>765</w:t>
      </w:r>
      <w:r w:rsidR="00177DF0">
        <w:rPr>
          <w:rFonts w:ascii="Calibri" w:hAnsi="Calibri"/>
          <w:bCs/>
          <w:sz w:val="22"/>
          <w:szCs w:val="22"/>
        </w:rPr>
        <w:t xml:space="preserve"> households according to</w:t>
      </w:r>
      <w:r w:rsidRPr="00445E74">
        <w:rPr>
          <w:rFonts w:ascii="Calibri" w:hAnsi="Calibri"/>
          <w:bCs/>
          <w:sz w:val="22"/>
          <w:szCs w:val="22"/>
        </w:rPr>
        <w:t xml:space="preserve"> 20</w:t>
      </w:r>
      <w:r w:rsidR="006231F7">
        <w:rPr>
          <w:rFonts w:ascii="Calibri" w:hAnsi="Calibri"/>
          <w:bCs/>
          <w:sz w:val="22"/>
          <w:szCs w:val="22"/>
        </w:rPr>
        <w:t>20</w:t>
      </w:r>
      <w:r w:rsidR="00177DF0">
        <w:rPr>
          <w:rFonts w:ascii="Calibri" w:hAnsi="Calibri"/>
          <w:bCs/>
          <w:sz w:val="22"/>
          <w:szCs w:val="22"/>
        </w:rPr>
        <w:t xml:space="preserve"> census estimates</w:t>
      </w:r>
      <w:r w:rsidRPr="00445E74">
        <w:rPr>
          <w:rFonts w:ascii="Calibri" w:hAnsi="Calibri"/>
          <w:bCs/>
          <w:sz w:val="22"/>
          <w:szCs w:val="22"/>
        </w:rPr>
        <w:t>.  The net number of new households</w:t>
      </w:r>
      <w:r w:rsidR="00F037F1">
        <w:rPr>
          <w:rFonts w:ascii="Calibri" w:hAnsi="Calibri"/>
          <w:bCs/>
          <w:sz w:val="22"/>
          <w:szCs w:val="22"/>
        </w:rPr>
        <w:t xml:space="preserve"> was </w:t>
      </w:r>
      <w:r w:rsidR="00E2770A">
        <w:rPr>
          <w:rFonts w:ascii="Calibri" w:hAnsi="Calibri"/>
          <w:bCs/>
          <w:sz w:val="22"/>
          <w:szCs w:val="22"/>
        </w:rPr>
        <w:t>6</w:t>
      </w:r>
      <w:r w:rsidR="006231F7">
        <w:rPr>
          <w:rFonts w:ascii="Calibri" w:hAnsi="Calibri"/>
          <w:bCs/>
          <w:sz w:val="22"/>
          <w:szCs w:val="22"/>
        </w:rPr>
        <w:t>05</w:t>
      </w:r>
      <w:r w:rsidRPr="00445E74">
        <w:rPr>
          <w:rFonts w:ascii="Calibri" w:hAnsi="Calibri"/>
          <w:bCs/>
          <w:sz w:val="22"/>
          <w:szCs w:val="22"/>
        </w:rPr>
        <w:t xml:space="preserve"> between 1990 and 20</w:t>
      </w:r>
      <w:r w:rsidR="006231F7">
        <w:rPr>
          <w:rFonts w:ascii="Calibri" w:hAnsi="Calibri"/>
          <w:bCs/>
          <w:sz w:val="22"/>
          <w:szCs w:val="22"/>
        </w:rPr>
        <w:t xml:space="preserve">20 </w:t>
      </w:r>
      <w:r w:rsidR="00F037F1">
        <w:rPr>
          <w:rFonts w:ascii="Calibri" w:hAnsi="Calibri"/>
          <w:bCs/>
          <w:sz w:val="22"/>
          <w:szCs w:val="22"/>
        </w:rPr>
        <w:t>representing</w:t>
      </w:r>
      <w:r w:rsidRPr="00445E74">
        <w:rPr>
          <w:rFonts w:ascii="Calibri" w:hAnsi="Calibri"/>
          <w:bCs/>
          <w:sz w:val="22"/>
          <w:szCs w:val="22"/>
        </w:rPr>
        <w:t xml:space="preserve"> a </w:t>
      </w:r>
      <w:r w:rsidR="00E2770A">
        <w:rPr>
          <w:rFonts w:ascii="Calibri" w:hAnsi="Calibri"/>
          <w:bCs/>
          <w:sz w:val="22"/>
          <w:szCs w:val="22"/>
        </w:rPr>
        <w:t>6.</w:t>
      </w:r>
      <w:r w:rsidR="006231F7">
        <w:rPr>
          <w:rFonts w:ascii="Calibri" w:hAnsi="Calibri"/>
          <w:bCs/>
          <w:sz w:val="22"/>
          <w:szCs w:val="22"/>
        </w:rPr>
        <w:t>0</w:t>
      </w:r>
      <w:r w:rsidRPr="00445E74">
        <w:rPr>
          <w:rFonts w:ascii="Calibri" w:hAnsi="Calibri"/>
          <w:bCs/>
          <w:sz w:val="22"/>
          <w:szCs w:val="22"/>
        </w:rPr>
        <w:t xml:space="preserve">% rate of growth, </w:t>
      </w:r>
      <w:r w:rsidR="006231F7">
        <w:rPr>
          <w:rFonts w:ascii="Calibri" w:hAnsi="Calibri"/>
          <w:bCs/>
          <w:sz w:val="22"/>
          <w:szCs w:val="22"/>
        </w:rPr>
        <w:t>a bit more than a third of</w:t>
      </w:r>
      <w:r w:rsidR="00CD3CFC">
        <w:rPr>
          <w:rFonts w:ascii="Calibri" w:hAnsi="Calibri"/>
          <w:bCs/>
          <w:sz w:val="22"/>
          <w:szCs w:val="22"/>
        </w:rPr>
        <w:t xml:space="preserve"> the 1</w:t>
      </w:r>
      <w:r w:rsidR="006231F7">
        <w:rPr>
          <w:rFonts w:ascii="Calibri" w:hAnsi="Calibri"/>
          <w:bCs/>
          <w:sz w:val="22"/>
          <w:szCs w:val="22"/>
        </w:rPr>
        <w:t>6</w:t>
      </w:r>
      <w:r w:rsidR="00CD3CFC">
        <w:rPr>
          <w:rFonts w:ascii="Calibri" w:hAnsi="Calibri"/>
          <w:bCs/>
          <w:sz w:val="22"/>
          <w:szCs w:val="22"/>
        </w:rPr>
        <w:t xml:space="preserve">.4% rate of </w:t>
      </w:r>
      <w:r w:rsidRPr="00445E74">
        <w:rPr>
          <w:rFonts w:ascii="Calibri" w:hAnsi="Calibri"/>
          <w:bCs/>
          <w:sz w:val="22"/>
          <w:szCs w:val="22"/>
        </w:rPr>
        <w:t xml:space="preserve">population growth during this period. </w:t>
      </w:r>
      <w:r w:rsidR="00CD3CFC">
        <w:rPr>
          <w:rFonts w:ascii="Calibri" w:hAnsi="Calibri"/>
          <w:bCs/>
          <w:sz w:val="22"/>
          <w:szCs w:val="22"/>
        </w:rPr>
        <w:t xml:space="preserve"> This suggests that households </w:t>
      </w:r>
      <w:r w:rsidR="00F037F1">
        <w:rPr>
          <w:rFonts w:ascii="Calibri" w:hAnsi="Calibri"/>
          <w:bCs/>
          <w:sz w:val="22"/>
          <w:szCs w:val="22"/>
        </w:rPr>
        <w:t>we</w:t>
      </w:r>
      <w:r w:rsidR="00CD3CFC">
        <w:rPr>
          <w:rFonts w:ascii="Calibri" w:hAnsi="Calibri"/>
          <w:bCs/>
          <w:sz w:val="22"/>
          <w:szCs w:val="22"/>
        </w:rPr>
        <w:t xml:space="preserve">re becoming larger which </w:t>
      </w:r>
      <w:r w:rsidR="00F037F1">
        <w:rPr>
          <w:rFonts w:ascii="Calibri" w:hAnsi="Calibri"/>
          <w:bCs/>
          <w:sz w:val="22"/>
          <w:szCs w:val="22"/>
        </w:rPr>
        <w:t>was</w:t>
      </w:r>
      <w:r w:rsidR="00CD3CFC">
        <w:rPr>
          <w:rFonts w:ascii="Calibri" w:hAnsi="Calibri"/>
          <w:bCs/>
          <w:sz w:val="22"/>
          <w:szCs w:val="22"/>
        </w:rPr>
        <w:t xml:space="preserve"> further demonstrated </w:t>
      </w:r>
      <w:r w:rsidR="00F037F1">
        <w:rPr>
          <w:rFonts w:ascii="Calibri" w:hAnsi="Calibri"/>
          <w:bCs/>
          <w:sz w:val="22"/>
          <w:szCs w:val="22"/>
        </w:rPr>
        <w:t>by</w:t>
      </w:r>
      <w:r w:rsidR="00CD3CFC">
        <w:rPr>
          <w:rFonts w:ascii="Calibri" w:hAnsi="Calibri"/>
          <w:bCs/>
          <w:sz w:val="22"/>
          <w:szCs w:val="22"/>
        </w:rPr>
        <w:t xml:space="preserve"> the increase in average household size from 2.68 persons in 1990 to 2.</w:t>
      </w:r>
      <w:r w:rsidR="006231F7">
        <w:rPr>
          <w:rFonts w:ascii="Calibri" w:hAnsi="Calibri"/>
          <w:bCs/>
          <w:sz w:val="22"/>
          <w:szCs w:val="22"/>
        </w:rPr>
        <w:t>82</w:t>
      </w:r>
      <w:r w:rsidR="00CD3CFC">
        <w:rPr>
          <w:rFonts w:ascii="Calibri" w:hAnsi="Calibri"/>
          <w:bCs/>
          <w:sz w:val="22"/>
          <w:szCs w:val="22"/>
        </w:rPr>
        <w:t xml:space="preserve"> by 20</w:t>
      </w:r>
      <w:r w:rsidR="006231F7">
        <w:rPr>
          <w:rFonts w:ascii="Calibri" w:hAnsi="Calibri"/>
          <w:bCs/>
          <w:sz w:val="22"/>
          <w:szCs w:val="22"/>
        </w:rPr>
        <w:t>20</w:t>
      </w:r>
      <w:r w:rsidR="00CD3CFC">
        <w:rPr>
          <w:rFonts w:ascii="Calibri" w:hAnsi="Calibri"/>
          <w:bCs/>
          <w:sz w:val="22"/>
          <w:szCs w:val="22"/>
        </w:rPr>
        <w:t>.</w:t>
      </w:r>
      <w:r w:rsidR="004B1C2C">
        <w:rPr>
          <w:rFonts w:ascii="Calibri" w:hAnsi="Calibri"/>
          <w:bCs/>
          <w:sz w:val="22"/>
          <w:szCs w:val="22"/>
        </w:rPr>
        <w:t xml:space="preserve">  Perhaps the teardown activity that has occurred over the past decade, with smaller more modest homes being replaced with larger more expensive ones</w:t>
      </w:r>
      <w:r w:rsidR="00552EEB">
        <w:rPr>
          <w:rFonts w:ascii="Calibri" w:hAnsi="Calibri"/>
          <w:bCs/>
          <w:sz w:val="22"/>
          <w:szCs w:val="22"/>
        </w:rPr>
        <w:t>,</w:t>
      </w:r>
      <w:r w:rsidR="004B1C2C">
        <w:rPr>
          <w:rFonts w:ascii="Calibri" w:hAnsi="Calibri"/>
          <w:bCs/>
          <w:sz w:val="22"/>
          <w:szCs w:val="22"/>
        </w:rPr>
        <w:t xml:space="preserve"> is a contributing factor to </w:t>
      </w:r>
      <w:r w:rsidR="00552EEB">
        <w:rPr>
          <w:rFonts w:ascii="Calibri" w:hAnsi="Calibri"/>
          <w:bCs/>
          <w:sz w:val="22"/>
          <w:szCs w:val="22"/>
        </w:rPr>
        <w:t xml:space="preserve">increasing numbers of </w:t>
      </w:r>
      <w:r w:rsidR="004B1C2C">
        <w:rPr>
          <w:rFonts w:ascii="Calibri" w:hAnsi="Calibri"/>
          <w:bCs/>
          <w:sz w:val="22"/>
          <w:szCs w:val="22"/>
        </w:rPr>
        <w:t>larger households</w:t>
      </w:r>
      <w:r w:rsidR="005B7C08">
        <w:rPr>
          <w:rFonts w:ascii="Calibri" w:hAnsi="Calibri"/>
          <w:bCs/>
          <w:sz w:val="22"/>
          <w:szCs w:val="22"/>
        </w:rPr>
        <w:t xml:space="preserve"> as families largely replace empty nesters</w:t>
      </w:r>
      <w:r w:rsidR="004B1C2C">
        <w:rPr>
          <w:rFonts w:ascii="Calibri" w:hAnsi="Calibri"/>
          <w:bCs/>
          <w:sz w:val="22"/>
          <w:szCs w:val="22"/>
        </w:rPr>
        <w:t>.</w:t>
      </w:r>
    </w:p>
    <w:p w14:paraId="6279124C" w14:textId="77777777" w:rsidR="004B1C2C" w:rsidRDefault="004B1C2C" w:rsidP="0060793C">
      <w:pPr>
        <w:pStyle w:val="BodyText"/>
        <w:spacing w:after="0"/>
        <w:jc w:val="both"/>
        <w:rPr>
          <w:rFonts w:ascii="Calibri" w:hAnsi="Calibri"/>
          <w:bCs/>
          <w:sz w:val="22"/>
          <w:szCs w:val="22"/>
        </w:rPr>
      </w:pPr>
    </w:p>
    <w:p w14:paraId="000937BD" w14:textId="7986AD07" w:rsidR="0060793C" w:rsidRDefault="0060793C" w:rsidP="0060793C">
      <w:pPr>
        <w:pStyle w:val="Footer"/>
        <w:jc w:val="both"/>
        <w:rPr>
          <w:rFonts w:ascii="Calibri" w:hAnsi="Calibri" w:cs="Lucida Sans Unicode"/>
          <w:sz w:val="22"/>
          <w:szCs w:val="22"/>
        </w:rPr>
      </w:pPr>
      <w:r>
        <w:rPr>
          <w:rFonts w:ascii="Calibri" w:hAnsi="Calibri" w:cs="Lucida Sans Unicode"/>
          <w:sz w:val="22"/>
          <w:szCs w:val="22"/>
        </w:rPr>
        <w:t>MAPC Stronger Region projections suggest an increase from 10,310 households in 2010</w:t>
      </w:r>
      <w:r w:rsidR="00C708AC">
        <w:rPr>
          <w:rFonts w:ascii="Calibri" w:hAnsi="Calibri" w:cs="Lucida Sans Unicode"/>
          <w:sz w:val="22"/>
          <w:szCs w:val="22"/>
        </w:rPr>
        <w:t>,</w:t>
      </w:r>
      <w:r>
        <w:rPr>
          <w:rFonts w:ascii="Calibri" w:hAnsi="Calibri" w:cs="Lucida Sans Unicode"/>
          <w:sz w:val="22"/>
          <w:szCs w:val="22"/>
        </w:rPr>
        <w:t xml:space="preserve"> to 11,084 by 2020</w:t>
      </w:r>
      <w:r w:rsidR="00C708AC">
        <w:rPr>
          <w:rFonts w:ascii="Calibri" w:hAnsi="Calibri" w:cs="Lucida Sans Unicode"/>
          <w:sz w:val="22"/>
          <w:szCs w:val="22"/>
        </w:rPr>
        <w:t>,</w:t>
      </w:r>
      <w:r>
        <w:rPr>
          <w:rFonts w:ascii="Calibri" w:hAnsi="Calibri" w:cs="Lucida Sans Unicode"/>
          <w:sz w:val="22"/>
          <w:szCs w:val="22"/>
        </w:rPr>
        <w:t xml:space="preserve"> and </w:t>
      </w:r>
      <w:r w:rsidR="00F037F1">
        <w:rPr>
          <w:rFonts w:ascii="Calibri" w:hAnsi="Calibri" w:cs="Lucida Sans Unicode"/>
          <w:sz w:val="22"/>
          <w:szCs w:val="22"/>
        </w:rPr>
        <w:t xml:space="preserve">then </w:t>
      </w:r>
      <w:r>
        <w:rPr>
          <w:rFonts w:ascii="Calibri" w:hAnsi="Calibri" w:cs="Lucida Sans Unicode"/>
          <w:sz w:val="22"/>
          <w:szCs w:val="22"/>
        </w:rPr>
        <w:t>12,026 by 2030</w:t>
      </w:r>
      <w:r w:rsidR="00CD3CFC">
        <w:rPr>
          <w:rFonts w:ascii="Calibri" w:hAnsi="Calibri" w:cs="Lucida Sans Unicode"/>
          <w:sz w:val="22"/>
          <w:szCs w:val="22"/>
        </w:rPr>
        <w:t>, representing a growth rate of 16.6% compared to projected population growth of 6.4%</w:t>
      </w:r>
      <w:r>
        <w:rPr>
          <w:rFonts w:ascii="Calibri" w:hAnsi="Calibri" w:cs="Lucida Sans Unicode"/>
          <w:sz w:val="22"/>
          <w:szCs w:val="22"/>
        </w:rPr>
        <w:t xml:space="preserve">. </w:t>
      </w:r>
      <w:r w:rsidR="00C3634C">
        <w:rPr>
          <w:rFonts w:ascii="Calibri" w:hAnsi="Calibri" w:cs="Lucida Sans Unicode"/>
          <w:sz w:val="22"/>
          <w:szCs w:val="22"/>
        </w:rPr>
        <w:t>This indicates</w:t>
      </w:r>
      <w:r w:rsidR="00C3634C" w:rsidRPr="00D56F80">
        <w:rPr>
          <w:rFonts w:ascii="Calibri" w:hAnsi="Calibri" w:cs="Lucida Sans Unicode"/>
          <w:sz w:val="22"/>
          <w:szCs w:val="22"/>
        </w:rPr>
        <w:t xml:space="preserve"> </w:t>
      </w:r>
      <w:r w:rsidR="00C3634C">
        <w:rPr>
          <w:rFonts w:ascii="Calibri" w:hAnsi="Calibri" w:cs="Lucida Sans Unicode"/>
          <w:sz w:val="22"/>
          <w:szCs w:val="22"/>
        </w:rPr>
        <w:t xml:space="preserve">an increase in smaller households, which is a reversal of </w:t>
      </w:r>
      <w:r w:rsidR="00E203CD">
        <w:rPr>
          <w:rFonts w:ascii="Calibri" w:hAnsi="Calibri" w:cs="Lucida Sans Unicode"/>
          <w:sz w:val="22"/>
          <w:szCs w:val="22"/>
        </w:rPr>
        <w:t>recent</w:t>
      </w:r>
      <w:r w:rsidR="00C3634C">
        <w:rPr>
          <w:rFonts w:ascii="Calibri" w:hAnsi="Calibri" w:cs="Lucida Sans Unicode"/>
          <w:sz w:val="22"/>
          <w:szCs w:val="22"/>
        </w:rPr>
        <w:t xml:space="preserve"> trends.</w:t>
      </w:r>
      <w:r>
        <w:rPr>
          <w:rFonts w:ascii="Calibri" w:hAnsi="Calibri" w:cs="Lucida Sans Unicode"/>
          <w:sz w:val="22"/>
          <w:szCs w:val="22"/>
        </w:rPr>
        <w:t xml:space="preserve"> </w:t>
      </w:r>
      <w:r w:rsidR="004B1C2C">
        <w:rPr>
          <w:rFonts w:ascii="Calibri" w:hAnsi="Calibri" w:cs="Lucida Sans Unicode"/>
          <w:sz w:val="22"/>
          <w:szCs w:val="22"/>
        </w:rPr>
        <w:t>While projections have underestimated actual population growth, it is likely that they are overestimating household growth levels.</w:t>
      </w:r>
    </w:p>
    <w:p w14:paraId="7CABF3CC" w14:textId="77777777" w:rsidR="0060793C" w:rsidRDefault="0060793C" w:rsidP="0060793C">
      <w:pPr>
        <w:pStyle w:val="BodyText"/>
        <w:spacing w:after="0"/>
        <w:jc w:val="both"/>
        <w:rPr>
          <w:rFonts w:ascii="Calibri" w:hAnsi="Calibri"/>
          <w:bCs/>
          <w:sz w:val="22"/>
          <w:szCs w:val="22"/>
        </w:rPr>
      </w:pPr>
    </w:p>
    <w:p w14:paraId="6BB4C468" w14:textId="376B48A2" w:rsidR="00CD3CFC" w:rsidRPr="00552EEB" w:rsidRDefault="008772FC" w:rsidP="0060793C">
      <w:pPr>
        <w:pStyle w:val="BodyText"/>
        <w:spacing w:after="0"/>
        <w:jc w:val="both"/>
        <w:rPr>
          <w:rFonts w:ascii="Calibri" w:hAnsi="Calibri"/>
          <w:b/>
          <w:sz w:val="22"/>
          <w:szCs w:val="22"/>
        </w:rPr>
      </w:pPr>
      <w:r w:rsidRPr="00445E74">
        <w:rPr>
          <w:rFonts w:ascii="Calibri" w:hAnsi="Calibri"/>
          <w:bCs/>
          <w:sz w:val="22"/>
          <w:szCs w:val="22"/>
        </w:rPr>
        <w:t>Unlike many communities</w:t>
      </w:r>
      <w:r w:rsidR="00AF3C90">
        <w:rPr>
          <w:rFonts w:ascii="Calibri" w:hAnsi="Calibri"/>
          <w:bCs/>
          <w:sz w:val="22"/>
          <w:szCs w:val="22"/>
        </w:rPr>
        <w:t>,</w:t>
      </w:r>
      <w:r w:rsidRPr="00445E74">
        <w:rPr>
          <w:rFonts w:ascii="Calibri" w:hAnsi="Calibri"/>
          <w:bCs/>
          <w:sz w:val="22"/>
          <w:szCs w:val="22"/>
        </w:rPr>
        <w:t xml:space="preserve"> where the number of families</w:t>
      </w:r>
      <w:r>
        <w:rPr>
          <w:rFonts w:ascii="Calibri" w:hAnsi="Calibri"/>
          <w:bCs/>
          <w:sz w:val="22"/>
          <w:szCs w:val="22"/>
        </w:rPr>
        <w:t xml:space="preserve"> </w:t>
      </w:r>
      <w:r w:rsidRPr="00445E74">
        <w:rPr>
          <w:rFonts w:ascii="Calibri" w:hAnsi="Calibri"/>
          <w:bCs/>
          <w:sz w:val="22"/>
          <w:szCs w:val="22"/>
        </w:rPr>
        <w:t xml:space="preserve">is shrinking in comparison to growing numbers of non-family households (includes unrelated household members and those living alone), the number of families </w:t>
      </w:r>
      <w:r w:rsidR="00F037F1">
        <w:rPr>
          <w:rFonts w:ascii="Calibri" w:hAnsi="Calibri"/>
          <w:bCs/>
          <w:sz w:val="22"/>
          <w:szCs w:val="22"/>
        </w:rPr>
        <w:t>has been increasing in Needham</w:t>
      </w:r>
      <w:r w:rsidRPr="00445E74">
        <w:rPr>
          <w:rFonts w:ascii="Calibri" w:hAnsi="Calibri"/>
          <w:bCs/>
          <w:sz w:val="22"/>
          <w:szCs w:val="22"/>
        </w:rPr>
        <w:t xml:space="preserve">. </w:t>
      </w:r>
      <w:r w:rsidRPr="00552EEB">
        <w:rPr>
          <w:rFonts w:ascii="Calibri" w:hAnsi="Calibri"/>
          <w:b/>
          <w:sz w:val="22"/>
          <w:szCs w:val="22"/>
        </w:rPr>
        <w:t xml:space="preserve">The percentage of families, </w:t>
      </w:r>
      <w:r w:rsidR="00E203CD">
        <w:rPr>
          <w:rFonts w:ascii="Calibri" w:hAnsi="Calibri"/>
          <w:b/>
          <w:sz w:val="22"/>
          <w:szCs w:val="22"/>
        </w:rPr>
        <w:t>81.0</w:t>
      </w:r>
      <w:r w:rsidRPr="00552EEB">
        <w:rPr>
          <w:rFonts w:ascii="Calibri" w:hAnsi="Calibri"/>
          <w:b/>
          <w:sz w:val="22"/>
          <w:szCs w:val="22"/>
        </w:rPr>
        <w:t>%</w:t>
      </w:r>
      <w:r w:rsidR="00F037F1" w:rsidRPr="00552EEB">
        <w:rPr>
          <w:rFonts w:ascii="Calibri" w:hAnsi="Calibri"/>
          <w:b/>
          <w:sz w:val="22"/>
          <w:szCs w:val="22"/>
        </w:rPr>
        <w:t xml:space="preserve"> in 20</w:t>
      </w:r>
      <w:r w:rsidR="00E203CD">
        <w:rPr>
          <w:rFonts w:ascii="Calibri" w:hAnsi="Calibri"/>
          <w:b/>
          <w:sz w:val="22"/>
          <w:szCs w:val="22"/>
        </w:rPr>
        <w:t>20</w:t>
      </w:r>
      <w:r w:rsidRPr="00552EEB">
        <w:rPr>
          <w:rFonts w:ascii="Calibri" w:hAnsi="Calibri"/>
          <w:b/>
          <w:sz w:val="22"/>
          <w:szCs w:val="22"/>
        </w:rPr>
        <w:t xml:space="preserve">, was higher than the </w:t>
      </w:r>
      <w:r w:rsidR="00F037F1" w:rsidRPr="00552EEB">
        <w:rPr>
          <w:rFonts w:ascii="Calibri" w:hAnsi="Calibri"/>
          <w:b/>
          <w:sz w:val="22"/>
          <w:szCs w:val="22"/>
        </w:rPr>
        <w:t>66.</w:t>
      </w:r>
      <w:r w:rsidR="00552EEB" w:rsidRPr="00552EEB">
        <w:rPr>
          <w:rFonts w:ascii="Calibri" w:hAnsi="Calibri"/>
          <w:b/>
          <w:sz w:val="22"/>
          <w:szCs w:val="22"/>
        </w:rPr>
        <w:t>6</w:t>
      </w:r>
      <w:r w:rsidRPr="00552EEB">
        <w:rPr>
          <w:rFonts w:ascii="Calibri" w:hAnsi="Calibri"/>
          <w:b/>
          <w:sz w:val="22"/>
          <w:szCs w:val="22"/>
        </w:rPr>
        <w:t>% level for Norfolk County</w:t>
      </w:r>
      <w:r w:rsidR="00F037F1" w:rsidRPr="00552EEB">
        <w:rPr>
          <w:rFonts w:ascii="Calibri" w:hAnsi="Calibri"/>
          <w:b/>
          <w:sz w:val="22"/>
          <w:szCs w:val="22"/>
        </w:rPr>
        <w:t xml:space="preserve"> and </w:t>
      </w:r>
      <w:r w:rsidR="00E203CD">
        <w:rPr>
          <w:rFonts w:ascii="Calibri" w:hAnsi="Calibri"/>
          <w:b/>
          <w:sz w:val="22"/>
          <w:szCs w:val="22"/>
        </w:rPr>
        <w:t>63.2</w:t>
      </w:r>
      <w:r w:rsidR="00F037F1" w:rsidRPr="00552EEB">
        <w:rPr>
          <w:rFonts w:ascii="Calibri" w:hAnsi="Calibri"/>
          <w:b/>
          <w:sz w:val="22"/>
          <w:szCs w:val="22"/>
        </w:rPr>
        <w:t>% statewide</w:t>
      </w:r>
      <w:r w:rsidRPr="00552EEB">
        <w:rPr>
          <w:rFonts w:ascii="Calibri" w:hAnsi="Calibri"/>
          <w:b/>
          <w:sz w:val="22"/>
          <w:szCs w:val="22"/>
        </w:rPr>
        <w:t xml:space="preserve">. </w:t>
      </w:r>
    </w:p>
    <w:p w14:paraId="10DFB59B" w14:textId="77777777" w:rsidR="00CD3CFC" w:rsidRDefault="00CD3CFC" w:rsidP="0060793C">
      <w:pPr>
        <w:pStyle w:val="BodyText"/>
        <w:spacing w:after="0"/>
        <w:jc w:val="both"/>
        <w:rPr>
          <w:rFonts w:ascii="Calibri" w:hAnsi="Calibri"/>
          <w:bCs/>
          <w:sz w:val="22"/>
          <w:szCs w:val="22"/>
        </w:rPr>
      </w:pPr>
    </w:p>
    <w:p w14:paraId="7146BD78" w14:textId="33FB8005" w:rsidR="00F037F1" w:rsidRPr="004E50E7" w:rsidRDefault="00F037F1" w:rsidP="00C708AC">
      <w:pPr>
        <w:pStyle w:val="BodyText"/>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rPr>
      </w:pPr>
      <w:r w:rsidRPr="004E50E7">
        <w:rPr>
          <w:rFonts w:ascii="Calibri" w:hAnsi="Calibri"/>
        </w:rPr>
        <w:t>Almost 1</w:t>
      </w:r>
      <w:r w:rsidR="00695C58">
        <w:rPr>
          <w:rFonts w:ascii="Calibri" w:hAnsi="Calibri"/>
        </w:rPr>
        <w:t>1</w:t>
      </w:r>
      <w:r w:rsidRPr="004E50E7">
        <w:rPr>
          <w:rFonts w:ascii="Calibri" w:hAnsi="Calibri"/>
        </w:rPr>
        <w:t>% of the households with children</w:t>
      </w:r>
      <w:r>
        <w:rPr>
          <w:rFonts w:ascii="Calibri" w:hAnsi="Calibri"/>
        </w:rPr>
        <w:t xml:space="preserve"> under age 18</w:t>
      </w:r>
      <w:r w:rsidRPr="004E50E7">
        <w:rPr>
          <w:rFonts w:ascii="Calibri" w:hAnsi="Calibri"/>
        </w:rPr>
        <w:t xml:space="preserve"> were headed by one parent and </w:t>
      </w:r>
      <w:r w:rsidR="00FC28A3">
        <w:rPr>
          <w:rFonts w:ascii="Calibri" w:hAnsi="Calibri"/>
        </w:rPr>
        <w:t>87</w:t>
      </w:r>
      <w:r w:rsidRPr="004E50E7">
        <w:rPr>
          <w:rFonts w:ascii="Calibri" w:hAnsi="Calibri"/>
        </w:rPr>
        <w:t>%</w:t>
      </w:r>
      <w:r w:rsidR="00C95AAC">
        <w:rPr>
          <w:rFonts w:ascii="Calibri" w:hAnsi="Calibri"/>
        </w:rPr>
        <w:t xml:space="preserve"> of these,</w:t>
      </w:r>
      <w:r w:rsidR="00BB058B">
        <w:rPr>
          <w:rFonts w:ascii="Calibri" w:hAnsi="Calibri"/>
        </w:rPr>
        <w:t xml:space="preserve"> or </w:t>
      </w:r>
      <w:r w:rsidR="008D440A">
        <w:rPr>
          <w:rFonts w:ascii="Calibri" w:hAnsi="Calibri"/>
        </w:rPr>
        <w:t>428</w:t>
      </w:r>
      <w:r w:rsidR="00BB058B">
        <w:rPr>
          <w:rFonts w:ascii="Calibri" w:hAnsi="Calibri"/>
        </w:rPr>
        <w:t xml:space="preserve"> households</w:t>
      </w:r>
      <w:r w:rsidR="00C95AAC">
        <w:rPr>
          <w:rFonts w:ascii="Calibri" w:hAnsi="Calibri"/>
        </w:rPr>
        <w:t>,</w:t>
      </w:r>
      <w:r w:rsidR="00BB058B">
        <w:rPr>
          <w:rFonts w:ascii="Calibri" w:hAnsi="Calibri"/>
        </w:rPr>
        <w:t xml:space="preserve"> </w:t>
      </w:r>
      <w:r w:rsidRPr="004E50E7">
        <w:rPr>
          <w:rFonts w:ascii="Calibri" w:hAnsi="Calibri"/>
        </w:rPr>
        <w:t>involved single mothers</w:t>
      </w:r>
      <w:r>
        <w:rPr>
          <w:rFonts w:ascii="Calibri" w:hAnsi="Calibri"/>
        </w:rPr>
        <w:t xml:space="preserve"> who likely have lower incomes on average than their male counterparts</w:t>
      </w:r>
      <w:r w:rsidRPr="004E50E7">
        <w:rPr>
          <w:rFonts w:ascii="Calibri" w:hAnsi="Calibri"/>
        </w:rPr>
        <w:t>.</w:t>
      </w:r>
    </w:p>
    <w:p w14:paraId="7941D576" w14:textId="77777777" w:rsidR="00D11B12" w:rsidRDefault="00D11B12" w:rsidP="008772FC">
      <w:pPr>
        <w:ind w:right="-720"/>
        <w:jc w:val="center"/>
        <w:rPr>
          <w:rFonts w:ascii="Calibri" w:hAnsi="Calibri"/>
          <w:b/>
          <w:sz w:val="22"/>
        </w:rPr>
      </w:pPr>
    </w:p>
    <w:p w14:paraId="383E4069" w14:textId="30E5C1A0" w:rsidR="008772FC" w:rsidRDefault="008772FC" w:rsidP="008772FC">
      <w:pPr>
        <w:ind w:right="-720"/>
        <w:jc w:val="center"/>
        <w:rPr>
          <w:rFonts w:ascii="Calibri" w:hAnsi="Calibri"/>
          <w:b/>
          <w:sz w:val="22"/>
        </w:rPr>
      </w:pPr>
      <w:r w:rsidRPr="004E50E7">
        <w:rPr>
          <w:rFonts w:ascii="Calibri" w:hAnsi="Calibri"/>
          <w:b/>
          <w:sz w:val="22"/>
        </w:rPr>
        <w:t xml:space="preserve">Table </w:t>
      </w:r>
      <w:r w:rsidR="0086490C">
        <w:rPr>
          <w:rFonts w:ascii="Calibri" w:hAnsi="Calibri"/>
          <w:b/>
          <w:sz w:val="22"/>
        </w:rPr>
        <w:t>III-9</w:t>
      </w:r>
      <w:r>
        <w:rPr>
          <w:rFonts w:ascii="Calibri" w:hAnsi="Calibri"/>
          <w:b/>
          <w:sz w:val="22"/>
        </w:rPr>
        <w:t xml:space="preserve">:  </w:t>
      </w:r>
      <w:r w:rsidRPr="004E50E7">
        <w:rPr>
          <w:rFonts w:ascii="Calibri" w:hAnsi="Calibri"/>
          <w:b/>
          <w:sz w:val="22"/>
        </w:rPr>
        <w:t>Household Characteristics, 1990 to 20</w:t>
      </w:r>
      <w:r w:rsidR="005B0223">
        <w:rPr>
          <w:rFonts w:ascii="Calibri" w:hAnsi="Calibri"/>
          <w:b/>
          <w:sz w:val="22"/>
        </w:rPr>
        <w:t>20</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845"/>
        <w:gridCol w:w="803"/>
        <w:gridCol w:w="845"/>
        <w:gridCol w:w="845"/>
        <w:gridCol w:w="890"/>
        <w:gridCol w:w="843"/>
        <w:gridCol w:w="807"/>
        <w:gridCol w:w="807"/>
      </w:tblGrid>
      <w:tr w:rsidR="008772FC" w:rsidRPr="004E50E7" w14:paraId="07259978" w14:textId="77777777" w:rsidTr="00371754">
        <w:trPr>
          <w:cantSplit/>
          <w:jc w:val="center"/>
        </w:trPr>
        <w:tc>
          <w:tcPr>
            <w:tcW w:w="2171" w:type="dxa"/>
            <w:vMerge w:val="restart"/>
            <w:tcBorders>
              <w:top w:val="single" w:sz="4" w:space="0" w:color="auto"/>
              <w:left w:val="single" w:sz="4" w:space="0" w:color="auto"/>
            </w:tcBorders>
          </w:tcPr>
          <w:p w14:paraId="4739D502" w14:textId="77777777" w:rsidR="008772FC" w:rsidRPr="004E50E7" w:rsidRDefault="0060793C" w:rsidP="0060793C">
            <w:pPr>
              <w:ind w:right="-720"/>
              <w:rPr>
                <w:rFonts w:ascii="Calibri" w:hAnsi="Calibri"/>
                <w:b/>
              </w:rPr>
            </w:pPr>
            <w:r>
              <w:rPr>
                <w:rFonts w:ascii="Calibri" w:hAnsi="Calibri"/>
                <w:b/>
                <w:sz w:val="22"/>
              </w:rPr>
              <w:t>Household Type</w:t>
            </w:r>
          </w:p>
        </w:tc>
        <w:tc>
          <w:tcPr>
            <w:tcW w:w="1648" w:type="dxa"/>
            <w:gridSpan w:val="2"/>
          </w:tcPr>
          <w:p w14:paraId="10AD97E7" w14:textId="77777777" w:rsidR="008772FC" w:rsidRPr="004E50E7" w:rsidRDefault="008772FC" w:rsidP="008F2513">
            <w:pPr>
              <w:ind w:right="-720"/>
              <w:jc w:val="center"/>
              <w:rPr>
                <w:rFonts w:ascii="Calibri" w:hAnsi="Calibri"/>
                <w:b/>
              </w:rPr>
            </w:pPr>
            <w:r w:rsidRPr="004E50E7">
              <w:rPr>
                <w:rFonts w:ascii="Calibri" w:hAnsi="Calibri"/>
                <w:b/>
                <w:sz w:val="22"/>
              </w:rPr>
              <w:t>1990</w:t>
            </w:r>
          </w:p>
        </w:tc>
        <w:tc>
          <w:tcPr>
            <w:tcW w:w="1690" w:type="dxa"/>
            <w:gridSpan w:val="2"/>
          </w:tcPr>
          <w:p w14:paraId="6EA93B27" w14:textId="77777777" w:rsidR="008772FC" w:rsidRPr="004E50E7" w:rsidRDefault="008772FC" w:rsidP="008F2513">
            <w:pPr>
              <w:ind w:right="-720"/>
              <w:jc w:val="center"/>
              <w:rPr>
                <w:rFonts w:ascii="Calibri" w:hAnsi="Calibri"/>
                <w:b/>
              </w:rPr>
            </w:pPr>
            <w:r w:rsidRPr="004E50E7">
              <w:rPr>
                <w:rFonts w:ascii="Calibri" w:hAnsi="Calibri"/>
                <w:b/>
                <w:sz w:val="22"/>
              </w:rPr>
              <w:t>2000</w:t>
            </w:r>
          </w:p>
        </w:tc>
        <w:tc>
          <w:tcPr>
            <w:tcW w:w="1733" w:type="dxa"/>
            <w:gridSpan w:val="2"/>
            <w:shd w:val="clear" w:color="auto" w:fill="auto"/>
          </w:tcPr>
          <w:p w14:paraId="6D4F36E2" w14:textId="77777777" w:rsidR="008772FC" w:rsidRPr="00CF7887" w:rsidRDefault="008772FC" w:rsidP="008F2513">
            <w:pPr>
              <w:jc w:val="center"/>
              <w:rPr>
                <w:rFonts w:ascii="Calibri" w:hAnsi="Calibri"/>
                <w:b/>
              </w:rPr>
            </w:pPr>
            <w:r w:rsidRPr="00CF7887">
              <w:rPr>
                <w:rFonts w:ascii="Calibri" w:hAnsi="Calibri"/>
                <w:b/>
                <w:sz w:val="22"/>
              </w:rPr>
              <w:t>2010</w:t>
            </w:r>
          </w:p>
        </w:tc>
        <w:tc>
          <w:tcPr>
            <w:tcW w:w="1614" w:type="dxa"/>
            <w:gridSpan w:val="2"/>
            <w:shd w:val="clear" w:color="auto" w:fill="auto"/>
          </w:tcPr>
          <w:p w14:paraId="12F975B7" w14:textId="2659158E" w:rsidR="008772FC" w:rsidRPr="00CF7887" w:rsidRDefault="0086490C" w:rsidP="0044066F">
            <w:pPr>
              <w:jc w:val="center"/>
              <w:rPr>
                <w:rFonts w:ascii="Calibri" w:hAnsi="Calibri"/>
                <w:b/>
              </w:rPr>
            </w:pPr>
            <w:r>
              <w:rPr>
                <w:rFonts w:ascii="Calibri" w:hAnsi="Calibri"/>
                <w:b/>
                <w:sz w:val="22"/>
              </w:rPr>
              <w:t>20</w:t>
            </w:r>
            <w:r w:rsidR="00516C55">
              <w:rPr>
                <w:rFonts w:ascii="Calibri" w:hAnsi="Calibri"/>
                <w:b/>
                <w:sz w:val="22"/>
              </w:rPr>
              <w:t>20</w:t>
            </w:r>
          </w:p>
        </w:tc>
      </w:tr>
      <w:tr w:rsidR="008772FC" w:rsidRPr="004E50E7" w14:paraId="6A9069E9" w14:textId="77777777" w:rsidTr="00371754">
        <w:trPr>
          <w:cantSplit/>
          <w:jc w:val="center"/>
        </w:trPr>
        <w:tc>
          <w:tcPr>
            <w:tcW w:w="2171" w:type="dxa"/>
            <w:vMerge/>
            <w:tcBorders>
              <w:left w:val="single" w:sz="4" w:space="0" w:color="auto"/>
            </w:tcBorders>
          </w:tcPr>
          <w:p w14:paraId="487D359C" w14:textId="77777777" w:rsidR="008772FC" w:rsidRPr="004E50E7" w:rsidRDefault="008772FC" w:rsidP="008F2513">
            <w:pPr>
              <w:pStyle w:val="Heading8"/>
              <w:rPr>
                <w:rFonts w:ascii="Calibri" w:hAnsi="Calibri"/>
                <w:bCs/>
              </w:rPr>
            </w:pPr>
          </w:p>
        </w:tc>
        <w:tc>
          <w:tcPr>
            <w:tcW w:w="845" w:type="dxa"/>
          </w:tcPr>
          <w:p w14:paraId="067E712D" w14:textId="77777777" w:rsidR="008772FC" w:rsidRPr="004E50E7" w:rsidRDefault="008772FC" w:rsidP="008F2513">
            <w:pPr>
              <w:ind w:right="-720"/>
              <w:rPr>
                <w:rFonts w:ascii="Calibri" w:hAnsi="Calibri"/>
                <w:b/>
              </w:rPr>
            </w:pPr>
            <w:r w:rsidRPr="004E50E7">
              <w:rPr>
                <w:rFonts w:ascii="Calibri" w:hAnsi="Calibri"/>
                <w:b/>
                <w:sz w:val="22"/>
              </w:rPr>
              <w:t>#</w:t>
            </w:r>
          </w:p>
        </w:tc>
        <w:tc>
          <w:tcPr>
            <w:tcW w:w="803" w:type="dxa"/>
          </w:tcPr>
          <w:p w14:paraId="3BC8741C" w14:textId="77777777" w:rsidR="008772FC" w:rsidRPr="004E50E7" w:rsidRDefault="008772FC" w:rsidP="008F2513">
            <w:pPr>
              <w:ind w:right="-720"/>
              <w:rPr>
                <w:rFonts w:ascii="Calibri" w:hAnsi="Calibri"/>
                <w:b/>
              </w:rPr>
            </w:pPr>
            <w:r w:rsidRPr="004E50E7">
              <w:rPr>
                <w:rFonts w:ascii="Calibri" w:hAnsi="Calibri"/>
                <w:b/>
                <w:sz w:val="22"/>
              </w:rPr>
              <w:t>%</w:t>
            </w:r>
          </w:p>
        </w:tc>
        <w:tc>
          <w:tcPr>
            <w:tcW w:w="845" w:type="dxa"/>
          </w:tcPr>
          <w:p w14:paraId="141B28D2" w14:textId="77777777" w:rsidR="008772FC" w:rsidRPr="004E50E7" w:rsidRDefault="008772FC" w:rsidP="008F2513">
            <w:pPr>
              <w:ind w:right="-720"/>
              <w:rPr>
                <w:rFonts w:ascii="Calibri" w:hAnsi="Calibri"/>
                <w:b/>
              </w:rPr>
            </w:pPr>
            <w:r w:rsidRPr="004E50E7">
              <w:rPr>
                <w:rFonts w:ascii="Calibri" w:hAnsi="Calibri"/>
                <w:b/>
                <w:sz w:val="22"/>
              </w:rPr>
              <w:t>#</w:t>
            </w:r>
          </w:p>
        </w:tc>
        <w:tc>
          <w:tcPr>
            <w:tcW w:w="845" w:type="dxa"/>
          </w:tcPr>
          <w:p w14:paraId="70F9C12D" w14:textId="77777777" w:rsidR="008772FC" w:rsidRPr="004E50E7" w:rsidRDefault="008772FC" w:rsidP="008F2513">
            <w:pPr>
              <w:ind w:right="-720"/>
              <w:rPr>
                <w:rFonts w:ascii="Calibri" w:hAnsi="Calibri"/>
                <w:b/>
              </w:rPr>
            </w:pPr>
            <w:r w:rsidRPr="004E50E7">
              <w:rPr>
                <w:rFonts w:ascii="Calibri" w:hAnsi="Calibri"/>
                <w:b/>
                <w:sz w:val="22"/>
              </w:rPr>
              <w:t>%</w:t>
            </w:r>
          </w:p>
        </w:tc>
        <w:tc>
          <w:tcPr>
            <w:tcW w:w="890" w:type="dxa"/>
            <w:shd w:val="clear" w:color="auto" w:fill="auto"/>
          </w:tcPr>
          <w:p w14:paraId="3874C0BA" w14:textId="77777777" w:rsidR="008772FC" w:rsidRPr="00CF7887" w:rsidRDefault="008772FC" w:rsidP="008F2513">
            <w:pPr>
              <w:rPr>
                <w:rFonts w:ascii="Calibri" w:hAnsi="Calibri"/>
                <w:b/>
              </w:rPr>
            </w:pPr>
            <w:r w:rsidRPr="00CF7887">
              <w:rPr>
                <w:rFonts w:ascii="Calibri" w:hAnsi="Calibri"/>
                <w:b/>
                <w:sz w:val="22"/>
              </w:rPr>
              <w:t>#</w:t>
            </w:r>
          </w:p>
        </w:tc>
        <w:tc>
          <w:tcPr>
            <w:tcW w:w="843" w:type="dxa"/>
            <w:shd w:val="clear" w:color="auto" w:fill="auto"/>
          </w:tcPr>
          <w:p w14:paraId="72127044" w14:textId="77777777" w:rsidR="008772FC" w:rsidRPr="00CF7887" w:rsidRDefault="008772FC" w:rsidP="008F2513">
            <w:pPr>
              <w:rPr>
                <w:rFonts w:ascii="Calibri" w:hAnsi="Calibri"/>
                <w:b/>
              </w:rPr>
            </w:pPr>
            <w:r w:rsidRPr="00CF7887">
              <w:rPr>
                <w:rFonts w:ascii="Calibri" w:hAnsi="Calibri"/>
                <w:b/>
                <w:sz w:val="22"/>
              </w:rPr>
              <w:t>%</w:t>
            </w:r>
          </w:p>
        </w:tc>
        <w:tc>
          <w:tcPr>
            <w:tcW w:w="807" w:type="dxa"/>
            <w:shd w:val="clear" w:color="auto" w:fill="auto"/>
          </w:tcPr>
          <w:p w14:paraId="4869D298" w14:textId="77777777" w:rsidR="008772FC" w:rsidRPr="00CF7887" w:rsidRDefault="008772FC" w:rsidP="008F2513">
            <w:pPr>
              <w:rPr>
                <w:rFonts w:ascii="Calibri" w:hAnsi="Calibri"/>
                <w:b/>
              </w:rPr>
            </w:pPr>
            <w:r w:rsidRPr="00CF7887">
              <w:rPr>
                <w:rFonts w:ascii="Calibri" w:hAnsi="Calibri"/>
                <w:b/>
                <w:sz w:val="22"/>
              </w:rPr>
              <w:t>#</w:t>
            </w:r>
          </w:p>
        </w:tc>
        <w:tc>
          <w:tcPr>
            <w:tcW w:w="807" w:type="dxa"/>
            <w:shd w:val="clear" w:color="auto" w:fill="auto"/>
          </w:tcPr>
          <w:p w14:paraId="1EC0EEA8" w14:textId="77777777" w:rsidR="008772FC" w:rsidRPr="00CF7887" w:rsidRDefault="008772FC" w:rsidP="008F2513">
            <w:pPr>
              <w:rPr>
                <w:rFonts w:ascii="Calibri" w:hAnsi="Calibri"/>
                <w:b/>
              </w:rPr>
            </w:pPr>
            <w:r w:rsidRPr="00CF7887">
              <w:rPr>
                <w:rFonts w:ascii="Calibri" w:hAnsi="Calibri"/>
                <w:b/>
                <w:sz w:val="22"/>
              </w:rPr>
              <w:t>%</w:t>
            </w:r>
          </w:p>
        </w:tc>
      </w:tr>
      <w:tr w:rsidR="008772FC" w:rsidRPr="004E50E7" w14:paraId="081738C0" w14:textId="77777777" w:rsidTr="00371754">
        <w:trPr>
          <w:cantSplit/>
          <w:jc w:val="center"/>
        </w:trPr>
        <w:tc>
          <w:tcPr>
            <w:tcW w:w="2171" w:type="dxa"/>
          </w:tcPr>
          <w:p w14:paraId="413C0967" w14:textId="77777777" w:rsidR="008772FC" w:rsidRPr="00B52CF9" w:rsidRDefault="008772FC" w:rsidP="008F2513">
            <w:pPr>
              <w:pStyle w:val="Heading4"/>
              <w:spacing w:before="0"/>
              <w:rPr>
                <w:rFonts w:asciiTheme="minorHAnsi" w:hAnsiTheme="minorHAnsi"/>
                <w:b w:val="0"/>
                <w:bCs w:val="0"/>
                <w:i w:val="0"/>
                <w:sz w:val="20"/>
                <w:szCs w:val="20"/>
              </w:rPr>
            </w:pPr>
            <w:r w:rsidRPr="00B52CF9">
              <w:rPr>
                <w:rFonts w:asciiTheme="minorHAnsi" w:hAnsiTheme="minorHAnsi"/>
                <w:b w:val="0"/>
                <w:i w:val="0"/>
                <w:color w:val="auto"/>
                <w:sz w:val="20"/>
                <w:szCs w:val="20"/>
              </w:rPr>
              <w:t>Total Households</w:t>
            </w:r>
          </w:p>
        </w:tc>
        <w:tc>
          <w:tcPr>
            <w:tcW w:w="845" w:type="dxa"/>
          </w:tcPr>
          <w:p w14:paraId="374194A0" w14:textId="77777777" w:rsidR="008772FC" w:rsidRPr="004E50E7" w:rsidRDefault="008772FC" w:rsidP="008F2513">
            <w:pPr>
              <w:ind w:right="-720"/>
              <w:rPr>
                <w:rFonts w:ascii="Calibri" w:hAnsi="Calibri"/>
                <w:bCs/>
                <w:sz w:val="20"/>
              </w:rPr>
            </w:pPr>
            <w:r w:rsidRPr="004E50E7">
              <w:rPr>
                <w:rFonts w:ascii="Calibri" w:hAnsi="Calibri"/>
                <w:bCs/>
                <w:sz w:val="20"/>
              </w:rPr>
              <w:t>10,160</w:t>
            </w:r>
          </w:p>
        </w:tc>
        <w:tc>
          <w:tcPr>
            <w:tcW w:w="803" w:type="dxa"/>
          </w:tcPr>
          <w:p w14:paraId="69EFA0A7" w14:textId="77777777" w:rsidR="008772FC" w:rsidRPr="004E50E7" w:rsidRDefault="008772FC" w:rsidP="008F2513">
            <w:pPr>
              <w:ind w:right="-720"/>
              <w:rPr>
                <w:rFonts w:ascii="Calibri" w:hAnsi="Calibri"/>
                <w:bCs/>
                <w:sz w:val="20"/>
              </w:rPr>
            </w:pPr>
            <w:r w:rsidRPr="004E50E7">
              <w:rPr>
                <w:rFonts w:ascii="Calibri" w:hAnsi="Calibri"/>
                <w:bCs/>
                <w:sz w:val="20"/>
              </w:rPr>
              <w:t>100.0</w:t>
            </w:r>
          </w:p>
        </w:tc>
        <w:tc>
          <w:tcPr>
            <w:tcW w:w="845" w:type="dxa"/>
          </w:tcPr>
          <w:p w14:paraId="28F32167" w14:textId="77777777" w:rsidR="008772FC" w:rsidRPr="004E50E7" w:rsidRDefault="008772FC" w:rsidP="008F2513">
            <w:pPr>
              <w:ind w:right="-720"/>
              <w:rPr>
                <w:rFonts w:ascii="Calibri" w:hAnsi="Calibri"/>
                <w:bCs/>
                <w:sz w:val="20"/>
              </w:rPr>
            </w:pPr>
            <w:r w:rsidRPr="004E50E7">
              <w:rPr>
                <w:rFonts w:ascii="Calibri" w:hAnsi="Calibri"/>
                <w:bCs/>
                <w:sz w:val="20"/>
              </w:rPr>
              <w:t>10,612</w:t>
            </w:r>
          </w:p>
        </w:tc>
        <w:tc>
          <w:tcPr>
            <w:tcW w:w="845" w:type="dxa"/>
          </w:tcPr>
          <w:p w14:paraId="12553421" w14:textId="77777777" w:rsidR="008772FC" w:rsidRPr="004E50E7" w:rsidRDefault="008772FC" w:rsidP="008F2513">
            <w:pPr>
              <w:ind w:right="-720"/>
              <w:rPr>
                <w:rFonts w:ascii="Calibri" w:hAnsi="Calibri"/>
                <w:bCs/>
                <w:sz w:val="20"/>
              </w:rPr>
            </w:pPr>
            <w:r w:rsidRPr="004E50E7">
              <w:rPr>
                <w:rFonts w:ascii="Calibri" w:hAnsi="Calibri"/>
                <w:bCs/>
                <w:sz w:val="20"/>
              </w:rPr>
              <w:t>100.0</w:t>
            </w:r>
          </w:p>
        </w:tc>
        <w:tc>
          <w:tcPr>
            <w:tcW w:w="890" w:type="dxa"/>
            <w:shd w:val="clear" w:color="auto" w:fill="auto"/>
          </w:tcPr>
          <w:p w14:paraId="69BD82F1" w14:textId="77777777" w:rsidR="008772FC" w:rsidRPr="00CF7887" w:rsidRDefault="008772FC" w:rsidP="008F2513">
            <w:pPr>
              <w:rPr>
                <w:rFonts w:ascii="Calibri" w:hAnsi="Calibri"/>
                <w:bCs/>
                <w:sz w:val="20"/>
              </w:rPr>
            </w:pPr>
            <w:r w:rsidRPr="00CF7887">
              <w:rPr>
                <w:rFonts w:ascii="Calibri" w:hAnsi="Calibri"/>
                <w:bCs/>
                <w:sz w:val="20"/>
              </w:rPr>
              <w:t>10,341</w:t>
            </w:r>
          </w:p>
        </w:tc>
        <w:tc>
          <w:tcPr>
            <w:tcW w:w="843" w:type="dxa"/>
            <w:shd w:val="clear" w:color="auto" w:fill="auto"/>
          </w:tcPr>
          <w:p w14:paraId="26555728" w14:textId="77777777" w:rsidR="008772FC" w:rsidRPr="00CF7887" w:rsidRDefault="008772FC" w:rsidP="008F2513">
            <w:pPr>
              <w:rPr>
                <w:rFonts w:ascii="Calibri" w:hAnsi="Calibri"/>
                <w:bCs/>
                <w:sz w:val="20"/>
              </w:rPr>
            </w:pPr>
            <w:r w:rsidRPr="00CF7887">
              <w:rPr>
                <w:rFonts w:ascii="Calibri" w:hAnsi="Calibri"/>
                <w:bCs/>
                <w:sz w:val="20"/>
              </w:rPr>
              <w:t>100.0</w:t>
            </w:r>
          </w:p>
        </w:tc>
        <w:tc>
          <w:tcPr>
            <w:tcW w:w="807" w:type="dxa"/>
            <w:shd w:val="clear" w:color="auto" w:fill="auto"/>
          </w:tcPr>
          <w:p w14:paraId="32FD59D2" w14:textId="33DA53DA" w:rsidR="008772FC" w:rsidRPr="00CF7887" w:rsidRDefault="00516C55" w:rsidP="008F2513">
            <w:pPr>
              <w:rPr>
                <w:rFonts w:ascii="Calibri" w:hAnsi="Calibri"/>
                <w:bCs/>
                <w:sz w:val="20"/>
              </w:rPr>
            </w:pPr>
            <w:r>
              <w:rPr>
                <w:rFonts w:ascii="Calibri" w:hAnsi="Calibri"/>
                <w:bCs/>
                <w:sz w:val="20"/>
              </w:rPr>
              <w:t>10,765</w:t>
            </w:r>
          </w:p>
        </w:tc>
        <w:tc>
          <w:tcPr>
            <w:tcW w:w="807" w:type="dxa"/>
            <w:shd w:val="clear" w:color="auto" w:fill="auto"/>
          </w:tcPr>
          <w:p w14:paraId="3C6BA149" w14:textId="30C248DE" w:rsidR="008772FC" w:rsidRPr="00CF7887" w:rsidRDefault="00516C55" w:rsidP="008F2513">
            <w:pPr>
              <w:rPr>
                <w:rFonts w:ascii="Calibri" w:hAnsi="Calibri"/>
                <w:bCs/>
                <w:sz w:val="20"/>
              </w:rPr>
            </w:pPr>
            <w:r>
              <w:rPr>
                <w:rFonts w:ascii="Calibri" w:hAnsi="Calibri"/>
                <w:bCs/>
                <w:sz w:val="20"/>
              </w:rPr>
              <w:t>100.0</w:t>
            </w:r>
          </w:p>
        </w:tc>
      </w:tr>
      <w:tr w:rsidR="008772FC" w:rsidRPr="004E50E7" w14:paraId="239430F7" w14:textId="77777777" w:rsidTr="00371754">
        <w:trPr>
          <w:cantSplit/>
          <w:jc w:val="center"/>
        </w:trPr>
        <w:tc>
          <w:tcPr>
            <w:tcW w:w="2171" w:type="dxa"/>
          </w:tcPr>
          <w:p w14:paraId="7DE8DF4F" w14:textId="77777777" w:rsidR="008772FC" w:rsidRPr="004E50E7" w:rsidRDefault="008772FC" w:rsidP="008F2513">
            <w:pPr>
              <w:ind w:right="-720"/>
              <w:rPr>
                <w:rFonts w:ascii="Calibri" w:hAnsi="Calibri"/>
                <w:bCs/>
                <w:sz w:val="20"/>
              </w:rPr>
            </w:pPr>
            <w:r w:rsidRPr="004E50E7">
              <w:rPr>
                <w:rFonts w:ascii="Calibri" w:hAnsi="Calibri"/>
                <w:bCs/>
                <w:sz w:val="20"/>
              </w:rPr>
              <w:t>Family Households*</w:t>
            </w:r>
          </w:p>
        </w:tc>
        <w:tc>
          <w:tcPr>
            <w:tcW w:w="845" w:type="dxa"/>
          </w:tcPr>
          <w:p w14:paraId="69CBD76D" w14:textId="77777777" w:rsidR="008772FC" w:rsidRPr="004E50E7" w:rsidRDefault="008772FC" w:rsidP="008F2513">
            <w:pPr>
              <w:ind w:right="-720"/>
              <w:rPr>
                <w:rFonts w:ascii="Calibri" w:hAnsi="Calibri"/>
                <w:bCs/>
                <w:sz w:val="20"/>
              </w:rPr>
            </w:pPr>
            <w:r w:rsidRPr="004E50E7">
              <w:rPr>
                <w:rFonts w:ascii="Calibri" w:hAnsi="Calibri"/>
                <w:bCs/>
                <w:sz w:val="20"/>
              </w:rPr>
              <w:t>7,565</w:t>
            </w:r>
          </w:p>
        </w:tc>
        <w:tc>
          <w:tcPr>
            <w:tcW w:w="803" w:type="dxa"/>
          </w:tcPr>
          <w:p w14:paraId="4C146902" w14:textId="77777777" w:rsidR="008772FC" w:rsidRPr="004E50E7" w:rsidRDefault="008772FC" w:rsidP="008F2513">
            <w:pPr>
              <w:ind w:right="-720"/>
              <w:rPr>
                <w:rFonts w:ascii="Calibri" w:hAnsi="Calibri"/>
                <w:bCs/>
                <w:sz w:val="20"/>
              </w:rPr>
            </w:pPr>
            <w:r w:rsidRPr="004E50E7">
              <w:rPr>
                <w:rFonts w:ascii="Calibri" w:hAnsi="Calibri"/>
                <w:bCs/>
                <w:sz w:val="20"/>
              </w:rPr>
              <w:t>74.5</w:t>
            </w:r>
          </w:p>
        </w:tc>
        <w:tc>
          <w:tcPr>
            <w:tcW w:w="845" w:type="dxa"/>
          </w:tcPr>
          <w:p w14:paraId="460D4798" w14:textId="77777777" w:rsidR="008772FC" w:rsidRPr="004E50E7" w:rsidRDefault="008772FC" w:rsidP="008F2513">
            <w:pPr>
              <w:ind w:right="-720"/>
              <w:rPr>
                <w:rFonts w:ascii="Calibri" w:hAnsi="Calibri"/>
                <w:bCs/>
                <w:sz w:val="20"/>
              </w:rPr>
            </w:pPr>
            <w:r w:rsidRPr="004E50E7">
              <w:rPr>
                <w:rFonts w:ascii="Calibri" w:hAnsi="Calibri"/>
                <w:bCs/>
                <w:sz w:val="20"/>
              </w:rPr>
              <w:t>7,782</w:t>
            </w:r>
          </w:p>
        </w:tc>
        <w:tc>
          <w:tcPr>
            <w:tcW w:w="845" w:type="dxa"/>
          </w:tcPr>
          <w:p w14:paraId="06807235" w14:textId="77777777" w:rsidR="008772FC" w:rsidRPr="004E50E7" w:rsidRDefault="008772FC" w:rsidP="008F2513">
            <w:pPr>
              <w:ind w:right="-720"/>
              <w:rPr>
                <w:rFonts w:ascii="Calibri" w:hAnsi="Calibri"/>
                <w:bCs/>
                <w:sz w:val="20"/>
              </w:rPr>
            </w:pPr>
            <w:r w:rsidRPr="004E50E7">
              <w:rPr>
                <w:rFonts w:ascii="Calibri" w:hAnsi="Calibri"/>
                <w:bCs/>
                <w:sz w:val="20"/>
              </w:rPr>
              <w:t>73.3</w:t>
            </w:r>
          </w:p>
        </w:tc>
        <w:tc>
          <w:tcPr>
            <w:tcW w:w="890" w:type="dxa"/>
            <w:shd w:val="clear" w:color="auto" w:fill="auto"/>
          </w:tcPr>
          <w:p w14:paraId="08AA0285" w14:textId="77777777" w:rsidR="008772FC" w:rsidRPr="00CF7887" w:rsidRDefault="008772FC" w:rsidP="008F2513">
            <w:pPr>
              <w:rPr>
                <w:rFonts w:ascii="Calibri" w:hAnsi="Calibri"/>
                <w:bCs/>
                <w:sz w:val="20"/>
              </w:rPr>
            </w:pPr>
            <w:r w:rsidRPr="00CF7887">
              <w:rPr>
                <w:rFonts w:ascii="Calibri" w:hAnsi="Calibri"/>
                <w:bCs/>
                <w:sz w:val="20"/>
              </w:rPr>
              <w:t>7,792</w:t>
            </w:r>
          </w:p>
        </w:tc>
        <w:tc>
          <w:tcPr>
            <w:tcW w:w="843" w:type="dxa"/>
            <w:shd w:val="clear" w:color="auto" w:fill="auto"/>
          </w:tcPr>
          <w:p w14:paraId="7D2F62AF" w14:textId="77777777" w:rsidR="008772FC" w:rsidRPr="00CF7887" w:rsidRDefault="008772FC" w:rsidP="008F2513">
            <w:pPr>
              <w:rPr>
                <w:rFonts w:ascii="Calibri" w:hAnsi="Calibri"/>
                <w:bCs/>
                <w:sz w:val="20"/>
              </w:rPr>
            </w:pPr>
            <w:r w:rsidRPr="00CF7887">
              <w:rPr>
                <w:rFonts w:ascii="Calibri" w:hAnsi="Calibri"/>
                <w:bCs/>
                <w:sz w:val="20"/>
              </w:rPr>
              <w:t>75.4</w:t>
            </w:r>
          </w:p>
        </w:tc>
        <w:tc>
          <w:tcPr>
            <w:tcW w:w="807" w:type="dxa"/>
            <w:shd w:val="clear" w:color="auto" w:fill="auto"/>
          </w:tcPr>
          <w:p w14:paraId="1DE9C086" w14:textId="67976950" w:rsidR="008772FC" w:rsidRPr="00CF7887" w:rsidRDefault="00516C55" w:rsidP="008F2513">
            <w:pPr>
              <w:rPr>
                <w:rFonts w:ascii="Calibri" w:hAnsi="Calibri"/>
                <w:bCs/>
                <w:sz w:val="20"/>
              </w:rPr>
            </w:pPr>
            <w:r>
              <w:rPr>
                <w:rFonts w:ascii="Calibri" w:hAnsi="Calibri"/>
                <w:bCs/>
                <w:sz w:val="20"/>
              </w:rPr>
              <w:t>8,718</w:t>
            </w:r>
          </w:p>
        </w:tc>
        <w:tc>
          <w:tcPr>
            <w:tcW w:w="807" w:type="dxa"/>
            <w:shd w:val="clear" w:color="auto" w:fill="auto"/>
          </w:tcPr>
          <w:p w14:paraId="2B8B8C5A" w14:textId="31C51314" w:rsidR="008772FC" w:rsidRPr="00CF7887" w:rsidRDefault="00516C55" w:rsidP="008F2513">
            <w:pPr>
              <w:rPr>
                <w:rFonts w:ascii="Calibri" w:hAnsi="Calibri"/>
                <w:bCs/>
                <w:sz w:val="20"/>
              </w:rPr>
            </w:pPr>
            <w:r>
              <w:rPr>
                <w:rFonts w:ascii="Calibri" w:hAnsi="Calibri"/>
                <w:bCs/>
                <w:sz w:val="20"/>
              </w:rPr>
              <w:t>81.0</w:t>
            </w:r>
          </w:p>
        </w:tc>
      </w:tr>
      <w:tr w:rsidR="008772FC" w:rsidRPr="004E50E7" w14:paraId="7B92E77D" w14:textId="77777777" w:rsidTr="00371754">
        <w:trPr>
          <w:cantSplit/>
          <w:jc w:val="center"/>
        </w:trPr>
        <w:tc>
          <w:tcPr>
            <w:tcW w:w="2171" w:type="dxa"/>
          </w:tcPr>
          <w:p w14:paraId="07272629" w14:textId="77777777" w:rsidR="00B52CF9" w:rsidRDefault="008772FC" w:rsidP="008F2513">
            <w:pPr>
              <w:ind w:right="-720"/>
              <w:rPr>
                <w:rFonts w:ascii="Calibri" w:hAnsi="Calibri"/>
                <w:bCs/>
                <w:sz w:val="20"/>
              </w:rPr>
            </w:pPr>
            <w:r w:rsidRPr="004E50E7">
              <w:rPr>
                <w:rFonts w:ascii="Calibri" w:hAnsi="Calibri"/>
                <w:bCs/>
                <w:sz w:val="20"/>
              </w:rPr>
              <w:lastRenderedPageBreak/>
              <w:t>Married Couple Families</w:t>
            </w:r>
          </w:p>
          <w:p w14:paraId="03EFAFBE" w14:textId="77777777" w:rsidR="008772FC" w:rsidRPr="004E50E7" w:rsidRDefault="00B52CF9" w:rsidP="00703EAC">
            <w:pPr>
              <w:ind w:right="-720"/>
              <w:rPr>
                <w:rFonts w:ascii="Calibri" w:hAnsi="Calibri"/>
                <w:bCs/>
                <w:sz w:val="20"/>
              </w:rPr>
            </w:pPr>
            <w:r>
              <w:rPr>
                <w:rFonts w:ascii="Calibri" w:hAnsi="Calibri"/>
                <w:bCs/>
                <w:sz w:val="20"/>
              </w:rPr>
              <w:t>With</w:t>
            </w:r>
            <w:r w:rsidR="00703EAC">
              <w:rPr>
                <w:rFonts w:ascii="Calibri" w:hAnsi="Calibri"/>
                <w:bCs/>
                <w:sz w:val="20"/>
              </w:rPr>
              <w:t xml:space="preserve"> C</w:t>
            </w:r>
            <w:r>
              <w:rPr>
                <w:rFonts w:ascii="Calibri" w:hAnsi="Calibri"/>
                <w:bCs/>
                <w:sz w:val="20"/>
              </w:rPr>
              <w:t xml:space="preserve">hildren </w:t>
            </w:r>
            <w:r w:rsidR="00703EAC">
              <w:rPr>
                <w:rFonts w:ascii="Calibri" w:hAnsi="Calibri"/>
                <w:bCs/>
                <w:sz w:val="20"/>
              </w:rPr>
              <w:t>&lt;</w:t>
            </w:r>
            <w:r>
              <w:rPr>
                <w:rFonts w:ascii="Calibri" w:hAnsi="Calibri"/>
                <w:bCs/>
                <w:sz w:val="20"/>
              </w:rPr>
              <w:t>18</w:t>
            </w:r>
            <w:r w:rsidR="008772FC" w:rsidRPr="004E50E7">
              <w:rPr>
                <w:rFonts w:ascii="Calibri" w:hAnsi="Calibri"/>
                <w:bCs/>
                <w:sz w:val="20"/>
              </w:rPr>
              <w:t>*</w:t>
            </w:r>
          </w:p>
        </w:tc>
        <w:tc>
          <w:tcPr>
            <w:tcW w:w="845" w:type="dxa"/>
          </w:tcPr>
          <w:p w14:paraId="1D35AC05" w14:textId="77777777" w:rsidR="008772FC" w:rsidRPr="004E50E7" w:rsidRDefault="008772FC" w:rsidP="008F2513">
            <w:pPr>
              <w:ind w:right="-720"/>
              <w:rPr>
                <w:rFonts w:ascii="Calibri" w:hAnsi="Calibri"/>
                <w:bCs/>
                <w:sz w:val="20"/>
              </w:rPr>
            </w:pPr>
            <w:r w:rsidRPr="004E50E7">
              <w:rPr>
                <w:rFonts w:ascii="Calibri" w:hAnsi="Calibri"/>
                <w:bCs/>
                <w:sz w:val="20"/>
              </w:rPr>
              <w:t>2,876</w:t>
            </w:r>
          </w:p>
        </w:tc>
        <w:tc>
          <w:tcPr>
            <w:tcW w:w="803" w:type="dxa"/>
          </w:tcPr>
          <w:p w14:paraId="2F1504CC" w14:textId="77777777" w:rsidR="008772FC" w:rsidRPr="004E50E7" w:rsidRDefault="008772FC" w:rsidP="008F2513">
            <w:pPr>
              <w:ind w:right="-720"/>
              <w:rPr>
                <w:rFonts w:ascii="Calibri" w:hAnsi="Calibri"/>
                <w:bCs/>
                <w:sz w:val="20"/>
              </w:rPr>
            </w:pPr>
            <w:r w:rsidRPr="004E50E7">
              <w:rPr>
                <w:rFonts w:ascii="Calibri" w:hAnsi="Calibri"/>
                <w:bCs/>
                <w:sz w:val="20"/>
              </w:rPr>
              <w:t>28.3</w:t>
            </w:r>
          </w:p>
        </w:tc>
        <w:tc>
          <w:tcPr>
            <w:tcW w:w="845" w:type="dxa"/>
          </w:tcPr>
          <w:p w14:paraId="5465DCCD" w14:textId="77777777" w:rsidR="008772FC" w:rsidRPr="004E50E7" w:rsidRDefault="008772FC" w:rsidP="008F2513">
            <w:pPr>
              <w:ind w:right="-720"/>
              <w:rPr>
                <w:rFonts w:ascii="Calibri" w:hAnsi="Calibri"/>
                <w:bCs/>
                <w:sz w:val="20"/>
              </w:rPr>
            </w:pPr>
            <w:r w:rsidRPr="004E50E7">
              <w:rPr>
                <w:rFonts w:ascii="Calibri" w:hAnsi="Calibri"/>
                <w:bCs/>
                <w:sz w:val="20"/>
              </w:rPr>
              <w:t>3,528</w:t>
            </w:r>
          </w:p>
        </w:tc>
        <w:tc>
          <w:tcPr>
            <w:tcW w:w="845" w:type="dxa"/>
          </w:tcPr>
          <w:p w14:paraId="62D48461" w14:textId="77777777" w:rsidR="008772FC" w:rsidRPr="004E50E7" w:rsidRDefault="008772FC" w:rsidP="008F2513">
            <w:pPr>
              <w:ind w:right="-720"/>
              <w:rPr>
                <w:rFonts w:ascii="Calibri" w:hAnsi="Calibri"/>
                <w:bCs/>
                <w:sz w:val="20"/>
              </w:rPr>
            </w:pPr>
            <w:r w:rsidRPr="004E50E7">
              <w:rPr>
                <w:rFonts w:ascii="Calibri" w:hAnsi="Calibri"/>
                <w:bCs/>
                <w:sz w:val="20"/>
              </w:rPr>
              <w:t>33.2</w:t>
            </w:r>
          </w:p>
        </w:tc>
        <w:tc>
          <w:tcPr>
            <w:tcW w:w="890" w:type="dxa"/>
            <w:shd w:val="clear" w:color="auto" w:fill="auto"/>
          </w:tcPr>
          <w:p w14:paraId="0DE76A43" w14:textId="77777777" w:rsidR="008772FC" w:rsidRPr="00CF7887" w:rsidRDefault="008772FC" w:rsidP="008F2513">
            <w:pPr>
              <w:rPr>
                <w:rFonts w:ascii="Calibri" w:hAnsi="Calibri"/>
                <w:bCs/>
                <w:sz w:val="20"/>
              </w:rPr>
            </w:pPr>
            <w:r w:rsidRPr="00CF7887">
              <w:rPr>
                <w:rFonts w:ascii="Calibri" w:hAnsi="Calibri"/>
                <w:bCs/>
                <w:sz w:val="20"/>
              </w:rPr>
              <w:t>3,619</w:t>
            </w:r>
          </w:p>
        </w:tc>
        <w:tc>
          <w:tcPr>
            <w:tcW w:w="843" w:type="dxa"/>
            <w:shd w:val="clear" w:color="auto" w:fill="auto"/>
          </w:tcPr>
          <w:p w14:paraId="01E44AD6" w14:textId="77777777" w:rsidR="008772FC" w:rsidRPr="00CF7887" w:rsidRDefault="008772FC" w:rsidP="008F2513">
            <w:pPr>
              <w:rPr>
                <w:rFonts w:ascii="Calibri" w:hAnsi="Calibri"/>
                <w:bCs/>
                <w:sz w:val="20"/>
              </w:rPr>
            </w:pPr>
            <w:r w:rsidRPr="00CF7887">
              <w:rPr>
                <w:rFonts w:ascii="Calibri" w:hAnsi="Calibri"/>
                <w:bCs/>
                <w:sz w:val="20"/>
              </w:rPr>
              <w:t>35.0</w:t>
            </w:r>
          </w:p>
        </w:tc>
        <w:tc>
          <w:tcPr>
            <w:tcW w:w="807" w:type="dxa"/>
            <w:shd w:val="clear" w:color="auto" w:fill="auto"/>
          </w:tcPr>
          <w:p w14:paraId="2E179397" w14:textId="0738BD17" w:rsidR="008772FC" w:rsidRPr="00CF7887" w:rsidRDefault="00516C55" w:rsidP="008F2513">
            <w:pPr>
              <w:rPr>
                <w:rFonts w:ascii="Calibri" w:hAnsi="Calibri"/>
                <w:bCs/>
                <w:sz w:val="20"/>
              </w:rPr>
            </w:pPr>
            <w:r>
              <w:rPr>
                <w:rFonts w:ascii="Calibri" w:hAnsi="Calibri"/>
                <w:bCs/>
                <w:sz w:val="20"/>
              </w:rPr>
              <w:t>3,953</w:t>
            </w:r>
          </w:p>
        </w:tc>
        <w:tc>
          <w:tcPr>
            <w:tcW w:w="807" w:type="dxa"/>
            <w:shd w:val="clear" w:color="auto" w:fill="auto"/>
          </w:tcPr>
          <w:p w14:paraId="5985C2E6" w14:textId="7F98E5AA" w:rsidR="008772FC" w:rsidRPr="00CF7887" w:rsidRDefault="00516C55" w:rsidP="008F2513">
            <w:pPr>
              <w:rPr>
                <w:rFonts w:ascii="Calibri" w:hAnsi="Calibri"/>
                <w:bCs/>
                <w:sz w:val="20"/>
              </w:rPr>
            </w:pPr>
            <w:r>
              <w:rPr>
                <w:rFonts w:ascii="Calibri" w:hAnsi="Calibri"/>
                <w:bCs/>
                <w:sz w:val="20"/>
              </w:rPr>
              <w:t>36.7</w:t>
            </w:r>
          </w:p>
        </w:tc>
      </w:tr>
      <w:tr w:rsidR="008772FC" w:rsidRPr="004E50E7" w14:paraId="6ABA1266" w14:textId="77777777" w:rsidTr="00371754">
        <w:trPr>
          <w:cantSplit/>
          <w:jc w:val="center"/>
        </w:trPr>
        <w:tc>
          <w:tcPr>
            <w:tcW w:w="2171" w:type="dxa"/>
          </w:tcPr>
          <w:p w14:paraId="4DC7A2DE" w14:textId="77777777" w:rsidR="008772FC" w:rsidRPr="004E50E7" w:rsidRDefault="008772FC" w:rsidP="008F2513">
            <w:pPr>
              <w:ind w:right="-720"/>
              <w:rPr>
                <w:rFonts w:ascii="Calibri" w:hAnsi="Calibri"/>
                <w:bCs/>
                <w:sz w:val="20"/>
              </w:rPr>
            </w:pPr>
            <w:r w:rsidRPr="004E50E7">
              <w:rPr>
                <w:rFonts w:ascii="Calibri" w:hAnsi="Calibri"/>
                <w:bCs/>
                <w:sz w:val="20"/>
              </w:rPr>
              <w:t xml:space="preserve">Female Headed Families  </w:t>
            </w:r>
          </w:p>
          <w:p w14:paraId="7EBFED3F" w14:textId="77777777" w:rsidR="008772FC" w:rsidRPr="004E50E7" w:rsidRDefault="008772FC" w:rsidP="00A54045">
            <w:pPr>
              <w:ind w:right="-720"/>
              <w:rPr>
                <w:rFonts w:ascii="Calibri" w:hAnsi="Calibri"/>
                <w:bCs/>
                <w:sz w:val="20"/>
              </w:rPr>
            </w:pPr>
            <w:r w:rsidRPr="004E50E7">
              <w:rPr>
                <w:rFonts w:ascii="Calibri" w:hAnsi="Calibri"/>
                <w:bCs/>
                <w:sz w:val="20"/>
              </w:rPr>
              <w:t>With Children</w:t>
            </w:r>
            <w:r w:rsidR="00B52CF9">
              <w:rPr>
                <w:rFonts w:ascii="Calibri" w:hAnsi="Calibri"/>
                <w:bCs/>
                <w:sz w:val="20"/>
              </w:rPr>
              <w:t xml:space="preserve"> </w:t>
            </w:r>
            <w:r w:rsidR="00703EAC">
              <w:rPr>
                <w:rFonts w:ascii="Calibri" w:hAnsi="Calibri"/>
                <w:bCs/>
                <w:sz w:val="20"/>
              </w:rPr>
              <w:t>&lt;</w:t>
            </w:r>
            <w:r w:rsidR="00B52CF9">
              <w:rPr>
                <w:rFonts w:ascii="Calibri" w:hAnsi="Calibri"/>
                <w:bCs/>
                <w:sz w:val="20"/>
              </w:rPr>
              <w:t>18</w:t>
            </w:r>
            <w:r w:rsidRPr="004E50E7">
              <w:rPr>
                <w:rFonts w:ascii="Calibri" w:hAnsi="Calibri"/>
                <w:bCs/>
                <w:sz w:val="20"/>
              </w:rPr>
              <w:t>*</w:t>
            </w:r>
          </w:p>
        </w:tc>
        <w:tc>
          <w:tcPr>
            <w:tcW w:w="845" w:type="dxa"/>
          </w:tcPr>
          <w:p w14:paraId="23FD787C" w14:textId="77777777" w:rsidR="008772FC" w:rsidRPr="004E50E7" w:rsidRDefault="008772FC" w:rsidP="008F2513">
            <w:pPr>
              <w:ind w:right="-720"/>
              <w:rPr>
                <w:rFonts w:ascii="Calibri" w:hAnsi="Calibri"/>
                <w:bCs/>
                <w:sz w:val="20"/>
              </w:rPr>
            </w:pPr>
            <w:r w:rsidRPr="004E50E7">
              <w:rPr>
                <w:rFonts w:ascii="Calibri" w:hAnsi="Calibri"/>
                <w:bCs/>
                <w:sz w:val="20"/>
              </w:rPr>
              <w:t>331</w:t>
            </w:r>
          </w:p>
        </w:tc>
        <w:tc>
          <w:tcPr>
            <w:tcW w:w="803" w:type="dxa"/>
          </w:tcPr>
          <w:p w14:paraId="4E03E46B" w14:textId="77777777" w:rsidR="008772FC" w:rsidRPr="004E50E7" w:rsidRDefault="008772FC" w:rsidP="008F2513">
            <w:pPr>
              <w:ind w:right="-720"/>
              <w:rPr>
                <w:rFonts w:ascii="Calibri" w:hAnsi="Calibri"/>
                <w:bCs/>
                <w:sz w:val="20"/>
              </w:rPr>
            </w:pPr>
            <w:r w:rsidRPr="004E50E7">
              <w:rPr>
                <w:rFonts w:ascii="Calibri" w:hAnsi="Calibri"/>
                <w:bCs/>
                <w:sz w:val="20"/>
              </w:rPr>
              <w:t>3.3</w:t>
            </w:r>
          </w:p>
        </w:tc>
        <w:tc>
          <w:tcPr>
            <w:tcW w:w="845" w:type="dxa"/>
          </w:tcPr>
          <w:p w14:paraId="065EBFA1" w14:textId="77777777" w:rsidR="008772FC" w:rsidRPr="004E50E7" w:rsidRDefault="008772FC" w:rsidP="008F2513">
            <w:pPr>
              <w:ind w:right="-720"/>
              <w:rPr>
                <w:rFonts w:ascii="Calibri" w:hAnsi="Calibri"/>
                <w:bCs/>
                <w:sz w:val="20"/>
              </w:rPr>
            </w:pPr>
            <w:r w:rsidRPr="004E50E7">
              <w:rPr>
                <w:rFonts w:ascii="Calibri" w:hAnsi="Calibri"/>
                <w:bCs/>
                <w:sz w:val="20"/>
              </w:rPr>
              <w:t>337</w:t>
            </w:r>
          </w:p>
        </w:tc>
        <w:tc>
          <w:tcPr>
            <w:tcW w:w="845" w:type="dxa"/>
          </w:tcPr>
          <w:p w14:paraId="7BEA4665" w14:textId="77777777" w:rsidR="008772FC" w:rsidRPr="004E50E7" w:rsidRDefault="008772FC" w:rsidP="008F2513">
            <w:pPr>
              <w:ind w:right="-720"/>
              <w:rPr>
                <w:rFonts w:ascii="Calibri" w:hAnsi="Calibri"/>
                <w:bCs/>
                <w:sz w:val="20"/>
              </w:rPr>
            </w:pPr>
            <w:r w:rsidRPr="004E50E7">
              <w:rPr>
                <w:rFonts w:ascii="Calibri" w:hAnsi="Calibri"/>
                <w:bCs/>
                <w:sz w:val="20"/>
              </w:rPr>
              <w:t>3.2</w:t>
            </w:r>
          </w:p>
        </w:tc>
        <w:tc>
          <w:tcPr>
            <w:tcW w:w="890" w:type="dxa"/>
            <w:shd w:val="clear" w:color="auto" w:fill="auto"/>
          </w:tcPr>
          <w:p w14:paraId="659B98C2" w14:textId="77777777" w:rsidR="008772FC" w:rsidRPr="00CF7887" w:rsidRDefault="008772FC" w:rsidP="008F2513">
            <w:pPr>
              <w:rPr>
                <w:rFonts w:ascii="Calibri" w:hAnsi="Calibri"/>
                <w:bCs/>
                <w:sz w:val="20"/>
              </w:rPr>
            </w:pPr>
            <w:r w:rsidRPr="00CF7887">
              <w:rPr>
                <w:rFonts w:ascii="Calibri" w:hAnsi="Calibri"/>
                <w:bCs/>
                <w:sz w:val="20"/>
              </w:rPr>
              <w:t>386</w:t>
            </w:r>
          </w:p>
        </w:tc>
        <w:tc>
          <w:tcPr>
            <w:tcW w:w="843" w:type="dxa"/>
            <w:shd w:val="clear" w:color="auto" w:fill="auto"/>
          </w:tcPr>
          <w:p w14:paraId="1D404549" w14:textId="77777777" w:rsidR="008772FC" w:rsidRPr="00CF7887" w:rsidRDefault="008772FC" w:rsidP="008F2513">
            <w:pPr>
              <w:rPr>
                <w:rFonts w:ascii="Calibri" w:hAnsi="Calibri"/>
                <w:bCs/>
                <w:sz w:val="20"/>
              </w:rPr>
            </w:pPr>
            <w:r w:rsidRPr="00CF7887">
              <w:rPr>
                <w:rFonts w:ascii="Calibri" w:hAnsi="Calibri"/>
                <w:bCs/>
                <w:sz w:val="20"/>
              </w:rPr>
              <w:t>3.7</w:t>
            </w:r>
          </w:p>
        </w:tc>
        <w:tc>
          <w:tcPr>
            <w:tcW w:w="807" w:type="dxa"/>
            <w:shd w:val="clear" w:color="auto" w:fill="auto"/>
          </w:tcPr>
          <w:p w14:paraId="45AED032" w14:textId="1A0A61BE" w:rsidR="008772FC" w:rsidRPr="00CF7887" w:rsidRDefault="008337DF" w:rsidP="008F2513">
            <w:pPr>
              <w:rPr>
                <w:rFonts w:ascii="Calibri" w:hAnsi="Calibri"/>
                <w:bCs/>
                <w:sz w:val="20"/>
              </w:rPr>
            </w:pPr>
            <w:r>
              <w:rPr>
                <w:rFonts w:ascii="Calibri" w:hAnsi="Calibri"/>
                <w:bCs/>
                <w:sz w:val="20"/>
              </w:rPr>
              <w:t>428</w:t>
            </w:r>
          </w:p>
        </w:tc>
        <w:tc>
          <w:tcPr>
            <w:tcW w:w="807" w:type="dxa"/>
            <w:shd w:val="clear" w:color="auto" w:fill="auto"/>
          </w:tcPr>
          <w:p w14:paraId="5E75DD5D" w14:textId="56D03613" w:rsidR="008772FC" w:rsidRPr="00CF7887" w:rsidRDefault="008337DF" w:rsidP="008F2513">
            <w:pPr>
              <w:rPr>
                <w:rFonts w:ascii="Calibri" w:hAnsi="Calibri"/>
                <w:bCs/>
                <w:sz w:val="20"/>
              </w:rPr>
            </w:pPr>
            <w:r>
              <w:rPr>
                <w:rFonts w:ascii="Calibri" w:hAnsi="Calibri"/>
                <w:bCs/>
                <w:sz w:val="20"/>
              </w:rPr>
              <w:t>4.0</w:t>
            </w:r>
          </w:p>
        </w:tc>
      </w:tr>
      <w:tr w:rsidR="008772FC" w:rsidRPr="004E50E7" w14:paraId="52281D4A" w14:textId="77777777" w:rsidTr="00371754">
        <w:trPr>
          <w:cantSplit/>
          <w:jc w:val="center"/>
        </w:trPr>
        <w:tc>
          <w:tcPr>
            <w:tcW w:w="2171" w:type="dxa"/>
          </w:tcPr>
          <w:p w14:paraId="7F60B62E" w14:textId="77777777" w:rsidR="008772FC" w:rsidRPr="004E50E7" w:rsidRDefault="008772FC" w:rsidP="00A54045">
            <w:pPr>
              <w:ind w:right="-720"/>
              <w:rPr>
                <w:rFonts w:ascii="Calibri" w:hAnsi="Calibri"/>
                <w:bCs/>
                <w:sz w:val="20"/>
              </w:rPr>
            </w:pPr>
            <w:r w:rsidRPr="004E50E7">
              <w:rPr>
                <w:rFonts w:ascii="Calibri" w:hAnsi="Calibri"/>
                <w:bCs/>
                <w:sz w:val="20"/>
              </w:rPr>
              <w:t>Non-family Households*</w:t>
            </w:r>
          </w:p>
        </w:tc>
        <w:tc>
          <w:tcPr>
            <w:tcW w:w="845" w:type="dxa"/>
          </w:tcPr>
          <w:p w14:paraId="3C3A0ED4" w14:textId="77777777" w:rsidR="008772FC" w:rsidRPr="004E50E7" w:rsidRDefault="008772FC" w:rsidP="008F2513">
            <w:pPr>
              <w:ind w:right="-720"/>
              <w:rPr>
                <w:rFonts w:ascii="Calibri" w:hAnsi="Calibri"/>
                <w:bCs/>
                <w:sz w:val="20"/>
              </w:rPr>
            </w:pPr>
            <w:r w:rsidRPr="004E50E7">
              <w:rPr>
                <w:rFonts w:ascii="Calibri" w:hAnsi="Calibri"/>
                <w:bCs/>
                <w:sz w:val="20"/>
              </w:rPr>
              <w:t>2,595</w:t>
            </w:r>
          </w:p>
        </w:tc>
        <w:tc>
          <w:tcPr>
            <w:tcW w:w="803" w:type="dxa"/>
          </w:tcPr>
          <w:p w14:paraId="1A57A845" w14:textId="77777777" w:rsidR="008772FC" w:rsidRPr="004E50E7" w:rsidRDefault="008772FC" w:rsidP="008F2513">
            <w:pPr>
              <w:ind w:right="-720"/>
              <w:rPr>
                <w:rFonts w:ascii="Calibri" w:hAnsi="Calibri"/>
                <w:bCs/>
                <w:sz w:val="20"/>
              </w:rPr>
            </w:pPr>
            <w:r w:rsidRPr="004E50E7">
              <w:rPr>
                <w:rFonts w:ascii="Calibri" w:hAnsi="Calibri"/>
                <w:bCs/>
                <w:sz w:val="20"/>
              </w:rPr>
              <w:t>25.5</w:t>
            </w:r>
          </w:p>
        </w:tc>
        <w:tc>
          <w:tcPr>
            <w:tcW w:w="845" w:type="dxa"/>
          </w:tcPr>
          <w:p w14:paraId="2FDF1CF5" w14:textId="77777777" w:rsidR="008772FC" w:rsidRPr="004E50E7" w:rsidRDefault="008772FC" w:rsidP="008F2513">
            <w:pPr>
              <w:ind w:right="-720"/>
              <w:rPr>
                <w:rFonts w:ascii="Calibri" w:hAnsi="Calibri"/>
                <w:bCs/>
                <w:sz w:val="20"/>
              </w:rPr>
            </w:pPr>
            <w:r w:rsidRPr="004E50E7">
              <w:rPr>
                <w:rFonts w:ascii="Calibri" w:hAnsi="Calibri"/>
                <w:bCs/>
                <w:sz w:val="20"/>
              </w:rPr>
              <w:t>2,830</w:t>
            </w:r>
          </w:p>
        </w:tc>
        <w:tc>
          <w:tcPr>
            <w:tcW w:w="845" w:type="dxa"/>
          </w:tcPr>
          <w:p w14:paraId="1D66BE32" w14:textId="77777777" w:rsidR="008772FC" w:rsidRPr="004E50E7" w:rsidRDefault="008772FC" w:rsidP="008F2513">
            <w:pPr>
              <w:ind w:right="-720"/>
              <w:rPr>
                <w:rFonts w:ascii="Calibri" w:hAnsi="Calibri"/>
                <w:bCs/>
                <w:sz w:val="20"/>
              </w:rPr>
            </w:pPr>
            <w:r w:rsidRPr="004E50E7">
              <w:rPr>
                <w:rFonts w:ascii="Calibri" w:hAnsi="Calibri"/>
                <w:bCs/>
                <w:sz w:val="20"/>
              </w:rPr>
              <w:t>26.7</w:t>
            </w:r>
          </w:p>
        </w:tc>
        <w:tc>
          <w:tcPr>
            <w:tcW w:w="890" w:type="dxa"/>
            <w:shd w:val="clear" w:color="auto" w:fill="auto"/>
          </w:tcPr>
          <w:p w14:paraId="099B39D1" w14:textId="77777777" w:rsidR="008772FC" w:rsidRPr="00CF7887" w:rsidRDefault="008772FC" w:rsidP="008F2513">
            <w:pPr>
              <w:rPr>
                <w:rFonts w:ascii="Calibri" w:hAnsi="Calibri"/>
                <w:bCs/>
                <w:sz w:val="20"/>
              </w:rPr>
            </w:pPr>
            <w:r w:rsidRPr="00CF7887">
              <w:rPr>
                <w:rFonts w:ascii="Calibri" w:hAnsi="Calibri"/>
                <w:bCs/>
                <w:sz w:val="20"/>
              </w:rPr>
              <w:t>2,549</w:t>
            </w:r>
          </w:p>
        </w:tc>
        <w:tc>
          <w:tcPr>
            <w:tcW w:w="843" w:type="dxa"/>
            <w:shd w:val="clear" w:color="auto" w:fill="auto"/>
          </w:tcPr>
          <w:p w14:paraId="2305BC80" w14:textId="77777777" w:rsidR="008772FC" w:rsidRPr="00CF7887" w:rsidRDefault="008772FC" w:rsidP="008F2513">
            <w:pPr>
              <w:rPr>
                <w:rFonts w:ascii="Calibri" w:hAnsi="Calibri"/>
                <w:bCs/>
                <w:sz w:val="20"/>
              </w:rPr>
            </w:pPr>
            <w:r w:rsidRPr="00CF7887">
              <w:rPr>
                <w:rFonts w:ascii="Calibri" w:hAnsi="Calibri"/>
                <w:bCs/>
                <w:sz w:val="20"/>
              </w:rPr>
              <w:t>24.6</w:t>
            </w:r>
          </w:p>
        </w:tc>
        <w:tc>
          <w:tcPr>
            <w:tcW w:w="807" w:type="dxa"/>
            <w:shd w:val="clear" w:color="auto" w:fill="auto"/>
          </w:tcPr>
          <w:p w14:paraId="2E1D4F78" w14:textId="34BF0D13" w:rsidR="008772FC" w:rsidRPr="00CF7887" w:rsidRDefault="00516C55" w:rsidP="008F2513">
            <w:pPr>
              <w:rPr>
                <w:rFonts w:ascii="Calibri" w:hAnsi="Calibri"/>
                <w:bCs/>
                <w:sz w:val="20"/>
              </w:rPr>
            </w:pPr>
            <w:r>
              <w:rPr>
                <w:rFonts w:ascii="Calibri" w:hAnsi="Calibri"/>
                <w:bCs/>
                <w:sz w:val="20"/>
              </w:rPr>
              <w:t>2,047</w:t>
            </w:r>
          </w:p>
        </w:tc>
        <w:tc>
          <w:tcPr>
            <w:tcW w:w="807" w:type="dxa"/>
            <w:shd w:val="clear" w:color="auto" w:fill="auto"/>
          </w:tcPr>
          <w:p w14:paraId="357E87AF" w14:textId="1FAA72CB" w:rsidR="008772FC" w:rsidRPr="00CF7887" w:rsidRDefault="00516C55" w:rsidP="008F2513">
            <w:pPr>
              <w:rPr>
                <w:rFonts w:ascii="Calibri" w:hAnsi="Calibri"/>
                <w:bCs/>
                <w:sz w:val="20"/>
              </w:rPr>
            </w:pPr>
            <w:r>
              <w:rPr>
                <w:rFonts w:ascii="Calibri" w:hAnsi="Calibri"/>
                <w:bCs/>
                <w:sz w:val="20"/>
              </w:rPr>
              <w:t>19.0</w:t>
            </w:r>
          </w:p>
        </w:tc>
      </w:tr>
      <w:tr w:rsidR="008772FC" w:rsidRPr="004E50E7" w14:paraId="2CE42B4C" w14:textId="77777777" w:rsidTr="00371754">
        <w:trPr>
          <w:cantSplit/>
          <w:jc w:val="center"/>
        </w:trPr>
        <w:tc>
          <w:tcPr>
            <w:tcW w:w="2171" w:type="dxa"/>
          </w:tcPr>
          <w:p w14:paraId="67F87C1E" w14:textId="77777777" w:rsidR="008772FC" w:rsidRPr="004E50E7" w:rsidRDefault="008772FC" w:rsidP="00703EAC">
            <w:pPr>
              <w:ind w:right="-720"/>
              <w:rPr>
                <w:rFonts w:ascii="Calibri" w:hAnsi="Calibri"/>
                <w:bCs/>
                <w:sz w:val="20"/>
              </w:rPr>
            </w:pPr>
            <w:r w:rsidRPr="004E50E7">
              <w:rPr>
                <w:rFonts w:ascii="Calibri" w:hAnsi="Calibri"/>
                <w:bCs/>
                <w:sz w:val="20"/>
              </w:rPr>
              <w:t xml:space="preserve">Persons </w:t>
            </w:r>
            <w:r w:rsidR="00703EAC">
              <w:rPr>
                <w:rFonts w:ascii="Calibri" w:hAnsi="Calibri"/>
                <w:bCs/>
                <w:sz w:val="20"/>
              </w:rPr>
              <w:t>L</w:t>
            </w:r>
            <w:r w:rsidRPr="004E50E7">
              <w:rPr>
                <w:rFonts w:ascii="Calibri" w:hAnsi="Calibri"/>
                <w:bCs/>
                <w:sz w:val="20"/>
              </w:rPr>
              <w:t xml:space="preserve">iving </w:t>
            </w:r>
            <w:r w:rsidR="00703EAC">
              <w:rPr>
                <w:rFonts w:ascii="Calibri" w:hAnsi="Calibri"/>
                <w:bCs/>
                <w:sz w:val="20"/>
              </w:rPr>
              <w:t>A</w:t>
            </w:r>
            <w:r w:rsidRPr="004E50E7">
              <w:rPr>
                <w:rFonts w:ascii="Calibri" w:hAnsi="Calibri"/>
                <w:bCs/>
                <w:sz w:val="20"/>
              </w:rPr>
              <w:t>lone*</w:t>
            </w:r>
          </w:p>
        </w:tc>
        <w:tc>
          <w:tcPr>
            <w:tcW w:w="845" w:type="dxa"/>
          </w:tcPr>
          <w:p w14:paraId="42BE7BBE" w14:textId="77777777" w:rsidR="008772FC" w:rsidRPr="004E50E7" w:rsidRDefault="008772FC" w:rsidP="008F2513">
            <w:pPr>
              <w:ind w:right="-720"/>
              <w:rPr>
                <w:rFonts w:ascii="Calibri" w:hAnsi="Calibri"/>
                <w:bCs/>
                <w:sz w:val="20"/>
              </w:rPr>
            </w:pPr>
            <w:r w:rsidRPr="004E50E7">
              <w:rPr>
                <w:rFonts w:ascii="Calibri" w:hAnsi="Calibri"/>
                <w:bCs/>
                <w:sz w:val="20"/>
              </w:rPr>
              <w:t>2,149</w:t>
            </w:r>
          </w:p>
        </w:tc>
        <w:tc>
          <w:tcPr>
            <w:tcW w:w="803" w:type="dxa"/>
          </w:tcPr>
          <w:p w14:paraId="209DF0A2" w14:textId="77777777" w:rsidR="008772FC" w:rsidRPr="004E50E7" w:rsidRDefault="008772FC" w:rsidP="008F2513">
            <w:pPr>
              <w:ind w:right="-720"/>
              <w:rPr>
                <w:rFonts w:ascii="Calibri" w:hAnsi="Calibri"/>
                <w:bCs/>
                <w:sz w:val="20"/>
              </w:rPr>
            </w:pPr>
            <w:r w:rsidRPr="004E50E7">
              <w:rPr>
                <w:rFonts w:ascii="Calibri" w:hAnsi="Calibri"/>
                <w:bCs/>
                <w:sz w:val="20"/>
              </w:rPr>
              <w:t>21.2</w:t>
            </w:r>
          </w:p>
        </w:tc>
        <w:tc>
          <w:tcPr>
            <w:tcW w:w="845" w:type="dxa"/>
          </w:tcPr>
          <w:p w14:paraId="66252AB3" w14:textId="5DC2C02A" w:rsidR="008772FC" w:rsidRPr="004E50E7" w:rsidRDefault="008772FC" w:rsidP="008F2513">
            <w:pPr>
              <w:ind w:right="-720"/>
              <w:rPr>
                <w:rFonts w:ascii="Calibri" w:hAnsi="Calibri"/>
                <w:bCs/>
                <w:sz w:val="20"/>
              </w:rPr>
            </w:pPr>
            <w:r w:rsidRPr="004E50E7">
              <w:rPr>
                <w:rFonts w:ascii="Calibri" w:hAnsi="Calibri"/>
                <w:bCs/>
                <w:sz w:val="20"/>
              </w:rPr>
              <w:t>2,47</w:t>
            </w:r>
            <w:r w:rsidR="00003F99">
              <w:rPr>
                <w:rFonts w:ascii="Calibri" w:hAnsi="Calibri"/>
                <w:bCs/>
                <w:sz w:val="20"/>
              </w:rPr>
              <w:t>0</w:t>
            </w:r>
          </w:p>
        </w:tc>
        <w:tc>
          <w:tcPr>
            <w:tcW w:w="845" w:type="dxa"/>
          </w:tcPr>
          <w:p w14:paraId="3AE4098B" w14:textId="700BCC27" w:rsidR="008772FC" w:rsidRPr="004E50E7" w:rsidRDefault="008772FC" w:rsidP="008F2513">
            <w:pPr>
              <w:ind w:right="-720"/>
              <w:rPr>
                <w:rFonts w:ascii="Calibri" w:hAnsi="Calibri"/>
                <w:bCs/>
                <w:sz w:val="20"/>
              </w:rPr>
            </w:pPr>
            <w:r w:rsidRPr="004E50E7">
              <w:rPr>
                <w:rFonts w:ascii="Calibri" w:hAnsi="Calibri"/>
                <w:bCs/>
                <w:sz w:val="20"/>
              </w:rPr>
              <w:t>23.</w:t>
            </w:r>
            <w:r w:rsidR="00003F99">
              <w:rPr>
                <w:rFonts w:ascii="Calibri" w:hAnsi="Calibri"/>
                <w:bCs/>
                <w:sz w:val="20"/>
              </w:rPr>
              <w:t>3</w:t>
            </w:r>
          </w:p>
        </w:tc>
        <w:tc>
          <w:tcPr>
            <w:tcW w:w="890" w:type="dxa"/>
            <w:shd w:val="clear" w:color="auto" w:fill="auto"/>
          </w:tcPr>
          <w:p w14:paraId="594EDE47" w14:textId="6C0C0E86" w:rsidR="008772FC" w:rsidRPr="00CF7887" w:rsidRDefault="008772FC" w:rsidP="008F2513">
            <w:pPr>
              <w:rPr>
                <w:rFonts w:ascii="Calibri" w:hAnsi="Calibri"/>
                <w:bCs/>
                <w:sz w:val="20"/>
              </w:rPr>
            </w:pPr>
            <w:r w:rsidRPr="00CF7887">
              <w:rPr>
                <w:rFonts w:ascii="Calibri" w:hAnsi="Calibri"/>
                <w:bCs/>
                <w:sz w:val="20"/>
              </w:rPr>
              <w:t>2,</w:t>
            </w:r>
            <w:r w:rsidR="00003F99">
              <w:rPr>
                <w:rFonts w:ascii="Calibri" w:hAnsi="Calibri"/>
                <w:bCs/>
                <w:sz w:val="20"/>
              </w:rPr>
              <w:t>492</w:t>
            </w:r>
          </w:p>
        </w:tc>
        <w:tc>
          <w:tcPr>
            <w:tcW w:w="843" w:type="dxa"/>
            <w:shd w:val="clear" w:color="auto" w:fill="auto"/>
          </w:tcPr>
          <w:p w14:paraId="41B24041" w14:textId="71710D1D" w:rsidR="008772FC" w:rsidRPr="00CF7887" w:rsidRDefault="00003F99" w:rsidP="008F2513">
            <w:pPr>
              <w:rPr>
                <w:rFonts w:ascii="Calibri" w:hAnsi="Calibri"/>
                <w:bCs/>
                <w:sz w:val="20"/>
              </w:rPr>
            </w:pPr>
            <w:r>
              <w:rPr>
                <w:rFonts w:ascii="Calibri" w:hAnsi="Calibri"/>
                <w:bCs/>
                <w:sz w:val="20"/>
              </w:rPr>
              <w:t>24.0</w:t>
            </w:r>
          </w:p>
        </w:tc>
        <w:tc>
          <w:tcPr>
            <w:tcW w:w="807" w:type="dxa"/>
            <w:shd w:val="clear" w:color="auto" w:fill="auto"/>
          </w:tcPr>
          <w:p w14:paraId="6E57DE1E" w14:textId="3C9F3DAC" w:rsidR="008772FC" w:rsidRPr="00CF7887" w:rsidRDefault="008337DF" w:rsidP="008F2513">
            <w:pPr>
              <w:rPr>
                <w:rFonts w:ascii="Calibri" w:hAnsi="Calibri"/>
                <w:bCs/>
                <w:sz w:val="20"/>
              </w:rPr>
            </w:pPr>
            <w:r>
              <w:rPr>
                <w:rFonts w:ascii="Calibri" w:hAnsi="Calibri"/>
                <w:bCs/>
                <w:sz w:val="20"/>
              </w:rPr>
              <w:t>1,857</w:t>
            </w:r>
          </w:p>
        </w:tc>
        <w:tc>
          <w:tcPr>
            <w:tcW w:w="807" w:type="dxa"/>
            <w:shd w:val="clear" w:color="auto" w:fill="auto"/>
          </w:tcPr>
          <w:p w14:paraId="3BF1234E" w14:textId="3D446408" w:rsidR="008772FC" w:rsidRPr="00CF7887" w:rsidRDefault="008337DF" w:rsidP="008F2513">
            <w:pPr>
              <w:rPr>
                <w:rFonts w:ascii="Calibri" w:hAnsi="Calibri"/>
                <w:bCs/>
                <w:sz w:val="20"/>
              </w:rPr>
            </w:pPr>
            <w:r>
              <w:rPr>
                <w:rFonts w:ascii="Calibri" w:hAnsi="Calibri"/>
                <w:bCs/>
                <w:sz w:val="20"/>
              </w:rPr>
              <w:t>17.</w:t>
            </w:r>
            <w:r w:rsidR="00003F99">
              <w:rPr>
                <w:rFonts w:ascii="Calibri" w:hAnsi="Calibri"/>
                <w:bCs/>
                <w:sz w:val="20"/>
              </w:rPr>
              <w:t>2</w:t>
            </w:r>
          </w:p>
        </w:tc>
      </w:tr>
      <w:tr w:rsidR="008772FC" w:rsidRPr="004E50E7" w14:paraId="57C7C88A" w14:textId="77777777" w:rsidTr="00371754">
        <w:trPr>
          <w:cantSplit/>
          <w:jc w:val="center"/>
        </w:trPr>
        <w:tc>
          <w:tcPr>
            <w:tcW w:w="2171" w:type="dxa"/>
          </w:tcPr>
          <w:p w14:paraId="485DD2C8" w14:textId="77777777" w:rsidR="008772FC" w:rsidRPr="004E50E7" w:rsidRDefault="008772FC" w:rsidP="008F2513">
            <w:pPr>
              <w:ind w:right="-720"/>
              <w:rPr>
                <w:rFonts w:ascii="Calibri" w:hAnsi="Calibri"/>
                <w:bCs/>
                <w:sz w:val="20"/>
              </w:rPr>
            </w:pPr>
            <w:r w:rsidRPr="004E50E7">
              <w:rPr>
                <w:rFonts w:ascii="Calibri" w:hAnsi="Calibri"/>
                <w:bCs/>
                <w:sz w:val="20"/>
              </w:rPr>
              <w:t>Average Household Size</w:t>
            </w:r>
          </w:p>
        </w:tc>
        <w:tc>
          <w:tcPr>
            <w:tcW w:w="1648" w:type="dxa"/>
            <w:gridSpan w:val="2"/>
          </w:tcPr>
          <w:p w14:paraId="526C2A22" w14:textId="77777777" w:rsidR="008772FC" w:rsidRPr="004E50E7" w:rsidRDefault="008772FC" w:rsidP="008F2513">
            <w:pPr>
              <w:ind w:right="-720"/>
              <w:rPr>
                <w:rFonts w:ascii="Calibri" w:hAnsi="Calibri"/>
                <w:bCs/>
                <w:sz w:val="20"/>
              </w:rPr>
            </w:pPr>
            <w:r w:rsidRPr="004E50E7">
              <w:rPr>
                <w:rFonts w:ascii="Calibri" w:hAnsi="Calibri"/>
                <w:bCs/>
                <w:sz w:val="20"/>
              </w:rPr>
              <w:t>2.68 persons</w:t>
            </w:r>
          </w:p>
        </w:tc>
        <w:tc>
          <w:tcPr>
            <w:tcW w:w="1690" w:type="dxa"/>
            <w:gridSpan w:val="2"/>
          </w:tcPr>
          <w:p w14:paraId="1A992E46" w14:textId="77777777" w:rsidR="008772FC" w:rsidRPr="004E50E7" w:rsidRDefault="008772FC" w:rsidP="008F2513">
            <w:pPr>
              <w:ind w:right="-720"/>
              <w:rPr>
                <w:rFonts w:ascii="Calibri" w:hAnsi="Calibri"/>
                <w:bCs/>
                <w:sz w:val="20"/>
              </w:rPr>
            </w:pPr>
            <w:r w:rsidRPr="004E50E7">
              <w:rPr>
                <w:rFonts w:ascii="Calibri" w:hAnsi="Calibri"/>
                <w:bCs/>
                <w:sz w:val="20"/>
              </w:rPr>
              <w:t>2.63 persons</w:t>
            </w:r>
          </w:p>
        </w:tc>
        <w:tc>
          <w:tcPr>
            <w:tcW w:w="1733" w:type="dxa"/>
            <w:gridSpan w:val="2"/>
            <w:shd w:val="clear" w:color="auto" w:fill="auto"/>
          </w:tcPr>
          <w:p w14:paraId="0190F7B2" w14:textId="77777777" w:rsidR="008772FC" w:rsidRPr="00CF7887" w:rsidRDefault="008772FC" w:rsidP="008F2513">
            <w:pPr>
              <w:rPr>
                <w:rFonts w:ascii="Calibri" w:hAnsi="Calibri"/>
                <w:bCs/>
                <w:sz w:val="20"/>
              </w:rPr>
            </w:pPr>
            <w:r w:rsidRPr="00CF7887">
              <w:rPr>
                <w:rFonts w:ascii="Calibri" w:hAnsi="Calibri"/>
                <w:bCs/>
                <w:sz w:val="20"/>
              </w:rPr>
              <w:t>2.72 persons</w:t>
            </w:r>
          </w:p>
        </w:tc>
        <w:tc>
          <w:tcPr>
            <w:tcW w:w="1614" w:type="dxa"/>
            <w:gridSpan w:val="2"/>
            <w:shd w:val="clear" w:color="auto" w:fill="auto"/>
          </w:tcPr>
          <w:p w14:paraId="317B06FC" w14:textId="27654BBA" w:rsidR="008772FC" w:rsidRPr="00CF7887" w:rsidRDefault="00516C55" w:rsidP="008F2513">
            <w:pPr>
              <w:rPr>
                <w:rFonts w:ascii="Calibri" w:hAnsi="Calibri"/>
                <w:bCs/>
                <w:sz w:val="20"/>
              </w:rPr>
            </w:pPr>
            <w:r>
              <w:rPr>
                <w:rFonts w:ascii="Calibri" w:hAnsi="Calibri"/>
                <w:bCs/>
                <w:sz w:val="20"/>
              </w:rPr>
              <w:t>2.82 persons</w:t>
            </w:r>
          </w:p>
        </w:tc>
      </w:tr>
    </w:tbl>
    <w:p w14:paraId="2665370E" w14:textId="79ABF695" w:rsidR="008772FC" w:rsidRPr="004E50E7" w:rsidRDefault="008772FC" w:rsidP="00371754">
      <w:pPr>
        <w:tabs>
          <w:tab w:val="left" w:pos="720"/>
        </w:tabs>
        <w:ind w:left="360"/>
        <w:rPr>
          <w:rFonts w:ascii="Calibri" w:hAnsi="Calibri"/>
          <w:sz w:val="20"/>
        </w:rPr>
      </w:pPr>
      <w:r w:rsidRPr="004E50E7">
        <w:rPr>
          <w:rFonts w:ascii="Calibri" w:hAnsi="Calibri"/>
          <w:sz w:val="20"/>
        </w:rPr>
        <w:t>Sources:  U.S. Census Bureau, Census 1990, 2000 and 2010</w:t>
      </w:r>
      <w:r>
        <w:rPr>
          <w:rFonts w:ascii="Calibri" w:hAnsi="Calibri"/>
          <w:sz w:val="20"/>
        </w:rPr>
        <w:t xml:space="preserve"> and</w:t>
      </w:r>
      <w:r w:rsidRPr="004E50E7">
        <w:rPr>
          <w:rFonts w:ascii="Calibri" w:hAnsi="Calibri"/>
          <w:sz w:val="20"/>
        </w:rPr>
        <w:t xml:space="preserve"> </w:t>
      </w:r>
      <w:r>
        <w:rPr>
          <w:rFonts w:ascii="Calibri" w:hAnsi="Calibri" w:cs="Lucida Sans Unicode"/>
          <w:sz w:val="20"/>
        </w:rPr>
        <w:t>American Community Survey</w:t>
      </w:r>
      <w:r w:rsidR="00703EAC">
        <w:rPr>
          <w:rFonts w:ascii="Calibri" w:hAnsi="Calibri" w:cs="Lucida Sans Unicode"/>
          <w:sz w:val="20"/>
        </w:rPr>
        <w:t xml:space="preserve"> 5-Year Estimates</w:t>
      </w:r>
      <w:r>
        <w:rPr>
          <w:rFonts w:ascii="Calibri" w:hAnsi="Calibri" w:cs="Lucida Sans Unicode"/>
          <w:sz w:val="20"/>
        </w:rPr>
        <w:t xml:space="preserve"> 201</w:t>
      </w:r>
      <w:r w:rsidR="008337DF">
        <w:rPr>
          <w:rFonts w:ascii="Calibri" w:hAnsi="Calibri" w:cs="Lucida Sans Unicode"/>
          <w:sz w:val="20"/>
        </w:rPr>
        <w:t>6</w:t>
      </w:r>
      <w:r>
        <w:rPr>
          <w:rFonts w:ascii="Calibri" w:hAnsi="Calibri" w:cs="Lucida Sans Unicode"/>
          <w:sz w:val="20"/>
        </w:rPr>
        <w:t>-20</w:t>
      </w:r>
      <w:r w:rsidR="008337DF">
        <w:rPr>
          <w:rFonts w:ascii="Calibri" w:hAnsi="Calibri" w:cs="Lucida Sans Unicode"/>
          <w:sz w:val="20"/>
        </w:rPr>
        <w:t>20</w:t>
      </w:r>
      <w:r w:rsidR="0044066F">
        <w:rPr>
          <w:rFonts w:ascii="Calibri" w:hAnsi="Calibri" w:cs="Lucida Sans Unicode"/>
          <w:sz w:val="20"/>
        </w:rPr>
        <w:t xml:space="preserve"> </w:t>
      </w:r>
      <w:r w:rsidRPr="004E50E7">
        <w:rPr>
          <w:rFonts w:ascii="Calibri" w:hAnsi="Calibri"/>
          <w:sz w:val="20"/>
        </w:rPr>
        <w:t>*Percent of all households</w:t>
      </w:r>
    </w:p>
    <w:p w14:paraId="475EFF0A" w14:textId="77777777" w:rsidR="00695C58" w:rsidRDefault="00695C58" w:rsidP="00C708AC">
      <w:pPr>
        <w:ind w:right="-720"/>
        <w:rPr>
          <w:rFonts w:ascii="Calibri" w:hAnsi="Calibri"/>
          <w:sz w:val="22"/>
        </w:rPr>
      </w:pPr>
    </w:p>
    <w:p w14:paraId="0AB12E36" w14:textId="193D1618" w:rsidR="008D440A" w:rsidRDefault="00AD073D" w:rsidP="008D440A">
      <w:pPr>
        <w:jc w:val="both"/>
        <w:rPr>
          <w:rFonts w:ascii="Calibri" w:hAnsi="Calibri"/>
          <w:sz w:val="22"/>
        </w:rPr>
      </w:pPr>
      <w:r>
        <w:rPr>
          <w:rFonts w:ascii="Calibri" w:hAnsi="Calibri"/>
          <w:sz w:val="22"/>
        </w:rPr>
        <w:t>T</w:t>
      </w:r>
      <w:r w:rsidR="008D440A">
        <w:rPr>
          <w:rFonts w:ascii="Calibri" w:hAnsi="Calibri"/>
          <w:sz w:val="22"/>
        </w:rPr>
        <w:t>he 2020 census estimates</w:t>
      </w:r>
      <w:r w:rsidR="008D440A" w:rsidRPr="00BB058B">
        <w:rPr>
          <w:rFonts w:ascii="Calibri" w:hAnsi="Calibri"/>
          <w:sz w:val="22"/>
        </w:rPr>
        <w:t xml:space="preserve"> indicate that</w:t>
      </w:r>
      <w:r w:rsidR="008D440A">
        <w:rPr>
          <w:rFonts w:ascii="Calibri" w:hAnsi="Calibri"/>
          <w:sz w:val="22"/>
        </w:rPr>
        <w:t xml:space="preserve"> there were 1,857 </w:t>
      </w:r>
      <w:r>
        <w:rPr>
          <w:rFonts w:ascii="Calibri" w:hAnsi="Calibri"/>
          <w:sz w:val="22"/>
        </w:rPr>
        <w:t>individuals living alone</w:t>
      </w:r>
      <w:r w:rsidR="008D440A">
        <w:rPr>
          <w:rFonts w:ascii="Calibri" w:hAnsi="Calibri"/>
          <w:sz w:val="22"/>
        </w:rPr>
        <w:t>, representing 17.</w:t>
      </w:r>
      <w:r>
        <w:rPr>
          <w:rFonts w:ascii="Calibri" w:hAnsi="Calibri"/>
          <w:sz w:val="22"/>
        </w:rPr>
        <w:t>2</w:t>
      </w:r>
      <w:r w:rsidR="008D440A">
        <w:rPr>
          <w:rFonts w:ascii="Calibri" w:hAnsi="Calibri"/>
          <w:sz w:val="22"/>
        </w:rPr>
        <w:t>% of all households</w:t>
      </w:r>
      <w:r>
        <w:rPr>
          <w:rFonts w:ascii="Calibri" w:hAnsi="Calibri"/>
          <w:sz w:val="22"/>
        </w:rPr>
        <w:t xml:space="preserve">.  This </w:t>
      </w:r>
      <w:r w:rsidR="00003F99">
        <w:rPr>
          <w:rFonts w:ascii="Calibri" w:hAnsi="Calibri"/>
          <w:sz w:val="22"/>
        </w:rPr>
        <w:t>show</w:t>
      </w:r>
      <w:r>
        <w:rPr>
          <w:rFonts w:ascii="Calibri" w:hAnsi="Calibri"/>
          <w:sz w:val="22"/>
        </w:rPr>
        <w:t>s a decrease</w:t>
      </w:r>
      <w:r w:rsidR="008D440A">
        <w:rPr>
          <w:rFonts w:ascii="Calibri" w:hAnsi="Calibri"/>
          <w:sz w:val="22"/>
        </w:rPr>
        <w:t xml:space="preserve"> from 2,</w:t>
      </w:r>
      <w:r w:rsidR="00003F99">
        <w:rPr>
          <w:rFonts w:ascii="Calibri" w:hAnsi="Calibri"/>
          <w:sz w:val="22"/>
        </w:rPr>
        <w:t>470 and 2,492</w:t>
      </w:r>
      <w:r w:rsidR="008D440A">
        <w:rPr>
          <w:rFonts w:ascii="Calibri" w:hAnsi="Calibri"/>
          <w:sz w:val="22"/>
        </w:rPr>
        <w:t xml:space="preserve"> such households </w:t>
      </w:r>
      <w:r w:rsidR="00003F99">
        <w:rPr>
          <w:rFonts w:ascii="Calibri" w:hAnsi="Calibri"/>
          <w:sz w:val="22"/>
        </w:rPr>
        <w:t xml:space="preserve">in 2000 and </w:t>
      </w:r>
      <w:r w:rsidR="008D440A">
        <w:rPr>
          <w:rFonts w:ascii="Calibri" w:hAnsi="Calibri"/>
          <w:sz w:val="22"/>
        </w:rPr>
        <w:t>2010</w:t>
      </w:r>
      <w:r w:rsidR="00003F99">
        <w:rPr>
          <w:rFonts w:ascii="Calibri" w:hAnsi="Calibri"/>
          <w:sz w:val="22"/>
        </w:rPr>
        <w:t>, respectively</w:t>
      </w:r>
      <w:r w:rsidR="008D440A">
        <w:rPr>
          <w:rFonts w:ascii="Calibri" w:hAnsi="Calibri"/>
          <w:sz w:val="22"/>
        </w:rPr>
        <w:t>.  Of the single-person households, 1,387 or 75% were 65 years of age or older</w:t>
      </w:r>
      <w:r w:rsidR="00003F99">
        <w:rPr>
          <w:rFonts w:ascii="Calibri" w:hAnsi="Calibri"/>
          <w:sz w:val="22"/>
        </w:rPr>
        <w:t xml:space="preserve"> in 2020</w:t>
      </w:r>
      <w:r w:rsidR="008D440A">
        <w:rPr>
          <w:rFonts w:ascii="Calibri" w:hAnsi="Calibri"/>
          <w:sz w:val="22"/>
        </w:rPr>
        <w:t>.</w:t>
      </w:r>
      <w:r w:rsidR="008D440A" w:rsidRPr="00BB058B">
        <w:rPr>
          <w:rFonts w:ascii="Calibri" w:hAnsi="Calibri"/>
          <w:sz w:val="22"/>
        </w:rPr>
        <w:t xml:space="preserve"> </w:t>
      </w:r>
    </w:p>
    <w:p w14:paraId="0EBEFCCA" w14:textId="77777777" w:rsidR="008D440A" w:rsidRPr="00445E74" w:rsidRDefault="008D440A" w:rsidP="008D440A">
      <w:pPr>
        <w:jc w:val="both"/>
        <w:rPr>
          <w:rFonts w:ascii="Calibri" w:hAnsi="Calibri"/>
          <w:sz w:val="22"/>
          <w:szCs w:val="22"/>
        </w:rPr>
      </w:pPr>
    </w:p>
    <w:p w14:paraId="42F18180" w14:textId="3222513F" w:rsidR="00CE69A3" w:rsidRDefault="008772FC" w:rsidP="0044066F">
      <w:pPr>
        <w:pStyle w:val="BodyText"/>
        <w:spacing w:after="0"/>
        <w:jc w:val="both"/>
        <w:rPr>
          <w:rFonts w:ascii="Calibri" w:hAnsi="Calibri"/>
          <w:sz w:val="22"/>
          <w:szCs w:val="22"/>
        </w:rPr>
      </w:pPr>
      <w:r w:rsidRPr="00445E74">
        <w:rPr>
          <w:rFonts w:ascii="Calibri" w:hAnsi="Calibri"/>
          <w:sz w:val="22"/>
          <w:szCs w:val="22"/>
        </w:rPr>
        <w:t xml:space="preserve">Table </w:t>
      </w:r>
      <w:r w:rsidR="00552EEB">
        <w:rPr>
          <w:rFonts w:ascii="Calibri" w:hAnsi="Calibri"/>
          <w:sz w:val="22"/>
          <w:szCs w:val="22"/>
        </w:rPr>
        <w:t>III-10</w:t>
      </w:r>
      <w:r w:rsidRPr="00445E74">
        <w:rPr>
          <w:rFonts w:ascii="Calibri" w:hAnsi="Calibri"/>
          <w:sz w:val="22"/>
          <w:szCs w:val="22"/>
        </w:rPr>
        <w:t xml:space="preserve"> examines the types of households by household size.  Single-person households comprised </w:t>
      </w:r>
      <w:r w:rsidR="002A0A96">
        <w:rPr>
          <w:rFonts w:ascii="Calibri" w:hAnsi="Calibri"/>
          <w:sz w:val="22"/>
          <w:szCs w:val="22"/>
        </w:rPr>
        <w:t>17.2</w:t>
      </w:r>
      <w:r w:rsidR="009071F2">
        <w:rPr>
          <w:rFonts w:ascii="Calibri" w:hAnsi="Calibri"/>
          <w:sz w:val="22"/>
          <w:szCs w:val="22"/>
        </w:rPr>
        <w:t>%</w:t>
      </w:r>
      <w:r w:rsidR="00CE69A3">
        <w:rPr>
          <w:rFonts w:ascii="Calibri" w:hAnsi="Calibri"/>
          <w:sz w:val="22"/>
          <w:szCs w:val="22"/>
        </w:rPr>
        <w:t xml:space="preserve"> of all households</w:t>
      </w:r>
      <w:r w:rsidR="003935DC" w:rsidRPr="003935DC">
        <w:rPr>
          <w:rFonts w:ascii="Calibri" w:hAnsi="Calibri"/>
          <w:sz w:val="22"/>
          <w:szCs w:val="22"/>
        </w:rPr>
        <w:t xml:space="preserve"> </w:t>
      </w:r>
      <w:r w:rsidR="003935DC" w:rsidRPr="00445E74">
        <w:rPr>
          <w:rFonts w:ascii="Calibri" w:hAnsi="Calibri"/>
          <w:sz w:val="22"/>
          <w:szCs w:val="22"/>
        </w:rPr>
        <w:t>in 20</w:t>
      </w:r>
      <w:r w:rsidR="002A0A96">
        <w:rPr>
          <w:rFonts w:ascii="Calibri" w:hAnsi="Calibri"/>
          <w:sz w:val="22"/>
          <w:szCs w:val="22"/>
        </w:rPr>
        <w:t>20</w:t>
      </w:r>
      <w:r w:rsidR="00CE69A3">
        <w:rPr>
          <w:rFonts w:ascii="Calibri" w:hAnsi="Calibri"/>
          <w:sz w:val="22"/>
          <w:szCs w:val="22"/>
        </w:rPr>
        <w:t xml:space="preserve">, down from 24% in 2010, including </w:t>
      </w:r>
      <w:r w:rsidR="00127CC9">
        <w:rPr>
          <w:rFonts w:ascii="Calibri" w:hAnsi="Calibri"/>
          <w:sz w:val="22"/>
          <w:szCs w:val="22"/>
        </w:rPr>
        <w:t>9</w:t>
      </w:r>
      <w:r w:rsidR="002A0A96">
        <w:rPr>
          <w:rFonts w:ascii="Calibri" w:hAnsi="Calibri"/>
          <w:sz w:val="22"/>
          <w:szCs w:val="22"/>
        </w:rPr>
        <w:t>1</w:t>
      </w:r>
      <w:r w:rsidR="00CE69A3">
        <w:rPr>
          <w:rFonts w:ascii="Calibri" w:hAnsi="Calibri"/>
          <w:sz w:val="22"/>
          <w:szCs w:val="22"/>
        </w:rPr>
        <w:t xml:space="preserve">% of </w:t>
      </w:r>
      <w:r w:rsidR="00371754">
        <w:rPr>
          <w:rFonts w:ascii="Calibri" w:hAnsi="Calibri"/>
          <w:sz w:val="22"/>
          <w:szCs w:val="22"/>
        </w:rPr>
        <w:t>all</w:t>
      </w:r>
      <w:r w:rsidR="00CE69A3">
        <w:rPr>
          <w:rFonts w:ascii="Calibri" w:hAnsi="Calibri"/>
          <w:sz w:val="22"/>
          <w:szCs w:val="22"/>
        </w:rPr>
        <w:t xml:space="preserve"> non-family households.</w:t>
      </w:r>
      <w:r w:rsidRPr="00445E74">
        <w:rPr>
          <w:rFonts w:ascii="Calibri" w:hAnsi="Calibri"/>
          <w:sz w:val="22"/>
          <w:szCs w:val="22"/>
        </w:rPr>
        <w:t xml:space="preserve"> </w:t>
      </w:r>
      <w:r w:rsidR="00CE69A3">
        <w:rPr>
          <w:rFonts w:ascii="Calibri" w:hAnsi="Calibri"/>
          <w:sz w:val="22"/>
          <w:szCs w:val="22"/>
        </w:rPr>
        <w:t xml:space="preserve">There </w:t>
      </w:r>
      <w:r w:rsidR="00371754">
        <w:rPr>
          <w:rFonts w:ascii="Calibri" w:hAnsi="Calibri"/>
          <w:sz w:val="22"/>
          <w:szCs w:val="22"/>
        </w:rPr>
        <w:t>w</w:t>
      </w:r>
      <w:r w:rsidR="00127CC9">
        <w:rPr>
          <w:rFonts w:ascii="Calibri" w:hAnsi="Calibri"/>
          <w:sz w:val="22"/>
          <w:szCs w:val="22"/>
        </w:rPr>
        <w:t xml:space="preserve">as </w:t>
      </w:r>
      <w:r w:rsidR="002A0A96">
        <w:rPr>
          <w:rFonts w:ascii="Calibri" w:hAnsi="Calibri"/>
          <w:sz w:val="22"/>
          <w:szCs w:val="22"/>
        </w:rPr>
        <w:t>a</w:t>
      </w:r>
      <w:r w:rsidR="009A4032">
        <w:rPr>
          <w:rFonts w:ascii="Calibri" w:hAnsi="Calibri"/>
          <w:sz w:val="22"/>
          <w:szCs w:val="22"/>
        </w:rPr>
        <w:t xml:space="preserve"> modest</w:t>
      </w:r>
      <w:r w:rsidR="002A0A96">
        <w:rPr>
          <w:rFonts w:ascii="Calibri" w:hAnsi="Calibri"/>
          <w:sz w:val="22"/>
          <w:szCs w:val="22"/>
        </w:rPr>
        <w:t xml:space="preserve"> increase</w:t>
      </w:r>
      <w:r w:rsidR="00127CC9">
        <w:rPr>
          <w:rFonts w:ascii="Calibri" w:hAnsi="Calibri"/>
          <w:sz w:val="22"/>
          <w:szCs w:val="22"/>
        </w:rPr>
        <w:t xml:space="preserve"> in</w:t>
      </w:r>
      <w:r w:rsidR="00CE69A3">
        <w:rPr>
          <w:rFonts w:ascii="Calibri" w:hAnsi="Calibri"/>
          <w:sz w:val="22"/>
          <w:szCs w:val="22"/>
        </w:rPr>
        <w:t xml:space="preserve"> two-person households, from 3,359 in 2000 to 3,</w:t>
      </w:r>
      <w:r w:rsidR="00127CC9">
        <w:rPr>
          <w:rFonts w:ascii="Calibri" w:hAnsi="Calibri"/>
          <w:sz w:val="22"/>
          <w:szCs w:val="22"/>
        </w:rPr>
        <w:t>4</w:t>
      </w:r>
      <w:r w:rsidR="009A4032">
        <w:rPr>
          <w:rFonts w:ascii="Calibri" w:hAnsi="Calibri"/>
          <w:sz w:val="22"/>
          <w:szCs w:val="22"/>
        </w:rPr>
        <w:t>57</w:t>
      </w:r>
      <w:r w:rsidR="00CE69A3">
        <w:rPr>
          <w:rFonts w:ascii="Calibri" w:hAnsi="Calibri"/>
          <w:sz w:val="22"/>
          <w:szCs w:val="22"/>
        </w:rPr>
        <w:t xml:space="preserve"> by 20</w:t>
      </w:r>
      <w:r w:rsidR="002A0A96">
        <w:rPr>
          <w:rFonts w:ascii="Calibri" w:hAnsi="Calibri"/>
          <w:sz w:val="22"/>
          <w:szCs w:val="22"/>
        </w:rPr>
        <w:t>20</w:t>
      </w:r>
      <w:r w:rsidR="00CE69A3">
        <w:rPr>
          <w:rFonts w:ascii="Calibri" w:hAnsi="Calibri"/>
          <w:sz w:val="22"/>
          <w:szCs w:val="22"/>
        </w:rPr>
        <w:t xml:space="preserve">, </w:t>
      </w:r>
      <w:r w:rsidR="009A4032">
        <w:rPr>
          <w:rFonts w:ascii="Calibri" w:hAnsi="Calibri"/>
          <w:sz w:val="22"/>
          <w:szCs w:val="22"/>
        </w:rPr>
        <w:t xml:space="preserve">remaining at </w:t>
      </w:r>
      <w:r w:rsidR="00127CC9">
        <w:rPr>
          <w:rFonts w:ascii="Calibri" w:hAnsi="Calibri"/>
          <w:sz w:val="22"/>
          <w:szCs w:val="22"/>
        </w:rPr>
        <w:t xml:space="preserve">about 32% </w:t>
      </w:r>
      <w:r w:rsidR="00CE69A3">
        <w:rPr>
          <w:rFonts w:ascii="Calibri" w:hAnsi="Calibri"/>
          <w:sz w:val="22"/>
          <w:szCs w:val="22"/>
        </w:rPr>
        <w:t>all households.</w:t>
      </w:r>
      <w:r w:rsidR="00127CC9">
        <w:rPr>
          <w:rFonts w:ascii="Calibri" w:hAnsi="Calibri"/>
          <w:sz w:val="22"/>
          <w:szCs w:val="22"/>
        </w:rPr>
        <w:t xml:space="preserve">  On the other hand, households with more than three persons </w:t>
      </w:r>
      <w:r w:rsidR="00D50E6E">
        <w:rPr>
          <w:rFonts w:ascii="Calibri" w:hAnsi="Calibri"/>
          <w:sz w:val="22"/>
          <w:szCs w:val="22"/>
        </w:rPr>
        <w:t>in</w:t>
      </w:r>
      <w:r w:rsidR="00127CC9">
        <w:rPr>
          <w:rFonts w:ascii="Calibri" w:hAnsi="Calibri"/>
          <w:sz w:val="22"/>
          <w:szCs w:val="22"/>
        </w:rPr>
        <w:t xml:space="preserve">creased from </w:t>
      </w:r>
      <w:r w:rsidR="00D50E6E">
        <w:rPr>
          <w:rFonts w:ascii="Calibri" w:hAnsi="Calibri"/>
          <w:sz w:val="22"/>
          <w:szCs w:val="22"/>
        </w:rPr>
        <w:t>3,070</w:t>
      </w:r>
      <w:r w:rsidR="00127CC9">
        <w:rPr>
          <w:rFonts w:ascii="Calibri" w:hAnsi="Calibri"/>
          <w:sz w:val="22"/>
          <w:szCs w:val="22"/>
        </w:rPr>
        <w:t xml:space="preserve"> in 2000 to </w:t>
      </w:r>
      <w:r w:rsidR="009A4032">
        <w:rPr>
          <w:rFonts w:ascii="Calibri" w:hAnsi="Calibri"/>
          <w:sz w:val="22"/>
          <w:szCs w:val="22"/>
        </w:rPr>
        <w:t>3,775</w:t>
      </w:r>
      <w:r w:rsidR="00127CC9">
        <w:rPr>
          <w:rFonts w:ascii="Calibri" w:hAnsi="Calibri"/>
          <w:sz w:val="22"/>
          <w:szCs w:val="22"/>
        </w:rPr>
        <w:t xml:space="preserve"> by 20</w:t>
      </w:r>
      <w:r w:rsidR="009A4032">
        <w:rPr>
          <w:rFonts w:ascii="Calibri" w:hAnsi="Calibri"/>
          <w:sz w:val="22"/>
          <w:szCs w:val="22"/>
        </w:rPr>
        <w:t>20</w:t>
      </w:r>
      <w:r w:rsidR="00127CC9">
        <w:rPr>
          <w:rFonts w:ascii="Calibri" w:hAnsi="Calibri"/>
          <w:sz w:val="22"/>
          <w:szCs w:val="22"/>
        </w:rPr>
        <w:t xml:space="preserve">, </w:t>
      </w:r>
      <w:r w:rsidR="00183358">
        <w:rPr>
          <w:rFonts w:ascii="Calibri" w:hAnsi="Calibri"/>
          <w:sz w:val="22"/>
          <w:szCs w:val="22"/>
        </w:rPr>
        <w:t xml:space="preserve">or from </w:t>
      </w:r>
      <w:r w:rsidR="00D50E6E">
        <w:rPr>
          <w:rFonts w:ascii="Calibri" w:hAnsi="Calibri"/>
          <w:sz w:val="22"/>
          <w:szCs w:val="22"/>
        </w:rPr>
        <w:t>29.0%</w:t>
      </w:r>
      <w:r w:rsidR="00183358">
        <w:rPr>
          <w:rFonts w:ascii="Calibri" w:hAnsi="Calibri"/>
          <w:sz w:val="22"/>
          <w:szCs w:val="22"/>
        </w:rPr>
        <w:t xml:space="preserve"> to </w:t>
      </w:r>
      <w:r w:rsidR="009A4032">
        <w:rPr>
          <w:rFonts w:ascii="Calibri" w:hAnsi="Calibri"/>
          <w:sz w:val="22"/>
          <w:szCs w:val="22"/>
        </w:rPr>
        <w:t>35.1</w:t>
      </w:r>
      <w:r w:rsidR="00183358">
        <w:rPr>
          <w:rFonts w:ascii="Calibri" w:hAnsi="Calibri"/>
          <w:sz w:val="22"/>
          <w:szCs w:val="22"/>
        </w:rPr>
        <w:t>% of all households</w:t>
      </w:r>
      <w:r w:rsidR="00AF3C90">
        <w:rPr>
          <w:rFonts w:ascii="Calibri" w:hAnsi="Calibri"/>
          <w:sz w:val="22"/>
          <w:szCs w:val="22"/>
        </w:rPr>
        <w:t>.  This</w:t>
      </w:r>
      <w:r w:rsidR="002C3DEC">
        <w:rPr>
          <w:rFonts w:ascii="Calibri" w:hAnsi="Calibri"/>
          <w:sz w:val="22"/>
          <w:szCs w:val="22"/>
        </w:rPr>
        <w:t xml:space="preserve"> is consistent with</w:t>
      </w:r>
      <w:r w:rsidR="00127CC9">
        <w:rPr>
          <w:rFonts w:ascii="Calibri" w:hAnsi="Calibri"/>
          <w:sz w:val="22"/>
          <w:szCs w:val="22"/>
        </w:rPr>
        <w:t xml:space="preserve"> increases in</w:t>
      </w:r>
      <w:r w:rsidR="002C3DEC">
        <w:rPr>
          <w:rFonts w:ascii="Calibri" w:hAnsi="Calibri"/>
          <w:sz w:val="22"/>
          <w:szCs w:val="22"/>
        </w:rPr>
        <w:t xml:space="preserve"> average</w:t>
      </w:r>
      <w:r w:rsidR="00127CC9">
        <w:rPr>
          <w:rFonts w:ascii="Calibri" w:hAnsi="Calibri"/>
          <w:sz w:val="22"/>
          <w:szCs w:val="22"/>
        </w:rPr>
        <w:t xml:space="preserve"> household size from </w:t>
      </w:r>
      <w:r w:rsidR="00183358">
        <w:rPr>
          <w:rFonts w:ascii="Calibri" w:hAnsi="Calibri"/>
          <w:sz w:val="22"/>
          <w:szCs w:val="22"/>
        </w:rPr>
        <w:t>2.63</w:t>
      </w:r>
      <w:r w:rsidR="00127CC9">
        <w:rPr>
          <w:rFonts w:ascii="Calibri" w:hAnsi="Calibri"/>
          <w:sz w:val="22"/>
          <w:szCs w:val="22"/>
        </w:rPr>
        <w:t xml:space="preserve"> to </w:t>
      </w:r>
      <w:r w:rsidR="00183358">
        <w:rPr>
          <w:rFonts w:ascii="Calibri" w:hAnsi="Calibri"/>
          <w:sz w:val="22"/>
          <w:szCs w:val="22"/>
        </w:rPr>
        <w:t>2.</w:t>
      </w:r>
      <w:r w:rsidR="009A4032">
        <w:rPr>
          <w:rFonts w:ascii="Calibri" w:hAnsi="Calibri"/>
          <w:sz w:val="22"/>
          <w:szCs w:val="22"/>
        </w:rPr>
        <w:t>82</w:t>
      </w:r>
      <w:r w:rsidR="00127CC9">
        <w:rPr>
          <w:rFonts w:ascii="Calibri" w:hAnsi="Calibri"/>
          <w:sz w:val="22"/>
          <w:szCs w:val="22"/>
        </w:rPr>
        <w:t xml:space="preserve"> persons.</w:t>
      </w:r>
    </w:p>
    <w:p w14:paraId="52AA46CF" w14:textId="77777777" w:rsidR="00326A00" w:rsidRPr="00445E74" w:rsidRDefault="00326A00" w:rsidP="0044066F">
      <w:pPr>
        <w:pStyle w:val="BodyText"/>
        <w:spacing w:after="0"/>
        <w:jc w:val="both"/>
        <w:rPr>
          <w:rFonts w:ascii="Calibri" w:hAnsi="Calibri"/>
          <w:sz w:val="22"/>
          <w:szCs w:val="22"/>
        </w:rPr>
      </w:pPr>
    </w:p>
    <w:p w14:paraId="4601D4B4" w14:textId="75FC3B70" w:rsidR="008772FC" w:rsidRDefault="008772FC" w:rsidP="00272F5A">
      <w:pPr>
        <w:pStyle w:val="Heading5"/>
        <w:spacing w:before="0"/>
        <w:ind w:left="2160"/>
        <w:rPr>
          <w:rFonts w:ascii="Calibri" w:hAnsi="Calibri"/>
          <w:b/>
          <w:sz w:val="22"/>
          <w:szCs w:val="22"/>
        </w:rPr>
      </w:pPr>
      <w:r>
        <w:rPr>
          <w:rFonts w:asciiTheme="minorHAnsi" w:hAnsiTheme="minorHAnsi"/>
          <w:b/>
          <w:color w:val="auto"/>
          <w:sz w:val="22"/>
          <w:szCs w:val="22"/>
        </w:rPr>
        <w:t xml:space="preserve">             T</w:t>
      </w:r>
      <w:r w:rsidRPr="00EB5D55">
        <w:rPr>
          <w:rFonts w:asciiTheme="minorHAnsi" w:hAnsiTheme="minorHAnsi"/>
          <w:b/>
          <w:color w:val="auto"/>
          <w:sz w:val="22"/>
          <w:szCs w:val="22"/>
        </w:rPr>
        <w:t xml:space="preserve">able </w:t>
      </w:r>
      <w:r w:rsidR="0086490C">
        <w:rPr>
          <w:rFonts w:asciiTheme="minorHAnsi" w:hAnsiTheme="minorHAnsi"/>
          <w:b/>
          <w:color w:val="auto"/>
          <w:sz w:val="22"/>
          <w:szCs w:val="22"/>
        </w:rPr>
        <w:t>III-10</w:t>
      </w:r>
      <w:r w:rsidRPr="00EB5D55">
        <w:rPr>
          <w:rFonts w:asciiTheme="minorHAnsi" w:hAnsiTheme="minorHAnsi"/>
          <w:b/>
          <w:color w:val="auto"/>
          <w:sz w:val="22"/>
          <w:szCs w:val="22"/>
        </w:rPr>
        <w:t xml:space="preserve">: Types of Households by </w:t>
      </w:r>
      <w:r w:rsidRPr="00E856AA">
        <w:rPr>
          <w:rFonts w:asciiTheme="minorHAnsi" w:hAnsiTheme="minorHAnsi"/>
          <w:b/>
          <w:color w:val="auto"/>
          <w:sz w:val="22"/>
          <w:szCs w:val="22"/>
        </w:rPr>
        <w:t>Size</w:t>
      </w:r>
      <w:r w:rsidR="00272F5A" w:rsidRPr="00E856AA">
        <w:rPr>
          <w:rFonts w:asciiTheme="minorHAnsi" w:hAnsiTheme="minorHAnsi"/>
          <w:b/>
          <w:color w:val="auto"/>
          <w:sz w:val="22"/>
          <w:szCs w:val="22"/>
        </w:rPr>
        <w:t xml:space="preserve">, </w:t>
      </w:r>
      <w:r w:rsidRPr="00E856AA">
        <w:rPr>
          <w:rFonts w:ascii="Calibri" w:hAnsi="Calibri"/>
          <w:b/>
          <w:color w:val="auto"/>
          <w:sz w:val="22"/>
          <w:szCs w:val="22"/>
        </w:rPr>
        <w:t>2000</w:t>
      </w:r>
      <w:r w:rsidR="008337DF">
        <w:rPr>
          <w:rFonts w:ascii="Calibri" w:hAnsi="Calibri"/>
          <w:b/>
          <w:color w:val="auto"/>
          <w:sz w:val="22"/>
          <w:szCs w:val="22"/>
        </w:rPr>
        <w:t>, 2010 and</w:t>
      </w:r>
      <w:r w:rsidR="00272F5A" w:rsidRPr="00E856AA">
        <w:rPr>
          <w:rFonts w:ascii="Calibri" w:hAnsi="Calibri"/>
          <w:b/>
          <w:color w:val="auto"/>
          <w:sz w:val="22"/>
          <w:szCs w:val="22"/>
        </w:rPr>
        <w:t xml:space="preserve"> </w:t>
      </w:r>
      <w:r w:rsidRPr="00E856AA">
        <w:rPr>
          <w:rFonts w:ascii="Calibri" w:hAnsi="Calibri"/>
          <w:b/>
          <w:color w:val="auto"/>
          <w:sz w:val="22"/>
          <w:szCs w:val="22"/>
        </w:rPr>
        <w:t>20</w:t>
      </w:r>
      <w:r w:rsidR="008337DF">
        <w:rPr>
          <w:rFonts w:ascii="Calibri" w:hAnsi="Calibri"/>
          <w:b/>
          <w:color w:val="auto"/>
          <w:sz w:val="22"/>
          <w:szCs w:val="22"/>
        </w:rPr>
        <w:t>20</w:t>
      </w:r>
      <w:r w:rsidRPr="00E856AA">
        <w:rPr>
          <w:rFonts w:ascii="Calibri" w:hAnsi="Calibri"/>
          <w:b/>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000" w:firstRow="0" w:lastRow="0" w:firstColumn="0" w:lastColumn="0" w:noHBand="0" w:noVBand="0"/>
      </w:tblPr>
      <w:tblGrid>
        <w:gridCol w:w="2818"/>
        <w:gridCol w:w="1062"/>
        <w:gridCol w:w="924"/>
        <w:gridCol w:w="975"/>
        <w:gridCol w:w="981"/>
        <w:gridCol w:w="876"/>
        <w:gridCol w:w="999"/>
      </w:tblGrid>
      <w:tr w:rsidR="00272F5A" w:rsidRPr="004E50E7" w14:paraId="4A905B53" w14:textId="77777777" w:rsidTr="006D5202">
        <w:trPr>
          <w:cantSplit/>
          <w:jc w:val="center"/>
        </w:trPr>
        <w:tc>
          <w:tcPr>
            <w:tcW w:w="2818" w:type="dxa"/>
            <w:vMerge w:val="restart"/>
          </w:tcPr>
          <w:p w14:paraId="4F49E8FD" w14:textId="77777777" w:rsidR="00272F5A" w:rsidRPr="004E50E7" w:rsidRDefault="00272F5A" w:rsidP="00825439">
            <w:pPr>
              <w:pStyle w:val="cat"/>
              <w:spacing w:before="0" w:beforeAutospacing="0" w:after="0" w:afterAutospacing="0"/>
              <w:rPr>
                <w:rFonts w:ascii="Calibri" w:hAnsi="Calibri"/>
                <w:b/>
                <w:bCs/>
              </w:rPr>
            </w:pPr>
          </w:p>
          <w:p w14:paraId="617C0574" w14:textId="77777777" w:rsidR="00272F5A" w:rsidRPr="004E50E7" w:rsidRDefault="00272F5A" w:rsidP="00825439">
            <w:pPr>
              <w:pStyle w:val="cat"/>
              <w:spacing w:before="0" w:beforeAutospacing="0" w:after="0" w:afterAutospacing="0"/>
              <w:rPr>
                <w:rFonts w:ascii="Calibri" w:hAnsi="Calibri"/>
                <w:b/>
                <w:bCs/>
              </w:rPr>
            </w:pPr>
            <w:r w:rsidRPr="004E50E7">
              <w:rPr>
                <w:rFonts w:ascii="Calibri" w:hAnsi="Calibri"/>
                <w:b/>
                <w:bCs/>
                <w:sz w:val="22"/>
              </w:rPr>
              <w:t>Households by Type and Size</w:t>
            </w:r>
          </w:p>
        </w:tc>
        <w:tc>
          <w:tcPr>
            <w:tcW w:w="1986" w:type="dxa"/>
            <w:gridSpan w:val="2"/>
            <w:vAlign w:val="center"/>
          </w:tcPr>
          <w:p w14:paraId="6DEA2148" w14:textId="77777777" w:rsidR="00272F5A" w:rsidRPr="004E50E7" w:rsidRDefault="00272F5A" w:rsidP="00825439">
            <w:pPr>
              <w:jc w:val="center"/>
              <w:rPr>
                <w:rFonts w:ascii="Calibri" w:hAnsi="Calibri"/>
                <w:b/>
                <w:bCs/>
              </w:rPr>
            </w:pPr>
            <w:r w:rsidRPr="004E50E7">
              <w:rPr>
                <w:rFonts w:ascii="Calibri" w:hAnsi="Calibri"/>
                <w:b/>
                <w:bCs/>
                <w:sz w:val="22"/>
              </w:rPr>
              <w:t>2000</w:t>
            </w:r>
          </w:p>
        </w:tc>
        <w:tc>
          <w:tcPr>
            <w:tcW w:w="1956" w:type="dxa"/>
            <w:gridSpan w:val="2"/>
          </w:tcPr>
          <w:p w14:paraId="4A0BC7CF" w14:textId="77777777" w:rsidR="00272F5A" w:rsidRPr="004E50E7" w:rsidRDefault="00272F5A" w:rsidP="00825439">
            <w:pPr>
              <w:jc w:val="center"/>
              <w:rPr>
                <w:rFonts w:ascii="Calibri" w:hAnsi="Calibri"/>
                <w:b/>
                <w:bCs/>
              </w:rPr>
            </w:pPr>
            <w:r>
              <w:rPr>
                <w:rFonts w:ascii="Calibri" w:hAnsi="Calibri"/>
                <w:b/>
                <w:bCs/>
                <w:sz w:val="22"/>
              </w:rPr>
              <w:t>2010</w:t>
            </w:r>
          </w:p>
        </w:tc>
        <w:tc>
          <w:tcPr>
            <w:tcW w:w="1875" w:type="dxa"/>
            <w:gridSpan w:val="2"/>
            <w:shd w:val="clear" w:color="auto" w:fill="auto"/>
            <w:vAlign w:val="center"/>
          </w:tcPr>
          <w:p w14:paraId="40FD2565" w14:textId="402DF069" w:rsidR="00272F5A" w:rsidRPr="004E50E7" w:rsidRDefault="00272F5A" w:rsidP="00825439">
            <w:pPr>
              <w:jc w:val="center"/>
              <w:rPr>
                <w:rFonts w:ascii="Calibri" w:hAnsi="Calibri"/>
                <w:b/>
                <w:bCs/>
              </w:rPr>
            </w:pPr>
            <w:r w:rsidRPr="004E50E7">
              <w:rPr>
                <w:rFonts w:ascii="Calibri" w:hAnsi="Calibri"/>
                <w:b/>
                <w:bCs/>
                <w:sz w:val="22"/>
              </w:rPr>
              <w:t>20</w:t>
            </w:r>
            <w:r w:rsidR="008337DF">
              <w:rPr>
                <w:rFonts w:ascii="Calibri" w:hAnsi="Calibri"/>
                <w:b/>
                <w:bCs/>
                <w:sz w:val="22"/>
              </w:rPr>
              <w:t>20</w:t>
            </w:r>
            <w:r w:rsidRPr="004E50E7">
              <w:rPr>
                <w:rFonts w:ascii="Calibri" w:hAnsi="Calibri"/>
                <w:b/>
                <w:bCs/>
                <w:sz w:val="22"/>
              </w:rPr>
              <w:t xml:space="preserve"> </w:t>
            </w:r>
          </w:p>
        </w:tc>
      </w:tr>
      <w:tr w:rsidR="00BB058B" w:rsidRPr="004E50E7" w14:paraId="1B644616" w14:textId="77777777" w:rsidTr="006D5202">
        <w:trPr>
          <w:cantSplit/>
          <w:jc w:val="center"/>
        </w:trPr>
        <w:tc>
          <w:tcPr>
            <w:tcW w:w="2818" w:type="dxa"/>
            <w:vMerge/>
          </w:tcPr>
          <w:p w14:paraId="1F0C4B82" w14:textId="77777777" w:rsidR="00BB058B" w:rsidRPr="004E50E7" w:rsidRDefault="00BB058B" w:rsidP="00825439">
            <w:pPr>
              <w:pStyle w:val="cat"/>
              <w:spacing w:before="0" w:beforeAutospacing="0" w:after="0" w:afterAutospacing="0"/>
              <w:ind w:left="240"/>
              <w:rPr>
                <w:rFonts w:ascii="Calibri" w:hAnsi="Calibri"/>
                <w:b/>
                <w:bCs/>
              </w:rPr>
            </w:pPr>
          </w:p>
        </w:tc>
        <w:tc>
          <w:tcPr>
            <w:tcW w:w="1062" w:type="dxa"/>
            <w:vAlign w:val="center"/>
          </w:tcPr>
          <w:p w14:paraId="35B9713A" w14:textId="77777777" w:rsidR="00BB058B" w:rsidRPr="004E50E7" w:rsidRDefault="00BB058B" w:rsidP="00825439">
            <w:pPr>
              <w:jc w:val="center"/>
              <w:rPr>
                <w:rFonts w:ascii="Calibri" w:hAnsi="Calibri"/>
                <w:b/>
                <w:bCs/>
              </w:rPr>
            </w:pPr>
            <w:r w:rsidRPr="004E50E7">
              <w:rPr>
                <w:rFonts w:ascii="Calibri" w:hAnsi="Calibri"/>
                <w:b/>
                <w:bCs/>
                <w:sz w:val="22"/>
              </w:rPr>
              <w:t>#</w:t>
            </w:r>
          </w:p>
        </w:tc>
        <w:tc>
          <w:tcPr>
            <w:tcW w:w="924" w:type="dxa"/>
            <w:vAlign w:val="center"/>
          </w:tcPr>
          <w:p w14:paraId="26397DFC" w14:textId="77777777" w:rsidR="00BB058B" w:rsidRPr="004E50E7" w:rsidRDefault="00BB058B" w:rsidP="00825439">
            <w:pPr>
              <w:jc w:val="center"/>
              <w:rPr>
                <w:rFonts w:ascii="Calibri" w:hAnsi="Calibri"/>
                <w:b/>
                <w:bCs/>
              </w:rPr>
            </w:pPr>
            <w:r w:rsidRPr="004E50E7">
              <w:rPr>
                <w:rFonts w:ascii="Calibri" w:hAnsi="Calibri"/>
                <w:b/>
                <w:bCs/>
                <w:sz w:val="22"/>
              </w:rPr>
              <w:t>%</w:t>
            </w:r>
          </w:p>
        </w:tc>
        <w:tc>
          <w:tcPr>
            <w:tcW w:w="975" w:type="dxa"/>
            <w:vAlign w:val="center"/>
          </w:tcPr>
          <w:p w14:paraId="06A30411" w14:textId="77777777" w:rsidR="00BB058B" w:rsidRPr="004E50E7" w:rsidRDefault="00BB058B" w:rsidP="00825439">
            <w:pPr>
              <w:jc w:val="center"/>
              <w:rPr>
                <w:rFonts w:ascii="Calibri" w:hAnsi="Calibri"/>
                <w:b/>
                <w:bCs/>
              </w:rPr>
            </w:pPr>
            <w:r w:rsidRPr="004E50E7">
              <w:rPr>
                <w:rFonts w:ascii="Calibri" w:hAnsi="Calibri"/>
                <w:b/>
                <w:bCs/>
                <w:sz w:val="22"/>
              </w:rPr>
              <w:t>#</w:t>
            </w:r>
          </w:p>
        </w:tc>
        <w:tc>
          <w:tcPr>
            <w:tcW w:w="981" w:type="dxa"/>
            <w:vAlign w:val="center"/>
          </w:tcPr>
          <w:p w14:paraId="36DFB9A6" w14:textId="77777777" w:rsidR="00BB058B" w:rsidRPr="004E50E7" w:rsidRDefault="00BB058B" w:rsidP="00825439">
            <w:pPr>
              <w:jc w:val="center"/>
              <w:rPr>
                <w:rFonts w:ascii="Calibri" w:hAnsi="Calibri"/>
                <w:b/>
                <w:bCs/>
              </w:rPr>
            </w:pPr>
            <w:r w:rsidRPr="004E50E7">
              <w:rPr>
                <w:rFonts w:ascii="Calibri" w:hAnsi="Calibri"/>
                <w:b/>
                <w:bCs/>
                <w:sz w:val="22"/>
              </w:rPr>
              <w:t>%</w:t>
            </w:r>
          </w:p>
        </w:tc>
        <w:tc>
          <w:tcPr>
            <w:tcW w:w="876" w:type="dxa"/>
            <w:shd w:val="clear" w:color="auto" w:fill="auto"/>
            <w:vAlign w:val="center"/>
          </w:tcPr>
          <w:p w14:paraId="3FE1D4FE" w14:textId="77777777" w:rsidR="00BB058B" w:rsidRPr="004E50E7" w:rsidRDefault="00BB058B" w:rsidP="00825439">
            <w:pPr>
              <w:jc w:val="center"/>
              <w:rPr>
                <w:rFonts w:ascii="Calibri" w:hAnsi="Calibri"/>
                <w:b/>
                <w:bCs/>
              </w:rPr>
            </w:pPr>
            <w:r w:rsidRPr="004E50E7">
              <w:rPr>
                <w:rFonts w:ascii="Calibri" w:hAnsi="Calibri"/>
                <w:b/>
                <w:bCs/>
                <w:sz w:val="22"/>
              </w:rPr>
              <w:t>#</w:t>
            </w:r>
          </w:p>
        </w:tc>
        <w:tc>
          <w:tcPr>
            <w:tcW w:w="999" w:type="dxa"/>
            <w:shd w:val="clear" w:color="auto" w:fill="auto"/>
            <w:vAlign w:val="center"/>
          </w:tcPr>
          <w:p w14:paraId="55B4FD3F" w14:textId="77777777" w:rsidR="00BB058B" w:rsidRPr="004E50E7" w:rsidRDefault="00BB058B" w:rsidP="00825439">
            <w:pPr>
              <w:jc w:val="center"/>
              <w:rPr>
                <w:rFonts w:ascii="Calibri" w:hAnsi="Calibri"/>
                <w:b/>
                <w:bCs/>
              </w:rPr>
            </w:pPr>
            <w:r w:rsidRPr="004E50E7">
              <w:rPr>
                <w:rFonts w:ascii="Calibri" w:hAnsi="Calibri"/>
                <w:b/>
                <w:bCs/>
                <w:sz w:val="22"/>
              </w:rPr>
              <w:t>%</w:t>
            </w:r>
          </w:p>
        </w:tc>
      </w:tr>
      <w:tr w:rsidR="00BB058B" w:rsidRPr="004E50E7" w14:paraId="1712AEAF" w14:textId="77777777" w:rsidTr="006D5202">
        <w:trPr>
          <w:jc w:val="center"/>
        </w:trPr>
        <w:tc>
          <w:tcPr>
            <w:tcW w:w="2818" w:type="dxa"/>
          </w:tcPr>
          <w:p w14:paraId="70E1788E" w14:textId="77777777" w:rsidR="00BB058B" w:rsidRPr="004E50E7" w:rsidRDefault="00BB058B" w:rsidP="00825439">
            <w:pPr>
              <w:pStyle w:val="cat"/>
              <w:spacing w:before="0" w:beforeAutospacing="0" w:after="0" w:afterAutospacing="0"/>
              <w:ind w:left="240"/>
              <w:rPr>
                <w:rFonts w:ascii="Calibri" w:hAnsi="Calibri"/>
                <w:b/>
                <w:bCs/>
                <w:sz w:val="20"/>
              </w:rPr>
            </w:pPr>
            <w:r w:rsidRPr="004E50E7">
              <w:rPr>
                <w:rFonts w:ascii="Calibri" w:hAnsi="Calibri"/>
                <w:b/>
                <w:bCs/>
                <w:sz w:val="20"/>
              </w:rPr>
              <w:t>Non-family Households</w:t>
            </w:r>
          </w:p>
        </w:tc>
        <w:tc>
          <w:tcPr>
            <w:tcW w:w="1062" w:type="dxa"/>
            <w:vAlign w:val="center"/>
          </w:tcPr>
          <w:p w14:paraId="14DAD321" w14:textId="77777777" w:rsidR="00BB058B" w:rsidRPr="004E50E7" w:rsidRDefault="00BB058B" w:rsidP="00825439">
            <w:pPr>
              <w:jc w:val="center"/>
              <w:rPr>
                <w:rFonts w:ascii="Calibri" w:hAnsi="Calibri"/>
                <w:b/>
                <w:bCs/>
                <w:sz w:val="20"/>
              </w:rPr>
            </w:pPr>
            <w:r w:rsidRPr="004E50E7">
              <w:rPr>
                <w:rFonts w:ascii="Calibri" w:hAnsi="Calibri"/>
                <w:b/>
                <w:bCs/>
                <w:sz w:val="20"/>
              </w:rPr>
              <w:t>2,795</w:t>
            </w:r>
          </w:p>
        </w:tc>
        <w:tc>
          <w:tcPr>
            <w:tcW w:w="924" w:type="dxa"/>
            <w:vAlign w:val="center"/>
          </w:tcPr>
          <w:p w14:paraId="29E25010" w14:textId="77777777" w:rsidR="00BB058B" w:rsidRPr="004E50E7" w:rsidRDefault="00BB058B" w:rsidP="00825439">
            <w:pPr>
              <w:jc w:val="center"/>
              <w:rPr>
                <w:rFonts w:ascii="Calibri" w:hAnsi="Calibri"/>
                <w:b/>
                <w:bCs/>
                <w:sz w:val="20"/>
              </w:rPr>
            </w:pPr>
            <w:r w:rsidRPr="004E50E7">
              <w:rPr>
                <w:rFonts w:ascii="Calibri" w:hAnsi="Calibri"/>
                <w:b/>
                <w:bCs/>
                <w:sz w:val="20"/>
              </w:rPr>
              <w:t>26.4</w:t>
            </w:r>
          </w:p>
        </w:tc>
        <w:tc>
          <w:tcPr>
            <w:tcW w:w="975" w:type="dxa"/>
          </w:tcPr>
          <w:p w14:paraId="6A263CB1" w14:textId="77777777" w:rsidR="00BB058B" w:rsidRPr="004E50E7" w:rsidRDefault="00126478" w:rsidP="00825439">
            <w:pPr>
              <w:jc w:val="center"/>
              <w:rPr>
                <w:rFonts w:ascii="Calibri" w:hAnsi="Calibri"/>
                <w:b/>
                <w:bCs/>
                <w:sz w:val="20"/>
              </w:rPr>
            </w:pPr>
            <w:r>
              <w:rPr>
                <w:rFonts w:ascii="Calibri" w:hAnsi="Calibri"/>
                <w:b/>
                <w:bCs/>
                <w:sz w:val="20"/>
              </w:rPr>
              <w:t>2,667</w:t>
            </w:r>
          </w:p>
        </w:tc>
        <w:tc>
          <w:tcPr>
            <w:tcW w:w="981" w:type="dxa"/>
          </w:tcPr>
          <w:p w14:paraId="57F34C0F" w14:textId="77777777" w:rsidR="00BB058B" w:rsidRPr="004E50E7" w:rsidRDefault="00126478" w:rsidP="00825439">
            <w:pPr>
              <w:jc w:val="center"/>
              <w:rPr>
                <w:rFonts w:ascii="Calibri" w:hAnsi="Calibri"/>
                <w:b/>
                <w:bCs/>
                <w:sz w:val="20"/>
              </w:rPr>
            </w:pPr>
            <w:r>
              <w:rPr>
                <w:rFonts w:ascii="Calibri" w:hAnsi="Calibri"/>
                <w:b/>
                <w:bCs/>
                <w:sz w:val="20"/>
              </w:rPr>
              <w:t>25.7</w:t>
            </w:r>
          </w:p>
        </w:tc>
        <w:tc>
          <w:tcPr>
            <w:tcW w:w="876" w:type="dxa"/>
            <w:shd w:val="clear" w:color="auto" w:fill="auto"/>
            <w:vAlign w:val="center"/>
          </w:tcPr>
          <w:p w14:paraId="2BB9BBA9" w14:textId="31814665" w:rsidR="00BB058B" w:rsidRPr="004E50E7" w:rsidRDefault="002A0A96" w:rsidP="00825439">
            <w:pPr>
              <w:jc w:val="center"/>
              <w:rPr>
                <w:rFonts w:ascii="Calibri" w:hAnsi="Calibri"/>
                <w:b/>
                <w:bCs/>
                <w:sz w:val="20"/>
              </w:rPr>
            </w:pPr>
            <w:r>
              <w:rPr>
                <w:rFonts w:ascii="Calibri" w:hAnsi="Calibri"/>
                <w:b/>
                <w:bCs/>
                <w:sz w:val="20"/>
              </w:rPr>
              <w:t>2,047</w:t>
            </w:r>
          </w:p>
        </w:tc>
        <w:tc>
          <w:tcPr>
            <w:tcW w:w="999" w:type="dxa"/>
            <w:shd w:val="clear" w:color="auto" w:fill="auto"/>
            <w:vAlign w:val="center"/>
          </w:tcPr>
          <w:p w14:paraId="0F60FE91" w14:textId="6D53AABF" w:rsidR="00BB058B" w:rsidRPr="004E50E7" w:rsidRDefault="006A6C86" w:rsidP="00825439">
            <w:pPr>
              <w:jc w:val="center"/>
              <w:rPr>
                <w:rFonts w:ascii="Calibri" w:hAnsi="Calibri"/>
                <w:b/>
                <w:bCs/>
                <w:sz w:val="20"/>
              </w:rPr>
            </w:pPr>
            <w:r>
              <w:rPr>
                <w:rFonts w:ascii="Calibri" w:hAnsi="Calibri"/>
                <w:b/>
                <w:bCs/>
                <w:sz w:val="20"/>
              </w:rPr>
              <w:t>1</w:t>
            </w:r>
            <w:r w:rsidR="002A0A96">
              <w:rPr>
                <w:rFonts w:ascii="Calibri" w:hAnsi="Calibri"/>
                <w:b/>
                <w:bCs/>
                <w:sz w:val="20"/>
              </w:rPr>
              <w:t>9.0</w:t>
            </w:r>
          </w:p>
        </w:tc>
      </w:tr>
      <w:tr w:rsidR="00BB058B" w:rsidRPr="004E50E7" w14:paraId="27814915" w14:textId="77777777" w:rsidTr="006D5202">
        <w:trPr>
          <w:jc w:val="center"/>
        </w:trPr>
        <w:tc>
          <w:tcPr>
            <w:tcW w:w="2818" w:type="dxa"/>
          </w:tcPr>
          <w:p w14:paraId="42C43748"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1-person household</w:t>
            </w:r>
          </w:p>
        </w:tc>
        <w:tc>
          <w:tcPr>
            <w:tcW w:w="1062" w:type="dxa"/>
            <w:vAlign w:val="center"/>
          </w:tcPr>
          <w:p w14:paraId="7C899879" w14:textId="77777777" w:rsidR="00BB058B" w:rsidRPr="004E50E7" w:rsidRDefault="00BB058B" w:rsidP="00825439">
            <w:pPr>
              <w:jc w:val="center"/>
              <w:rPr>
                <w:rFonts w:ascii="Calibri" w:hAnsi="Calibri"/>
                <w:sz w:val="20"/>
              </w:rPr>
            </w:pPr>
            <w:r w:rsidRPr="004E50E7">
              <w:rPr>
                <w:rFonts w:ascii="Calibri" w:hAnsi="Calibri"/>
                <w:sz w:val="20"/>
              </w:rPr>
              <w:t>2,470</w:t>
            </w:r>
          </w:p>
        </w:tc>
        <w:tc>
          <w:tcPr>
            <w:tcW w:w="924" w:type="dxa"/>
            <w:vAlign w:val="center"/>
          </w:tcPr>
          <w:p w14:paraId="45AB598F" w14:textId="77777777" w:rsidR="00BB058B" w:rsidRPr="004E50E7" w:rsidRDefault="00BB058B" w:rsidP="00825439">
            <w:pPr>
              <w:jc w:val="center"/>
              <w:rPr>
                <w:rFonts w:ascii="Calibri" w:hAnsi="Calibri"/>
                <w:sz w:val="20"/>
              </w:rPr>
            </w:pPr>
            <w:r w:rsidRPr="004E50E7">
              <w:rPr>
                <w:rFonts w:ascii="Calibri" w:hAnsi="Calibri"/>
                <w:sz w:val="20"/>
              </w:rPr>
              <w:t>23.3</w:t>
            </w:r>
          </w:p>
        </w:tc>
        <w:tc>
          <w:tcPr>
            <w:tcW w:w="975" w:type="dxa"/>
          </w:tcPr>
          <w:p w14:paraId="5997A9AD" w14:textId="77777777" w:rsidR="00BB058B" w:rsidRPr="004E50E7" w:rsidRDefault="00126478" w:rsidP="00825439">
            <w:pPr>
              <w:jc w:val="center"/>
              <w:rPr>
                <w:rFonts w:ascii="Calibri" w:hAnsi="Calibri"/>
                <w:sz w:val="20"/>
              </w:rPr>
            </w:pPr>
            <w:r>
              <w:rPr>
                <w:rFonts w:ascii="Calibri" w:hAnsi="Calibri"/>
                <w:sz w:val="20"/>
              </w:rPr>
              <w:t>2,492</w:t>
            </w:r>
          </w:p>
        </w:tc>
        <w:tc>
          <w:tcPr>
            <w:tcW w:w="981" w:type="dxa"/>
          </w:tcPr>
          <w:p w14:paraId="2A552CD0" w14:textId="77777777" w:rsidR="00BB058B" w:rsidRPr="004E50E7" w:rsidRDefault="00126478" w:rsidP="00825439">
            <w:pPr>
              <w:jc w:val="center"/>
              <w:rPr>
                <w:rFonts w:ascii="Calibri" w:hAnsi="Calibri"/>
                <w:sz w:val="20"/>
              </w:rPr>
            </w:pPr>
            <w:r>
              <w:rPr>
                <w:rFonts w:ascii="Calibri" w:hAnsi="Calibri"/>
                <w:sz w:val="20"/>
              </w:rPr>
              <w:t>24.0</w:t>
            </w:r>
          </w:p>
        </w:tc>
        <w:tc>
          <w:tcPr>
            <w:tcW w:w="876" w:type="dxa"/>
            <w:shd w:val="clear" w:color="auto" w:fill="auto"/>
            <w:vAlign w:val="center"/>
          </w:tcPr>
          <w:p w14:paraId="20A4EEAC" w14:textId="2A700250" w:rsidR="00BB058B" w:rsidRPr="004E50E7" w:rsidRDefault="002A0A96" w:rsidP="00825439">
            <w:pPr>
              <w:jc w:val="center"/>
              <w:rPr>
                <w:rFonts w:ascii="Calibri" w:hAnsi="Calibri"/>
                <w:sz w:val="20"/>
              </w:rPr>
            </w:pPr>
            <w:r>
              <w:rPr>
                <w:rFonts w:ascii="Calibri" w:hAnsi="Calibri"/>
                <w:sz w:val="20"/>
              </w:rPr>
              <w:t>1,857</w:t>
            </w:r>
          </w:p>
        </w:tc>
        <w:tc>
          <w:tcPr>
            <w:tcW w:w="999" w:type="dxa"/>
            <w:shd w:val="clear" w:color="auto" w:fill="auto"/>
            <w:vAlign w:val="center"/>
          </w:tcPr>
          <w:p w14:paraId="7264FE6B" w14:textId="625317A5" w:rsidR="00BB058B" w:rsidRPr="004E50E7" w:rsidRDefault="002A0A96" w:rsidP="00825439">
            <w:pPr>
              <w:jc w:val="center"/>
              <w:rPr>
                <w:rFonts w:ascii="Calibri" w:hAnsi="Calibri"/>
                <w:sz w:val="20"/>
              </w:rPr>
            </w:pPr>
            <w:r>
              <w:rPr>
                <w:rFonts w:ascii="Calibri" w:hAnsi="Calibri"/>
                <w:sz w:val="20"/>
              </w:rPr>
              <w:t>17.2</w:t>
            </w:r>
          </w:p>
        </w:tc>
      </w:tr>
      <w:tr w:rsidR="00BB058B" w:rsidRPr="004E50E7" w14:paraId="59B86478" w14:textId="77777777" w:rsidTr="006D5202">
        <w:trPr>
          <w:jc w:val="center"/>
        </w:trPr>
        <w:tc>
          <w:tcPr>
            <w:tcW w:w="2818" w:type="dxa"/>
          </w:tcPr>
          <w:p w14:paraId="25DD67FF"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2-person household</w:t>
            </w:r>
          </w:p>
        </w:tc>
        <w:tc>
          <w:tcPr>
            <w:tcW w:w="1062" w:type="dxa"/>
            <w:vAlign w:val="center"/>
          </w:tcPr>
          <w:p w14:paraId="39EB7269" w14:textId="77777777" w:rsidR="00BB058B" w:rsidRPr="004E50E7" w:rsidRDefault="00BB058B" w:rsidP="00825439">
            <w:pPr>
              <w:jc w:val="center"/>
              <w:rPr>
                <w:rFonts w:ascii="Calibri" w:hAnsi="Calibri"/>
                <w:sz w:val="20"/>
              </w:rPr>
            </w:pPr>
            <w:r w:rsidRPr="004E50E7">
              <w:rPr>
                <w:rFonts w:ascii="Calibri" w:hAnsi="Calibri"/>
                <w:sz w:val="20"/>
              </w:rPr>
              <w:t>279</w:t>
            </w:r>
          </w:p>
        </w:tc>
        <w:tc>
          <w:tcPr>
            <w:tcW w:w="924" w:type="dxa"/>
            <w:vAlign w:val="center"/>
          </w:tcPr>
          <w:p w14:paraId="1890F8A5" w14:textId="77777777" w:rsidR="00BB058B" w:rsidRPr="004E50E7" w:rsidRDefault="00BB058B" w:rsidP="00825439">
            <w:pPr>
              <w:jc w:val="center"/>
              <w:rPr>
                <w:rFonts w:ascii="Calibri" w:hAnsi="Calibri"/>
                <w:sz w:val="20"/>
              </w:rPr>
            </w:pPr>
            <w:r w:rsidRPr="004E50E7">
              <w:rPr>
                <w:rFonts w:ascii="Calibri" w:hAnsi="Calibri"/>
                <w:sz w:val="20"/>
              </w:rPr>
              <w:t>2.6</w:t>
            </w:r>
          </w:p>
        </w:tc>
        <w:tc>
          <w:tcPr>
            <w:tcW w:w="975" w:type="dxa"/>
          </w:tcPr>
          <w:p w14:paraId="0C9F84E5" w14:textId="77777777" w:rsidR="00BB058B" w:rsidRPr="004E50E7" w:rsidRDefault="00126478" w:rsidP="00825439">
            <w:pPr>
              <w:jc w:val="center"/>
              <w:rPr>
                <w:rFonts w:ascii="Calibri" w:hAnsi="Calibri"/>
                <w:sz w:val="20"/>
              </w:rPr>
            </w:pPr>
            <w:r>
              <w:rPr>
                <w:rFonts w:ascii="Calibri" w:hAnsi="Calibri"/>
                <w:sz w:val="20"/>
              </w:rPr>
              <w:t>159</w:t>
            </w:r>
          </w:p>
        </w:tc>
        <w:tc>
          <w:tcPr>
            <w:tcW w:w="981" w:type="dxa"/>
          </w:tcPr>
          <w:p w14:paraId="5EBA0C72" w14:textId="77777777" w:rsidR="00BB058B" w:rsidRPr="004E50E7" w:rsidRDefault="00126478" w:rsidP="00825439">
            <w:pPr>
              <w:jc w:val="center"/>
              <w:rPr>
                <w:rFonts w:ascii="Calibri" w:hAnsi="Calibri"/>
                <w:sz w:val="20"/>
              </w:rPr>
            </w:pPr>
            <w:r>
              <w:rPr>
                <w:rFonts w:ascii="Calibri" w:hAnsi="Calibri"/>
                <w:sz w:val="20"/>
              </w:rPr>
              <w:t>1.5</w:t>
            </w:r>
          </w:p>
        </w:tc>
        <w:tc>
          <w:tcPr>
            <w:tcW w:w="876" w:type="dxa"/>
            <w:shd w:val="clear" w:color="auto" w:fill="auto"/>
            <w:vAlign w:val="center"/>
          </w:tcPr>
          <w:p w14:paraId="227C67A7" w14:textId="50934340" w:rsidR="00BB058B" w:rsidRPr="004E50E7" w:rsidRDefault="002A0A96" w:rsidP="00825439">
            <w:pPr>
              <w:jc w:val="center"/>
              <w:rPr>
                <w:rFonts w:ascii="Calibri" w:hAnsi="Calibri"/>
                <w:sz w:val="20"/>
              </w:rPr>
            </w:pPr>
            <w:r>
              <w:rPr>
                <w:rFonts w:ascii="Calibri" w:hAnsi="Calibri"/>
                <w:sz w:val="20"/>
              </w:rPr>
              <w:t>154</w:t>
            </w:r>
          </w:p>
        </w:tc>
        <w:tc>
          <w:tcPr>
            <w:tcW w:w="999" w:type="dxa"/>
            <w:shd w:val="clear" w:color="auto" w:fill="auto"/>
            <w:vAlign w:val="center"/>
          </w:tcPr>
          <w:p w14:paraId="19A13D46" w14:textId="13A4AA00" w:rsidR="00BB058B" w:rsidRPr="004E50E7" w:rsidRDefault="002A0A96" w:rsidP="00825439">
            <w:pPr>
              <w:jc w:val="center"/>
              <w:rPr>
                <w:rFonts w:ascii="Calibri" w:hAnsi="Calibri"/>
                <w:sz w:val="20"/>
              </w:rPr>
            </w:pPr>
            <w:r>
              <w:rPr>
                <w:rFonts w:ascii="Calibri" w:hAnsi="Calibri"/>
                <w:sz w:val="20"/>
              </w:rPr>
              <w:t>1.4</w:t>
            </w:r>
          </w:p>
        </w:tc>
      </w:tr>
      <w:tr w:rsidR="00BB058B" w:rsidRPr="004E50E7" w14:paraId="2BA9A0D3" w14:textId="77777777" w:rsidTr="006D5202">
        <w:trPr>
          <w:jc w:val="center"/>
        </w:trPr>
        <w:tc>
          <w:tcPr>
            <w:tcW w:w="2818" w:type="dxa"/>
          </w:tcPr>
          <w:p w14:paraId="11F338B9"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3-person household</w:t>
            </w:r>
          </w:p>
        </w:tc>
        <w:tc>
          <w:tcPr>
            <w:tcW w:w="1062" w:type="dxa"/>
            <w:vAlign w:val="center"/>
          </w:tcPr>
          <w:p w14:paraId="3AD3BE9D" w14:textId="77777777" w:rsidR="00BB058B" w:rsidRPr="004E50E7" w:rsidRDefault="00BB058B" w:rsidP="00825439">
            <w:pPr>
              <w:jc w:val="center"/>
              <w:rPr>
                <w:rFonts w:ascii="Calibri" w:hAnsi="Calibri"/>
                <w:sz w:val="20"/>
              </w:rPr>
            </w:pPr>
            <w:r w:rsidRPr="004E50E7">
              <w:rPr>
                <w:rFonts w:ascii="Calibri" w:hAnsi="Calibri"/>
                <w:sz w:val="20"/>
              </w:rPr>
              <w:t>36</w:t>
            </w:r>
          </w:p>
        </w:tc>
        <w:tc>
          <w:tcPr>
            <w:tcW w:w="924" w:type="dxa"/>
            <w:vAlign w:val="center"/>
          </w:tcPr>
          <w:p w14:paraId="684469B8" w14:textId="77777777" w:rsidR="00BB058B" w:rsidRPr="004E50E7" w:rsidRDefault="00BB058B" w:rsidP="00825439">
            <w:pPr>
              <w:jc w:val="center"/>
              <w:rPr>
                <w:rFonts w:ascii="Calibri" w:hAnsi="Calibri"/>
                <w:sz w:val="20"/>
              </w:rPr>
            </w:pPr>
            <w:r w:rsidRPr="004E50E7">
              <w:rPr>
                <w:rFonts w:ascii="Calibri" w:hAnsi="Calibri"/>
                <w:sz w:val="20"/>
              </w:rPr>
              <w:t>0.3</w:t>
            </w:r>
          </w:p>
        </w:tc>
        <w:tc>
          <w:tcPr>
            <w:tcW w:w="975" w:type="dxa"/>
          </w:tcPr>
          <w:p w14:paraId="2398AC22" w14:textId="77777777" w:rsidR="00BB058B" w:rsidRPr="004E50E7" w:rsidRDefault="00126478" w:rsidP="00825439">
            <w:pPr>
              <w:jc w:val="center"/>
              <w:rPr>
                <w:rFonts w:ascii="Calibri" w:hAnsi="Calibri"/>
                <w:sz w:val="20"/>
              </w:rPr>
            </w:pPr>
            <w:r>
              <w:rPr>
                <w:rFonts w:ascii="Calibri" w:hAnsi="Calibri"/>
                <w:sz w:val="20"/>
              </w:rPr>
              <w:t>0</w:t>
            </w:r>
          </w:p>
        </w:tc>
        <w:tc>
          <w:tcPr>
            <w:tcW w:w="981" w:type="dxa"/>
          </w:tcPr>
          <w:p w14:paraId="33106A98" w14:textId="77777777" w:rsidR="00BB058B" w:rsidRPr="004E50E7" w:rsidRDefault="00126478" w:rsidP="00825439">
            <w:pPr>
              <w:jc w:val="center"/>
              <w:rPr>
                <w:rFonts w:ascii="Calibri" w:hAnsi="Calibri"/>
                <w:sz w:val="20"/>
              </w:rPr>
            </w:pPr>
            <w:r>
              <w:rPr>
                <w:rFonts w:ascii="Calibri" w:hAnsi="Calibri"/>
                <w:sz w:val="20"/>
              </w:rPr>
              <w:t>0.0</w:t>
            </w:r>
          </w:p>
        </w:tc>
        <w:tc>
          <w:tcPr>
            <w:tcW w:w="876" w:type="dxa"/>
            <w:shd w:val="clear" w:color="auto" w:fill="auto"/>
            <w:vAlign w:val="center"/>
          </w:tcPr>
          <w:p w14:paraId="17D625AF" w14:textId="40DD22FA" w:rsidR="00BB058B" w:rsidRPr="004E50E7" w:rsidRDefault="002A0A96" w:rsidP="00825439">
            <w:pPr>
              <w:jc w:val="center"/>
              <w:rPr>
                <w:rFonts w:ascii="Calibri" w:hAnsi="Calibri"/>
                <w:sz w:val="20"/>
              </w:rPr>
            </w:pPr>
            <w:r>
              <w:rPr>
                <w:rFonts w:ascii="Calibri" w:hAnsi="Calibri"/>
                <w:sz w:val="20"/>
              </w:rPr>
              <w:t>36</w:t>
            </w:r>
          </w:p>
        </w:tc>
        <w:tc>
          <w:tcPr>
            <w:tcW w:w="999" w:type="dxa"/>
            <w:shd w:val="clear" w:color="auto" w:fill="auto"/>
            <w:vAlign w:val="center"/>
          </w:tcPr>
          <w:p w14:paraId="0D706399" w14:textId="1B374904" w:rsidR="00BB058B" w:rsidRPr="004E50E7" w:rsidRDefault="002A0A96" w:rsidP="00825439">
            <w:pPr>
              <w:jc w:val="center"/>
              <w:rPr>
                <w:rFonts w:ascii="Calibri" w:hAnsi="Calibri"/>
                <w:sz w:val="20"/>
              </w:rPr>
            </w:pPr>
            <w:r>
              <w:rPr>
                <w:rFonts w:ascii="Calibri" w:hAnsi="Calibri"/>
                <w:sz w:val="20"/>
              </w:rPr>
              <w:t>0.3</w:t>
            </w:r>
          </w:p>
        </w:tc>
      </w:tr>
      <w:tr w:rsidR="00BB058B" w:rsidRPr="004E50E7" w14:paraId="534CEB92" w14:textId="77777777" w:rsidTr="006D5202">
        <w:trPr>
          <w:jc w:val="center"/>
        </w:trPr>
        <w:tc>
          <w:tcPr>
            <w:tcW w:w="2818" w:type="dxa"/>
          </w:tcPr>
          <w:p w14:paraId="258B99FE"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4-person household</w:t>
            </w:r>
          </w:p>
        </w:tc>
        <w:tc>
          <w:tcPr>
            <w:tcW w:w="1062" w:type="dxa"/>
            <w:vAlign w:val="center"/>
          </w:tcPr>
          <w:p w14:paraId="779F68DB" w14:textId="77777777" w:rsidR="00BB058B" w:rsidRPr="004E50E7" w:rsidRDefault="00BB058B" w:rsidP="00825439">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sidRPr="004E50E7">
              <w:rPr>
                <w:rFonts w:ascii="Calibri" w:hAnsi="Calibri"/>
                <w:spacing w:val="0"/>
                <w:szCs w:val="24"/>
              </w:rPr>
              <w:t>10</w:t>
            </w:r>
          </w:p>
        </w:tc>
        <w:tc>
          <w:tcPr>
            <w:tcW w:w="924" w:type="dxa"/>
            <w:vAlign w:val="center"/>
          </w:tcPr>
          <w:p w14:paraId="3986939E" w14:textId="77777777" w:rsidR="00BB058B" w:rsidRPr="004E50E7" w:rsidRDefault="00BB058B" w:rsidP="00825439">
            <w:pPr>
              <w:jc w:val="center"/>
              <w:rPr>
                <w:rFonts w:ascii="Calibri" w:hAnsi="Calibri"/>
                <w:sz w:val="20"/>
              </w:rPr>
            </w:pPr>
            <w:r w:rsidRPr="004E50E7">
              <w:rPr>
                <w:rFonts w:ascii="Calibri" w:hAnsi="Calibri"/>
                <w:sz w:val="20"/>
              </w:rPr>
              <w:t>0.1</w:t>
            </w:r>
          </w:p>
        </w:tc>
        <w:tc>
          <w:tcPr>
            <w:tcW w:w="975" w:type="dxa"/>
          </w:tcPr>
          <w:p w14:paraId="7AD9EA30" w14:textId="77777777" w:rsidR="00BB058B" w:rsidRPr="004E50E7" w:rsidRDefault="00126478" w:rsidP="00825439">
            <w:pPr>
              <w:jc w:val="center"/>
              <w:rPr>
                <w:rFonts w:ascii="Calibri" w:hAnsi="Calibri"/>
                <w:sz w:val="20"/>
              </w:rPr>
            </w:pPr>
            <w:r>
              <w:rPr>
                <w:rFonts w:ascii="Calibri" w:hAnsi="Calibri"/>
                <w:sz w:val="20"/>
              </w:rPr>
              <w:t>16</w:t>
            </w:r>
          </w:p>
        </w:tc>
        <w:tc>
          <w:tcPr>
            <w:tcW w:w="981" w:type="dxa"/>
          </w:tcPr>
          <w:p w14:paraId="14FA32D2" w14:textId="77777777" w:rsidR="00BB058B" w:rsidRPr="004E50E7" w:rsidRDefault="00126478" w:rsidP="00825439">
            <w:pPr>
              <w:jc w:val="center"/>
              <w:rPr>
                <w:rFonts w:ascii="Calibri" w:hAnsi="Calibri"/>
                <w:sz w:val="20"/>
              </w:rPr>
            </w:pPr>
            <w:r>
              <w:rPr>
                <w:rFonts w:ascii="Calibri" w:hAnsi="Calibri"/>
                <w:sz w:val="20"/>
              </w:rPr>
              <w:t>0.2</w:t>
            </w:r>
          </w:p>
        </w:tc>
        <w:tc>
          <w:tcPr>
            <w:tcW w:w="876" w:type="dxa"/>
            <w:shd w:val="clear" w:color="auto" w:fill="auto"/>
            <w:vAlign w:val="center"/>
          </w:tcPr>
          <w:p w14:paraId="5D7C4DAC" w14:textId="7E939646" w:rsidR="00BB058B" w:rsidRPr="004E50E7" w:rsidRDefault="002A0A96" w:rsidP="00825439">
            <w:pPr>
              <w:jc w:val="center"/>
              <w:rPr>
                <w:rFonts w:ascii="Calibri" w:hAnsi="Calibri"/>
                <w:sz w:val="20"/>
              </w:rPr>
            </w:pPr>
            <w:r>
              <w:rPr>
                <w:rFonts w:ascii="Calibri" w:hAnsi="Calibri"/>
                <w:sz w:val="20"/>
              </w:rPr>
              <w:t>0</w:t>
            </w:r>
          </w:p>
        </w:tc>
        <w:tc>
          <w:tcPr>
            <w:tcW w:w="999" w:type="dxa"/>
            <w:shd w:val="clear" w:color="auto" w:fill="auto"/>
            <w:vAlign w:val="center"/>
          </w:tcPr>
          <w:p w14:paraId="04BC9FD9" w14:textId="1F93546A" w:rsidR="00BB058B" w:rsidRPr="004E50E7" w:rsidRDefault="002A0A96" w:rsidP="00825439">
            <w:pPr>
              <w:jc w:val="center"/>
              <w:rPr>
                <w:rFonts w:ascii="Calibri" w:hAnsi="Calibri"/>
                <w:sz w:val="20"/>
              </w:rPr>
            </w:pPr>
            <w:r>
              <w:rPr>
                <w:rFonts w:ascii="Calibri" w:hAnsi="Calibri"/>
                <w:sz w:val="20"/>
              </w:rPr>
              <w:t>0.0</w:t>
            </w:r>
          </w:p>
        </w:tc>
      </w:tr>
      <w:tr w:rsidR="00BB058B" w:rsidRPr="004E50E7" w14:paraId="38C4D76F" w14:textId="77777777" w:rsidTr="006D5202">
        <w:trPr>
          <w:jc w:val="center"/>
        </w:trPr>
        <w:tc>
          <w:tcPr>
            <w:tcW w:w="2818" w:type="dxa"/>
          </w:tcPr>
          <w:p w14:paraId="48F63287"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5-person household</w:t>
            </w:r>
          </w:p>
        </w:tc>
        <w:tc>
          <w:tcPr>
            <w:tcW w:w="1062" w:type="dxa"/>
            <w:vAlign w:val="center"/>
          </w:tcPr>
          <w:p w14:paraId="27FD53DD" w14:textId="77777777" w:rsidR="00BB058B" w:rsidRPr="004E50E7" w:rsidRDefault="00BB058B" w:rsidP="00825439">
            <w:pPr>
              <w:jc w:val="center"/>
              <w:rPr>
                <w:rFonts w:ascii="Calibri" w:hAnsi="Calibri"/>
                <w:sz w:val="20"/>
              </w:rPr>
            </w:pPr>
            <w:r w:rsidRPr="004E50E7">
              <w:rPr>
                <w:rFonts w:ascii="Calibri" w:hAnsi="Calibri"/>
                <w:sz w:val="20"/>
              </w:rPr>
              <w:t>0</w:t>
            </w:r>
          </w:p>
        </w:tc>
        <w:tc>
          <w:tcPr>
            <w:tcW w:w="924" w:type="dxa"/>
            <w:vAlign w:val="center"/>
          </w:tcPr>
          <w:p w14:paraId="3C871190" w14:textId="77777777" w:rsidR="00BB058B" w:rsidRPr="004E50E7" w:rsidRDefault="00BB058B" w:rsidP="00825439">
            <w:pPr>
              <w:jc w:val="center"/>
              <w:rPr>
                <w:rFonts w:ascii="Calibri" w:hAnsi="Calibri"/>
                <w:sz w:val="20"/>
              </w:rPr>
            </w:pPr>
            <w:r w:rsidRPr="004E50E7">
              <w:rPr>
                <w:rFonts w:ascii="Calibri" w:hAnsi="Calibri"/>
                <w:sz w:val="20"/>
              </w:rPr>
              <w:t>0.0</w:t>
            </w:r>
          </w:p>
        </w:tc>
        <w:tc>
          <w:tcPr>
            <w:tcW w:w="975" w:type="dxa"/>
          </w:tcPr>
          <w:p w14:paraId="24B997B5" w14:textId="77777777" w:rsidR="00BB058B" w:rsidRPr="004E50E7" w:rsidRDefault="00126478" w:rsidP="00825439">
            <w:pPr>
              <w:jc w:val="center"/>
              <w:rPr>
                <w:rFonts w:ascii="Calibri" w:hAnsi="Calibri"/>
                <w:sz w:val="20"/>
              </w:rPr>
            </w:pPr>
            <w:r>
              <w:rPr>
                <w:rFonts w:ascii="Calibri" w:hAnsi="Calibri"/>
                <w:sz w:val="20"/>
              </w:rPr>
              <w:t>0</w:t>
            </w:r>
          </w:p>
        </w:tc>
        <w:tc>
          <w:tcPr>
            <w:tcW w:w="981" w:type="dxa"/>
          </w:tcPr>
          <w:p w14:paraId="7EFDBEC9" w14:textId="77777777" w:rsidR="00BB058B" w:rsidRPr="004E50E7" w:rsidRDefault="00126478" w:rsidP="00825439">
            <w:pPr>
              <w:jc w:val="center"/>
              <w:rPr>
                <w:rFonts w:ascii="Calibri" w:hAnsi="Calibri"/>
                <w:sz w:val="20"/>
              </w:rPr>
            </w:pPr>
            <w:r>
              <w:rPr>
                <w:rFonts w:ascii="Calibri" w:hAnsi="Calibri"/>
                <w:sz w:val="20"/>
              </w:rPr>
              <w:t>0.0</w:t>
            </w:r>
          </w:p>
        </w:tc>
        <w:tc>
          <w:tcPr>
            <w:tcW w:w="876" w:type="dxa"/>
            <w:shd w:val="clear" w:color="auto" w:fill="auto"/>
            <w:vAlign w:val="center"/>
          </w:tcPr>
          <w:p w14:paraId="678D2286" w14:textId="7EF90A3D" w:rsidR="00BB058B" w:rsidRPr="004E50E7" w:rsidRDefault="002A0A96" w:rsidP="00825439">
            <w:pPr>
              <w:jc w:val="center"/>
              <w:rPr>
                <w:rFonts w:ascii="Calibri" w:hAnsi="Calibri"/>
                <w:sz w:val="20"/>
              </w:rPr>
            </w:pPr>
            <w:r>
              <w:rPr>
                <w:rFonts w:ascii="Calibri" w:hAnsi="Calibri"/>
                <w:sz w:val="20"/>
              </w:rPr>
              <w:t>0</w:t>
            </w:r>
          </w:p>
        </w:tc>
        <w:tc>
          <w:tcPr>
            <w:tcW w:w="999" w:type="dxa"/>
            <w:shd w:val="clear" w:color="auto" w:fill="auto"/>
            <w:vAlign w:val="center"/>
          </w:tcPr>
          <w:p w14:paraId="2C72521C" w14:textId="3ED7DF36" w:rsidR="00BB058B" w:rsidRPr="004E50E7" w:rsidRDefault="002A0A96" w:rsidP="00825439">
            <w:pPr>
              <w:jc w:val="center"/>
              <w:rPr>
                <w:rFonts w:ascii="Calibri" w:hAnsi="Calibri"/>
                <w:sz w:val="20"/>
              </w:rPr>
            </w:pPr>
            <w:r>
              <w:rPr>
                <w:rFonts w:ascii="Calibri" w:hAnsi="Calibri"/>
                <w:sz w:val="20"/>
              </w:rPr>
              <w:t>0.0</w:t>
            </w:r>
          </w:p>
        </w:tc>
      </w:tr>
      <w:tr w:rsidR="00BB058B" w:rsidRPr="004E50E7" w14:paraId="7E275D79" w14:textId="77777777" w:rsidTr="006D5202">
        <w:trPr>
          <w:jc w:val="center"/>
        </w:trPr>
        <w:tc>
          <w:tcPr>
            <w:tcW w:w="2818" w:type="dxa"/>
          </w:tcPr>
          <w:p w14:paraId="7289A04D" w14:textId="77777777"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6-person household</w:t>
            </w:r>
          </w:p>
        </w:tc>
        <w:tc>
          <w:tcPr>
            <w:tcW w:w="1062" w:type="dxa"/>
            <w:vAlign w:val="center"/>
          </w:tcPr>
          <w:p w14:paraId="24D7A827" w14:textId="77777777" w:rsidR="00BB058B" w:rsidRPr="004E50E7" w:rsidRDefault="00BB058B" w:rsidP="00825439">
            <w:pPr>
              <w:jc w:val="center"/>
              <w:rPr>
                <w:rFonts w:ascii="Calibri" w:hAnsi="Calibri"/>
                <w:sz w:val="20"/>
              </w:rPr>
            </w:pPr>
            <w:r w:rsidRPr="004E50E7">
              <w:rPr>
                <w:rFonts w:ascii="Calibri" w:hAnsi="Calibri"/>
                <w:sz w:val="20"/>
              </w:rPr>
              <w:t>0</w:t>
            </w:r>
          </w:p>
        </w:tc>
        <w:tc>
          <w:tcPr>
            <w:tcW w:w="924" w:type="dxa"/>
            <w:vAlign w:val="center"/>
          </w:tcPr>
          <w:p w14:paraId="005AB584" w14:textId="77777777" w:rsidR="00BB058B" w:rsidRPr="004E50E7" w:rsidRDefault="00BB058B" w:rsidP="00825439">
            <w:pPr>
              <w:jc w:val="center"/>
              <w:rPr>
                <w:rFonts w:ascii="Calibri" w:hAnsi="Calibri"/>
                <w:sz w:val="20"/>
              </w:rPr>
            </w:pPr>
            <w:r w:rsidRPr="004E50E7">
              <w:rPr>
                <w:rFonts w:ascii="Calibri" w:hAnsi="Calibri"/>
                <w:sz w:val="20"/>
              </w:rPr>
              <w:t>0.0</w:t>
            </w:r>
          </w:p>
        </w:tc>
        <w:tc>
          <w:tcPr>
            <w:tcW w:w="975" w:type="dxa"/>
          </w:tcPr>
          <w:p w14:paraId="32F23829" w14:textId="77777777" w:rsidR="00BB058B" w:rsidRPr="004E50E7" w:rsidRDefault="00126478" w:rsidP="00825439">
            <w:pPr>
              <w:jc w:val="center"/>
              <w:rPr>
                <w:rFonts w:ascii="Calibri" w:hAnsi="Calibri"/>
                <w:sz w:val="20"/>
              </w:rPr>
            </w:pPr>
            <w:r>
              <w:rPr>
                <w:rFonts w:ascii="Calibri" w:hAnsi="Calibri"/>
                <w:sz w:val="20"/>
              </w:rPr>
              <w:t>0</w:t>
            </w:r>
          </w:p>
        </w:tc>
        <w:tc>
          <w:tcPr>
            <w:tcW w:w="981" w:type="dxa"/>
          </w:tcPr>
          <w:p w14:paraId="11614102" w14:textId="77777777" w:rsidR="00BB058B" w:rsidRPr="004E50E7" w:rsidRDefault="00126478" w:rsidP="00825439">
            <w:pPr>
              <w:jc w:val="center"/>
              <w:rPr>
                <w:rFonts w:ascii="Calibri" w:hAnsi="Calibri"/>
                <w:sz w:val="20"/>
              </w:rPr>
            </w:pPr>
            <w:r>
              <w:rPr>
                <w:rFonts w:ascii="Calibri" w:hAnsi="Calibri"/>
                <w:sz w:val="20"/>
              </w:rPr>
              <w:t>0.0</w:t>
            </w:r>
          </w:p>
        </w:tc>
        <w:tc>
          <w:tcPr>
            <w:tcW w:w="876" w:type="dxa"/>
            <w:shd w:val="clear" w:color="auto" w:fill="auto"/>
            <w:vAlign w:val="center"/>
          </w:tcPr>
          <w:p w14:paraId="5B07AFDC" w14:textId="330ACE75" w:rsidR="00BB058B" w:rsidRPr="004E50E7" w:rsidRDefault="002A0A96" w:rsidP="00825439">
            <w:pPr>
              <w:jc w:val="center"/>
              <w:rPr>
                <w:rFonts w:ascii="Calibri" w:hAnsi="Calibri"/>
                <w:sz w:val="20"/>
              </w:rPr>
            </w:pPr>
            <w:r>
              <w:rPr>
                <w:rFonts w:ascii="Calibri" w:hAnsi="Calibri"/>
                <w:sz w:val="20"/>
              </w:rPr>
              <w:t>0</w:t>
            </w:r>
          </w:p>
        </w:tc>
        <w:tc>
          <w:tcPr>
            <w:tcW w:w="999" w:type="dxa"/>
            <w:shd w:val="clear" w:color="auto" w:fill="auto"/>
            <w:vAlign w:val="center"/>
          </w:tcPr>
          <w:p w14:paraId="50F2655C" w14:textId="795B56F1" w:rsidR="00BB058B" w:rsidRPr="004E50E7" w:rsidRDefault="002A0A96" w:rsidP="00825439">
            <w:pPr>
              <w:jc w:val="center"/>
              <w:rPr>
                <w:rFonts w:ascii="Calibri" w:hAnsi="Calibri"/>
                <w:sz w:val="20"/>
              </w:rPr>
            </w:pPr>
            <w:r>
              <w:rPr>
                <w:rFonts w:ascii="Calibri" w:hAnsi="Calibri"/>
                <w:sz w:val="20"/>
              </w:rPr>
              <w:t>0.0</w:t>
            </w:r>
          </w:p>
        </w:tc>
      </w:tr>
      <w:tr w:rsidR="00BB058B" w:rsidRPr="004E50E7" w14:paraId="0D9AAFF6" w14:textId="77777777" w:rsidTr="006D5202">
        <w:trPr>
          <w:jc w:val="center"/>
        </w:trPr>
        <w:tc>
          <w:tcPr>
            <w:tcW w:w="2818" w:type="dxa"/>
          </w:tcPr>
          <w:p w14:paraId="4739F01B" w14:textId="78E750A6" w:rsidR="00BB058B" w:rsidRPr="004E50E7" w:rsidRDefault="00BB058B" w:rsidP="00825439">
            <w:pPr>
              <w:pStyle w:val="cat"/>
              <w:spacing w:before="0" w:beforeAutospacing="0" w:after="0" w:afterAutospacing="0"/>
              <w:ind w:left="240"/>
              <w:rPr>
                <w:rFonts w:ascii="Calibri" w:hAnsi="Calibri"/>
                <w:sz w:val="20"/>
              </w:rPr>
            </w:pPr>
            <w:r w:rsidRPr="004E50E7">
              <w:rPr>
                <w:rFonts w:ascii="Calibri" w:hAnsi="Calibri"/>
                <w:sz w:val="20"/>
              </w:rPr>
              <w:t>7</w:t>
            </w:r>
            <w:r w:rsidR="00695C58">
              <w:rPr>
                <w:rFonts w:ascii="Calibri" w:hAnsi="Calibri"/>
                <w:sz w:val="20"/>
              </w:rPr>
              <w:t>+</w:t>
            </w:r>
            <w:r w:rsidRPr="004E50E7">
              <w:rPr>
                <w:rFonts w:ascii="Calibri" w:hAnsi="Calibri"/>
                <w:sz w:val="20"/>
              </w:rPr>
              <w:t xml:space="preserve"> person household</w:t>
            </w:r>
          </w:p>
        </w:tc>
        <w:tc>
          <w:tcPr>
            <w:tcW w:w="1062" w:type="dxa"/>
            <w:vAlign w:val="center"/>
          </w:tcPr>
          <w:p w14:paraId="14BD0D1C" w14:textId="77777777" w:rsidR="00BB058B" w:rsidRPr="004E50E7" w:rsidRDefault="00BB058B" w:rsidP="00825439">
            <w:pPr>
              <w:jc w:val="center"/>
              <w:rPr>
                <w:rFonts w:ascii="Calibri" w:hAnsi="Calibri"/>
                <w:sz w:val="20"/>
              </w:rPr>
            </w:pPr>
            <w:r w:rsidRPr="004E50E7">
              <w:rPr>
                <w:rFonts w:ascii="Calibri" w:hAnsi="Calibri"/>
                <w:sz w:val="20"/>
              </w:rPr>
              <w:t>0</w:t>
            </w:r>
          </w:p>
        </w:tc>
        <w:tc>
          <w:tcPr>
            <w:tcW w:w="924" w:type="dxa"/>
            <w:vAlign w:val="center"/>
          </w:tcPr>
          <w:p w14:paraId="33ACA1B9" w14:textId="77777777" w:rsidR="00BB058B" w:rsidRPr="004E50E7" w:rsidRDefault="00BB058B" w:rsidP="00825439">
            <w:pPr>
              <w:jc w:val="center"/>
              <w:rPr>
                <w:rFonts w:ascii="Calibri" w:hAnsi="Calibri"/>
                <w:sz w:val="20"/>
              </w:rPr>
            </w:pPr>
            <w:r w:rsidRPr="004E50E7">
              <w:rPr>
                <w:rFonts w:ascii="Calibri" w:hAnsi="Calibri"/>
                <w:sz w:val="20"/>
              </w:rPr>
              <w:t>0.0</w:t>
            </w:r>
          </w:p>
        </w:tc>
        <w:tc>
          <w:tcPr>
            <w:tcW w:w="975" w:type="dxa"/>
          </w:tcPr>
          <w:p w14:paraId="00C4F2AE" w14:textId="77777777" w:rsidR="00BB058B" w:rsidRPr="004E50E7" w:rsidRDefault="00126478" w:rsidP="00825439">
            <w:pPr>
              <w:pStyle w:val="CommentText"/>
              <w:spacing w:line="240" w:lineRule="auto"/>
              <w:jc w:val="center"/>
              <w:rPr>
                <w:rFonts w:ascii="Calibri" w:hAnsi="Calibri"/>
                <w:sz w:val="20"/>
              </w:rPr>
            </w:pPr>
            <w:r>
              <w:rPr>
                <w:rFonts w:ascii="Calibri" w:hAnsi="Calibri"/>
                <w:sz w:val="20"/>
              </w:rPr>
              <w:t>0</w:t>
            </w:r>
          </w:p>
        </w:tc>
        <w:tc>
          <w:tcPr>
            <w:tcW w:w="981" w:type="dxa"/>
          </w:tcPr>
          <w:p w14:paraId="1E9EA0BB" w14:textId="77777777" w:rsidR="00BB058B" w:rsidRPr="004E50E7" w:rsidRDefault="00126478" w:rsidP="00825439">
            <w:pPr>
              <w:pStyle w:val="CommentText"/>
              <w:spacing w:line="240" w:lineRule="auto"/>
              <w:jc w:val="center"/>
              <w:rPr>
                <w:rFonts w:ascii="Calibri" w:hAnsi="Calibri"/>
                <w:sz w:val="20"/>
              </w:rPr>
            </w:pPr>
            <w:r>
              <w:rPr>
                <w:rFonts w:ascii="Calibri" w:hAnsi="Calibri"/>
                <w:sz w:val="20"/>
              </w:rPr>
              <w:t>0.0</w:t>
            </w:r>
          </w:p>
        </w:tc>
        <w:tc>
          <w:tcPr>
            <w:tcW w:w="876" w:type="dxa"/>
            <w:shd w:val="clear" w:color="auto" w:fill="auto"/>
            <w:vAlign w:val="center"/>
          </w:tcPr>
          <w:p w14:paraId="4688DD28" w14:textId="409F2191" w:rsidR="00BB058B" w:rsidRPr="004E50E7" w:rsidRDefault="002A0A96" w:rsidP="00825439">
            <w:pPr>
              <w:pStyle w:val="CommentText"/>
              <w:spacing w:line="240" w:lineRule="auto"/>
              <w:jc w:val="center"/>
              <w:rPr>
                <w:rFonts w:ascii="Calibri" w:hAnsi="Calibri"/>
                <w:sz w:val="20"/>
              </w:rPr>
            </w:pPr>
            <w:r>
              <w:rPr>
                <w:rFonts w:ascii="Calibri" w:hAnsi="Calibri"/>
                <w:sz w:val="20"/>
              </w:rPr>
              <w:t>0</w:t>
            </w:r>
          </w:p>
        </w:tc>
        <w:tc>
          <w:tcPr>
            <w:tcW w:w="999" w:type="dxa"/>
            <w:shd w:val="clear" w:color="auto" w:fill="auto"/>
            <w:vAlign w:val="center"/>
          </w:tcPr>
          <w:p w14:paraId="0B9927DB" w14:textId="6F29CC10" w:rsidR="00BB058B" w:rsidRPr="004E50E7" w:rsidRDefault="002A0A96" w:rsidP="00825439">
            <w:pPr>
              <w:jc w:val="center"/>
              <w:rPr>
                <w:rFonts w:ascii="Calibri" w:hAnsi="Calibri"/>
                <w:sz w:val="20"/>
              </w:rPr>
            </w:pPr>
            <w:r>
              <w:rPr>
                <w:rFonts w:ascii="Calibri" w:hAnsi="Calibri"/>
                <w:sz w:val="20"/>
              </w:rPr>
              <w:t>0.0</w:t>
            </w:r>
          </w:p>
        </w:tc>
      </w:tr>
      <w:tr w:rsidR="00126478" w:rsidRPr="004E50E7" w14:paraId="28CDC2C6" w14:textId="77777777" w:rsidTr="006D5202">
        <w:trPr>
          <w:jc w:val="center"/>
        </w:trPr>
        <w:tc>
          <w:tcPr>
            <w:tcW w:w="2818" w:type="dxa"/>
          </w:tcPr>
          <w:p w14:paraId="025D3B13" w14:textId="77777777" w:rsidR="00126478" w:rsidRPr="004E50E7" w:rsidRDefault="00126478" w:rsidP="00825439">
            <w:pPr>
              <w:pStyle w:val="cat"/>
              <w:spacing w:before="0" w:beforeAutospacing="0" w:after="0" w:afterAutospacing="0"/>
              <w:ind w:left="240"/>
              <w:rPr>
                <w:rFonts w:ascii="Calibri" w:hAnsi="Calibri"/>
                <w:b/>
                <w:bCs/>
                <w:sz w:val="20"/>
              </w:rPr>
            </w:pPr>
            <w:r w:rsidRPr="004E50E7">
              <w:rPr>
                <w:rFonts w:ascii="Calibri" w:hAnsi="Calibri"/>
                <w:b/>
                <w:bCs/>
                <w:sz w:val="20"/>
              </w:rPr>
              <w:t>Family Households</w:t>
            </w:r>
          </w:p>
        </w:tc>
        <w:tc>
          <w:tcPr>
            <w:tcW w:w="1062" w:type="dxa"/>
            <w:vAlign w:val="center"/>
          </w:tcPr>
          <w:p w14:paraId="4DAFFF0D" w14:textId="77777777" w:rsidR="00126478" w:rsidRPr="004E50E7" w:rsidRDefault="00126478" w:rsidP="00825439">
            <w:pPr>
              <w:jc w:val="center"/>
              <w:rPr>
                <w:rFonts w:ascii="Calibri" w:hAnsi="Calibri"/>
                <w:b/>
                <w:bCs/>
                <w:sz w:val="20"/>
              </w:rPr>
            </w:pPr>
            <w:r w:rsidRPr="004E50E7">
              <w:rPr>
                <w:rFonts w:ascii="Calibri" w:hAnsi="Calibri"/>
                <w:b/>
                <w:bCs/>
                <w:sz w:val="20"/>
              </w:rPr>
              <w:t>7,800</w:t>
            </w:r>
          </w:p>
        </w:tc>
        <w:tc>
          <w:tcPr>
            <w:tcW w:w="924" w:type="dxa"/>
            <w:vAlign w:val="center"/>
          </w:tcPr>
          <w:p w14:paraId="73D86393" w14:textId="77777777" w:rsidR="00126478" w:rsidRPr="004E50E7" w:rsidRDefault="00126478" w:rsidP="00825439">
            <w:pPr>
              <w:jc w:val="center"/>
              <w:rPr>
                <w:rFonts w:ascii="Calibri" w:hAnsi="Calibri"/>
                <w:b/>
                <w:bCs/>
                <w:sz w:val="20"/>
              </w:rPr>
            </w:pPr>
            <w:r w:rsidRPr="004E50E7">
              <w:rPr>
                <w:rFonts w:ascii="Calibri" w:hAnsi="Calibri"/>
                <w:b/>
                <w:bCs/>
                <w:sz w:val="20"/>
              </w:rPr>
              <w:t>73.6</w:t>
            </w:r>
          </w:p>
        </w:tc>
        <w:tc>
          <w:tcPr>
            <w:tcW w:w="975" w:type="dxa"/>
          </w:tcPr>
          <w:p w14:paraId="4F70E4AE" w14:textId="77777777" w:rsidR="00126478" w:rsidRPr="00126478" w:rsidRDefault="00126478" w:rsidP="00825439">
            <w:pPr>
              <w:pStyle w:val="HeaderEven"/>
              <w:keepLines w:val="0"/>
              <w:pBdr>
                <w:bottom w:val="none" w:sz="0" w:space="0" w:color="auto"/>
              </w:pBdr>
              <w:tabs>
                <w:tab w:val="clear" w:pos="4320"/>
                <w:tab w:val="clear" w:pos="8640"/>
              </w:tabs>
              <w:spacing w:after="0" w:line="240" w:lineRule="auto"/>
              <w:rPr>
                <w:rFonts w:ascii="Calibri" w:hAnsi="Calibri"/>
                <w:b/>
                <w:spacing w:val="0"/>
                <w:szCs w:val="24"/>
              </w:rPr>
            </w:pPr>
            <w:r w:rsidRPr="00126478">
              <w:rPr>
                <w:rFonts w:ascii="Calibri" w:hAnsi="Calibri"/>
                <w:b/>
                <w:spacing w:val="0"/>
                <w:szCs w:val="24"/>
              </w:rPr>
              <w:t>7,706</w:t>
            </w:r>
          </w:p>
        </w:tc>
        <w:tc>
          <w:tcPr>
            <w:tcW w:w="981" w:type="dxa"/>
          </w:tcPr>
          <w:p w14:paraId="3901BECE" w14:textId="77777777" w:rsidR="00126478" w:rsidRPr="00126478" w:rsidRDefault="00126478" w:rsidP="00825439">
            <w:pPr>
              <w:jc w:val="center"/>
              <w:rPr>
                <w:rFonts w:ascii="Calibri" w:hAnsi="Calibri"/>
                <w:b/>
                <w:bCs/>
                <w:sz w:val="20"/>
              </w:rPr>
            </w:pPr>
            <w:r>
              <w:rPr>
                <w:rFonts w:ascii="Calibri" w:hAnsi="Calibri"/>
                <w:b/>
                <w:bCs/>
                <w:sz w:val="20"/>
              </w:rPr>
              <w:t>74.3</w:t>
            </w:r>
          </w:p>
        </w:tc>
        <w:tc>
          <w:tcPr>
            <w:tcW w:w="876" w:type="dxa"/>
            <w:shd w:val="clear" w:color="auto" w:fill="auto"/>
            <w:vAlign w:val="center"/>
          </w:tcPr>
          <w:p w14:paraId="1301A547" w14:textId="48844AEA" w:rsidR="00126478" w:rsidRPr="004E50E7" w:rsidRDefault="002A0A96" w:rsidP="00825439">
            <w:pPr>
              <w:jc w:val="center"/>
              <w:rPr>
                <w:rFonts w:ascii="Calibri" w:hAnsi="Calibri"/>
                <w:b/>
                <w:bCs/>
                <w:sz w:val="20"/>
              </w:rPr>
            </w:pPr>
            <w:r>
              <w:rPr>
                <w:rFonts w:ascii="Calibri" w:hAnsi="Calibri"/>
                <w:b/>
                <w:bCs/>
                <w:sz w:val="20"/>
              </w:rPr>
              <w:t>8,718</w:t>
            </w:r>
          </w:p>
        </w:tc>
        <w:tc>
          <w:tcPr>
            <w:tcW w:w="999" w:type="dxa"/>
            <w:shd w:val="clear" w:color="auto" w:fill="auto"/>
            <w:vAlign w:val="center"/>
          </w:tcPr>
          <w:p w14:paraId="412E505C" w14:textId="2DF5D931" w:rsidR="00126478" w:rsidRPr="004E50E7" w:rsidRDefault="002A0A96" w:rsidP="00825439">
            <w:pPr>
              <w:jc w:val="center"/>
              <w:rPr>
                <w:rFonts w:ascii="Calibri" w:hAnsi="Calibri"/>
                <w:b/>
                <w:bCs/>
                <w:sz w:val="20"/>
              </w:rPr>
            </w:pPr>
            <w:r>
              <w:rPr>
                <w:rFonts w:ascii="Calibri" w:hAnsi="Calibri"/>
                <w:b/>
                <w:bCs/>
                <w:sz w:val="20"/>
              </w:rPr>
              <w:t>81.0</w:t>
            </w:r>
          </w:p>
        </w:tc>
      </w:tr>
      <w:tr w:rsidR="00126478" w:rsidRPr="004E50E7" w14:paraId="4FB2B114" w14:textId="77777777" w:rsidTr="006D5202">
        <w:trPr>
          <w:jc w:val="center"/>
        </w:trPr>
        <w:tc>
          <w:tcPr>
            <w:tcW w:w="2818" w:type="dxa"/>
          </w:tcPr>
          <w:p w14:paraId="78B5E83D" w14:textId="77777777"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2-person household</w:t>
            </w:r>
          </w:p>
        </w:tc>
        <w:tc>
          <w:tcPr>
            <w:tcW w:w="1062" w:type="dxa"/>
            <w:vAlign w:val="center"/>
          </w:tcPr>
          <w:p w14:paraId="759B62D8" w14:textId="77777777" w:rsidR="00126478" w:rsidRPr="004E50E7" w:rsidRDefault="00126478" w:rsidP="00825439">
            <w:pPr>
              <w:jc w:val="center"/>
              <w:rPr>
                <w:rFonts w:ascii="Calibri" w:hAnsi="Calibri"/>
                <w:sz w:val="20"/>
              </w:rPr>
            </w:pPr>
            <w:r w:rsidRPr="004E50E7">
              <w:rPr>
                <w:rFonts w:ascii="Calibri" w:hAnsi="Calibri"/>
                <w:sz w:val="20"/>
              </w:rPr>
              <w:t>3,080</w:t>
            </w:r>
          </w:p>
        </w:tc>
        <w:tc>
          <w:tcPr>
            <w:tcW w:w="924" w:type="dxa"/>
            <w:vAlign w:val="center"/>
          </w:tcPr>
          <w:p w14:paraId="652BEDE1" w14:textId="77777777" w:rsidR="00126478" w:rsidRPr="004E50E7" w:rsidRDefault="00126478" w:rsidP="00825439">
            <w:pPr>
              <w:jc w:val="center"/>
              <w:rPr>
                <w:rFonts w:ascii="Calibri" w:hAnsi="Calibri"/>
                <w:sz w:val="20"/>
              </w:rPr>
            </w:pPr>
            <w:r w:rsidRPr="004E50E7">
              <w:rPr>
                <w:rFonts w:ascii="Calibri" w:hAnsi="Calibri"/>
                <w:sz w:val="20"/>
              </w:rPr>
              <w:t>29.1</w:t>
            </w:r>
          </w:p>
        </w:tc>
        <w:tc>
          <w:tcPr>
            <w:tcW w:w="975" w:type="dxa"/>
          </w:tcPr>
          <w:p w14:paraId="6151C2DA" w14:textId="77777777" w:rsidR="00126478" w:rsidRPr="004E50E7" w:rsidRDefault="00126478" w:rsidP="00825439">
            <w:pPr>
              <w:jc w:val="center"/>
              <w:rPr>
                <w:rFonts w:ascii="Calibri" w:hAnsi="Calibri"/>
                <w:sz w:val="20"/>
              </w:rPr>
            </w:pPr>
            <w:r>
              <w:rPr>
                <w:rFonts w:ascii="Calibri" w:hAnsi="Calibri"/>
                <w:sz w:val="20"/>
              </w:rPr>
              <w:t>2,864</w:t>
            </w:r>
          </w:p>
        </w:tc>
        <w:tc>
          <w:tcPr>
            <w:tcW w:w="981" w:type="dxa"/>
          </w:tcPr>
          <w:p w14:paraId="18AD178A" w14:textId="77777777" w:rsidR="00126478" w:rsidRPr="004E50E7" w:rsidRDefault="00126478" w:rsidP="00825439">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27.6</w:t>
            </w:r>
          </w:p>
        </w:tc>
        <w:tc>
          <w:tcPr>
            <w:tcW w:w="876" w:type="dxa"/>
            <w:shd w:val="clear" w:color="auto" w:fill="auto"/>
            <w:vAlign w:val="center"/>
          </w:tcPr>
          <w:p w14:paraId="436CC3A7" w14:textId="4FB61CEF" w:rsidR="00126478" w:rsidRPr="004E50E7" w:rsidRDefault="002A0A96" w:rsidP="00825439">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3,303</w:t>
            </w:r>
          </w:p>
        </w:tc>
        <w:tc>
          <w:tcPr>
            <w:tcW w:w="999" w:type="dxa"/>
            <w:shd w:val="clear" w:color="auto" w:fill="auto"/>
            <w:vAlign w:val="center"/>
          </w:tcPr>
          <w:p w14:paraId="3E9AB230" w14:textId="251712A6" w:rsidR="00126478" w:rsidRPr="004E50E7" w:rsidRDefault="002A0A96" w:rsidP="00825439">
            <w:pPr>
              <w:jc w:val="center"/>
              <w:rPr>
                <w:rFonts w:ascii="Calibri" w:hAnsi="Calibri"/>
                <w:sz w:val="20"/>
              </w:rPr>
            </w:pPr>
            <w:r>
              <w:rPr>
                <w:rFonts w:ascii="Calibri" w:hAnsi="Calibri"/>
                <w:sz w:val="20"/>
              </w:rPr>
              <w:t>30.7</w:t>
            </w:r>
          </w:p>
        </w:tc>
      </w:tr>
      <w:tr w:rsidR="00126478" w:rsidRPr="004E50E7" w14:paraId="20BF6967" w14:textId="77777777" w:rsidTr="006D5202">
        <w:trPr>
          <w:jc w:val="center"/>
        </w:trPr>
        <w:tc>
          <w:tcPr>
            <w:tcW w:w="2818" w:type="dxa"/>
          </w:tcPr>
          <w:p w14:paraId="15403DB6" w14:textId="77777777"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3-person household</w:t>
            </w:r>
          </w:p>
        </w:tc>
        <w:tc>
          <w:tcPr>
            <w:tcW w:w="1062" w:type="dxa"/>
            <w:vAlign w:val="center"/>
          </w:tcPr>
          <w:p w14:paraId="5C8C22BE" w14:textId="77777777" w:rsidR="00126478" w:rsidRPr="004E50E7" w:rsidRDefault="00126478" w:rsidP="00825439">
            <w:pPr>
              <w:jc w:val="center"/>
              <w:rPr>
                <w:rFonts w:ascii="Calibri" w:hAnsi="Calibri"/>
                <w:sz w:val="20"/>
              </w:rPr>
            </w:pPr>
            <w:r w:rsidRPr="004E50E7">
              <w:rPr>
                <w:rFonts w:ascii="Calibri" w:hAnsi="Calibri"/>
                <w:sz w:val="20"/>
              </w:rPr>
              <w:t>1,660</w:t>
            </w:r>
          </w:p>
        </w:tc>
        <w:tc>
          <w:tcPr>
            <w:tcW w:w="924" w:type="dxa"/>
            <w:vAlign w:val="center"/>
          </w:tcPr>
          <w:p w14:paraId="071DB2A3" w14:textId="77777777" w:rsidR="00126478" w:rsidRPr="004E50E7" w:rsidRDefault="00126478" w:rsidP="00825439">
            <w:pPr>
              <w:jc w:val="center"/>
              <w:rPr>
                <w:rFonts w:ascii="Calibri" w:hAnsi="Calibri"/>
                <w:sz w:val="20"/>
              </w:rPr>
            </w:pPr>
            <w:r w:rsidRPr="004E50E7">
              <w:rPr>
                <w:rFonts w:ascii="Calibri" w:hAnsi="Calibri"/>
                <w:sz w:val="20"/>
              </w:rPr>
              <w:t>15.7</w:t>
            </w:r>
          </w:p>
        </w:tc>
        <w:tc>
          <w:tcPr>
            <w:tcW w:w="975" w:type="dxa"/>
          </w:tcPr>
          <w:p w14:paraId="195AC200" w14:textId="77777777" w:rsidR="00126478" w:rsidRPr="004E50E7" w:rsidRDefault="00126478" w:rsidP="00825439">
            <w:pPr>
              <w:jc w:val="center"/>
              <w:rPr>
                <w:rFonts w:ascii="Calibri" w:hAnsi="Calibri"/>
                <w:sz w:val="20"/>
              </w:rPr>
            </w:pPr>
            <w:r>
              <w:rPr>
                <w:rFonts w:ascii="Calibri" w:hAnsi="Calibri"/>
                <w:sz w:val="20"/>
              </w:rPr>
              <w:t>1,525</w:t>
            </w:r>
          </w:p>
        </w:tc>
        <w:tc>
          <w:tcPr>
            <w:tcW w:w="981" w:type="dxa"/>
          </w:tcPr>
          <w:p w14:paraId="49D148F9" w14:textId="77777777" w:rsidR="00126478" w:rsidRPr="004E50E7" w:rsidRDefault="00126478" w:rsidP="00825439">
            <w:pPr>
              <w:jc w:val="center"/>
              <w:rPr>
                <w:rFonts w:ascii="Calibri" w:hAnsi="Calibri"/>
                <w:sz w:val="20"/>
              </w:rPr>
            </w:pPr>
            <w:r>
              <w:rPr>
                <w:rFonts w:ascii="Calibri" w:hAnsi="Calibri"/>
                <w:sz w:val="20"/>
              </w:rPr>
              <w:t>14.7</w:t>
            </w:r>
          </w:p>
        </w:tc>
        <w:tc>
          <w:tcPr>
            <w:tcW w:w="876" w:type="dxa"/>
            <w:shd w:val="clear" w:color="auto" w:fill="auto"/>
            <w:vAlign w:val="center"/>
          </w:tcPr>
          <w:p w14:paraId="7CE96387" w14:textId="1B439C40" w:rsidR="00126478" w:rsidRPr="004E50E7" w:rsidRDefault="002A0A96" w:rsidP="00825439">
            <w:pPr>
              <w:jc w:val="center"/>
              <w:rPr>
                <w:rFonts w:ascii="Calibri" w:hAnsi="Calibri"/>
                <w:sz w:val="20"/>
              </w:rPr>
            </w:pPr>
            <w:r>
              <w:rPr>
                <w:rFonts w:ascii="Calibri" w:hAnsi="Calibri"/>
                <w:sz w:val="20"/>
              </w:rPr>
              <w:t>1,640</w:t>
            </w:r>
          </w:p>
        </w:tc>
        <w:tc>
          <w:tcPr>
            <w:tcW w:w="999" w:type="dxa"/>
            <w:shd w:val="clear" w:color="auto" w:fill="auto"/>
            <w:vAlign w:val="center"/>
          </w:tcPr>
          <w:p w14:paraId="209C218A" w14:textId="5C058D7B" w:rsidR="00126478" w:rsidRPr="004E50E7" w:rsidRDefault="002A0A96" w:rsidP="00825439">
            <w:pPr>
              <w:jc w:val="center"/>
              <w:rPr>
                <w:rFonts w:ascii="Calibri" w:hAnsi="Calibri"/>
                <w:sz w:val="20"/>
              </w:rPr>
            </w:pPr>
            <w:r>
              <w:rPr>
                <w:rFonts w:ascii="Calibri" w:hAnsi="Calibri"/>
                <w:sz w:val="20"/>
              </w:rPr>
              <w:t>15.2</w:t>
            </w:r>
          </w:p>
        </w:tc>
      </w:tr>
      <w:tr w:rsidR="00126478" w:rsidRPr="004E50E7" w14:paraId="7AB6276B" w14:textId="77777777" w:rsidTr="006D5202">
        <w:trPr>
          <w:jc w:val="center"/>
        </w:trPr>
        <w:tc>
          <w:tcPr>
            <w:tcW w:w="2818" w:type="dxa"/>
          </w:tcPr>
          <w:p w14:paraId="6A3B45B8" w14:textId="77777777"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4-person household</w:t>
            </w:r>
          </w:p>
        </w:tc>
        <w:tc>
          <w:tcPr>
            <w:tcW w:w="1062" w:type="dxa"/>
            <w:vAlign w:val="center"/>
          </w:tcPr>
          <w:p w14:paraId="7EEE919C" w14:textId="77777777" w:rsidR="00126478" w:rsidRPr="004E50E7" w:rsidRDefault="00126478" w:rsidP="00825439">
            <w:pPr>
              <w:jc w:val="center"/>
              <w:rPr>
                <w:rFonts w:ascii="Calibri" w:hAnsi="Calibri"/>
                <w:sz w:val="20"/>
              </w:rPr>
            </w:pPr>
            <w:r w:rsidRPr="004E50E7">
              <w:rPr>
                <w:rFonts w:ascii="Calibri" w:hAnsi="Calibri"/>
                <w:sz w:val="20"/>
              </w:rPr>
              <w:t>2,043</w:t>
            </w:r>
          </w:p>
        </w:tc>
        <w:tc>
          <w:tcPr>
            <w:tcW w:w="924" w:type="dxa"/>
            <w:vAlign w:val="center"/>
          </w:tcPr>
          <w:p w14:paraId="215511D9" w14:textId="77777777" w:rsidR="00126478" w:rsidRPr="004E50E7" w:rsidRDefault="00126478" w:rsidP="00825439">
            <w:pPr>
              <w:jc w:val="center"/>
              <w:rPr>
                <w:rFonts w:ascii="Calibri" w:hAnsi="Calibri"/>
                <w:sz w:val="20"/>
              </w:rPr>
            </w:pPr>
            <w:r w:rsidRPr="004E50E7">
              <w:rPr>
                <w:rFonts w:ascii="Calibri" w:hAnsi="Calibri"/>
                <w:sz w:val="20"/>
              </w:rPr>
              <w:t>19.3</w:t>
            </w:r>
          </w:p>
        </w:tc>
        <w:tc>
          <w:tcPr>
            <w:tcW w:w="975" w:type="dxa"/>
          </w:tcPr>
          <w:p w14:paraId="579A7531" w14:textId="77777777" w:rsidR="00126478" w:rsidRPr="004E50E7" w:rsidRDefault="00126478" w:rsidP="00825439">
            <w:pPr>
              <w:jc w:val="center"/>
              <w:rPr>
                <w:rFonts w:ascii="Calibri" w:hAnsi="Calibri"/>
                <w:sz w:val="20"/>
              </w:rPr>
            </w:pPr>
            <w:r>
              <w:rPr>
                <w:rFonts w:ascii="Calibri" w:hAnsi="Calibri"/>
                <w:sz w:val="20"/>
              </w:rPr>
              <w:t>2,245</w:t>
            </w:r>
          </w:p>
        </w:tc>
        <w:tc>
          <w:tcPr>
            <w:tcW w:w="981" w:type="dxa"/>
          </w:tcPr>
          <w:p w14:paraId="5B8EBDF4" w14:textId="77777777" w:rsidR="00126478" w:rsidRPr="004E50E7" w:rsidRDefault="00126478" w:rsidP="00825439">
            <w:pPr>
              <w:jc w:val="center"/>
              <w:rPr>
                <w:rFonts w:ascii="Calibri" w:hAnsi="Calibri"/>
                <w:sz w:val="20"/>
              </w:rPr>
            </w:pPr>
            <w:r>
              <w:rPr>
                <w:rFonts w:ascii="Calibri" w:hAnsi="Calibri"/>
                <w:sz w:val="20"/>
              </w:rPr>
              <w:t>21.6</w:t>
            </w:r>
          </w:p>
        </w:tc>
        <w:tc>
          <w:tcPr>
            <w:tcW w:w="876" w:type="dxa"/>
            <w:shd w:val="clear" w:color="auto" w:fill="auto"/>
            <w:vAlign w:val="center"/>
          </w:tcPr>
          <w:p w14:paraId="0E1A1BBA" w14:textId="51A208B3" w:rsidR="00126478" w:rsidRPr="004E50E7" w:rsidRDefault="002A0A96" w:rsidP="00825439">
            <w:pPr>
              <w:jc w:val="center"/>
              <w:rPr>
                <w:rFonts w:ascii="Calibri" w:hAnsi="Calibri"/>
                <w:sz w:val="20"/>
              </w:rPr>
            </w:pPr>
            <w:r>
              <w:rPr>
                <w:rFonts w:ascii="Calibri" w:hAnsi="Calibri"/>
                <w:sz w:val="20"/>
              </w:rPr>
              <w:t>2,733</w:t>
            </w:r>
          </w:p>
        </w:tc>
        <w:tc>
          <w:tcPr>
            <w:tcW w:w="999" w:type="dxa"/>
            <w:shd w:val="clear" w:color="auto" w:fill="auto"/>
            <w:vAlign w:val="center"/>
          </w:tcPr>
          <w:p w14:paraId="1AA65922" w14:textId="680E2316" w:rsidR="00126478" w:rsidRPr="004E50E7" w:rsidRDefault="002A0A96" w:rsidP="00825439">
            <w:pPr>
              <w:jc w:val="center"/>
              <w:rPr>
                <w:rFonts w:ascii="Calibri" w:hAnsi="Calibri"/>
                <w:sz w:val="20"/>
              </w:rPr>
            </w:pPr>
            <w:r>
              <w:rPr>
                <w:rFonts w:ascii="Calibri" w:hAnsi="Calibri"/>
                <w:sz w:val="20"/>
              </w:rPr>
              <w:t>25.4</w:t>
            </w:r>
          </w:p>
        </w:tc>
      </w:tr>
      <w:tr w:rsidR="00126478" w:rsidRPr="004E50E7" w14:paraId="3214C86C" w14:textId="77777777" w:rsidTr="006D5202">
        <w:trPr>
          <w:jc w:val="center"/>
        </w:trPr>
        <w:tc>
          <w:tcPr>
            <w:tcW w:w="2818" w:type="dxa"/>
          </w:tcPr>
          <w:p w14:paraId="39132B4F" w14:textId="77777777"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5-person household</w:t>
            </w:r>
          </w:p>
        </w:tc>
        <w:tc>
          <w:tcPr>
            <w:tcW w:w="1062" w:type="dxa"/>
            <w:vAlign w:val="center"/>
          </w:tcPr>
          <w:p w14:paraId="2F713DDB" w14:textId="77777777" w:rsidR="00126478" w:rsidRPr="004E50E7" w:rsidRDefault="00126478" w:rsidP="00825439">
            <w:pPr>
              <w:jc w:val="center"/>
              <w:rPr>
                <w:rFonts w:ascii="Calibri" w:hAnsi="Calibri"/>
                <w:sz w:val="20"/>
              </w:rPr>
            </w:pPr>
            <w:r w:rsidRPr="004E50E7">
              <w:rPr>
                <w:rFonts w:ascii="Calibri" w:hAnsi="Calibri"/>
                <w:sz w:val="20"/>
              </w:rPr>
              <w:t>785</w:t>
            </w:r>
          </w:p>
        </w:tc>
        <w:tc>
          <w:tcPr>
            <w:tcW w:w="924" w:type="dxa"/>
            <w:vAlign w:val="center"/>
          </w:tcPr>
          <w:p w14:paraId="265ED154" w14:textId="77777777" w:rsidR="00126478" w:rsidRPr="004E50E7" w:rsidRDefault="00126478" w:rsidP="00825439">
            <w:pPr>
              <w:jc w:val="center"/>
              <w:rPr>
                <w:rFonts w:ascii="Calibri" w:hAnsi="Calibri"/>
                <w:sz w:val="20"/>
              </w:rPr>
            </w:pPr>
            <w:r w:rsidRPr="004E50E7">
              <w:rPr>
                <w:rFonts w:ascii="Calibri" w:hAnsi="Calibri"/>
                <w:sz w:val="20"/>
              </w:rPr>
              <w:t>7.4</w:t>
            </w:r>
          </w:p>
        </w:tc>
        <w:tc>
          <w:tcPr>
            <w:tcW w:w="975" w:type="dxa"/>
          </w:tcPr>
          <w:p w14:paraId="1E914408" w14:textId="77777777" w:rsidR="00126478" w:rsidRPr="004E50E7" w:rsidRDefault="00126478" w:rsidP="00825439">
            <w:pPr>
              <w:jc w:val="center"/>
              <w:rPr>
                <w:rFonts w:ascii="Calibri" w:hAnsi="Calibri"/>
                <w:sz w:val="20"/>
              </w:rPr>
            </w:pPr>
            <w:r>
              <w:rPr>
                <w:rFonts w:ascii="Calibri" w:hAnsi="Calibri"/>
                <w:sz w:val="20"/>
              </w:rPr>
              <w:t>933</w:t>
            </w:r>
          </w:p>
        </w:tc>
        <w:tc>
          <w:tcPr>
            <w:tcW w:w="981" w:type="dxa"/>
          </w:tcPr>
          <w:p w14:paraId="45EBA971" w14:textId="77777777" w:rsidR="00126478" w:rsidRPr="004E50E7" w:rsidRDefault="00126478" w:rsidP="00825439">
            <w:pPr>
              <w:jc w:val="center"/>
              <w:rPr>
                <w:rFonts w:ascii="Calibri" w:hAnsi="Calibri"/>
                <w:sz w:val="20"/>
              </w:rPr>
            </w:pPr>
            <w:r>
              <w:rPr>
                <w:rFonts w:ascii="Calibri" w:hAnsi="Calibri"/>
                <w:sz w:val="20"/>
              </w:rPr>
              <w:t>9.0</w:t>
            </w:r>
          </w:p>
        </w:tc>
        <w:tc>
          <w:tcPr>
            <w:tcW w:w="876" w:type="dxa"/>
            <w:shd w:val="clear" w:color="auto" w:fill="auto"/>
            <w:vAlign w:val="center"/>
          </w:tcPr>
          <w:p w14:paraId="7CD03947" w14:textId="31CF2D97" w:rsidR="00126478" w:rsidRPr="004E50E7" w:rsidRDefault="002A0A96" w:rsidP="00825439">
            <w:pPr>
              <w:jc w:val="center"/>
              <w:rPr>
                <w:rFonts w:ascii="Calibri" w:hAnsi="Calibri"/>
                <w:sz w:val="20"/>
              </w:rPr>
            </w:pPr>
            <w:r>
              <w:rPr>
                <w:rFonts w:ascii="Calibri" w:hAnsi="Calibri"/>
                <w:sz w:val="20"/>
              </w:rPr>
              <w:t>739</w:t>
            </w:r>
          </w:p>
        </w:tc>
        <w:tc>
          <w:tcPr>
            <w:tcW w:w="999" w:type="dxa"/>
            <w:shd w:val="clear" w:color="auto" w:fill="auto"/>
            <w:vAlign w:val="center"/>
          </w:tcPr>
          <w:p w14:paraId="5B3241D7" w14:textId="563268E0" w:rsidR="00126478" w:rsidRPr="004E50E7" w:rsidRDefault="002A0A96" w:rsidP="00825439">
            <w:pPr>
              <w:jc w:val="center"/>
              <w:rPr>
                <w:rFonts w:ascii="Calibri" w:hAnsi="Calibri"/>
                <w:sz w:val="20"/>
              </w:rPr>
            </w:pPr>
            <w:r>
              <w:rPr>
                <w:rFonts w:ascii="Calibri" w:hAnsi="Calibri"/>
                <w:sz w:val="20"/>
              </w:rPr>
              <w:t>6.9</w:t>
            </w:r>
          </w:p>
        </w:tc>
      </w:tr>
      <w:tr w:rsidR="00126478" w:rsidRPr="004E50E7" w14:paraId="5C2F0DC0" w14:textId="77777777" w:rsidTr="006D5202">
        <w:trPr>
          <w:jc w:val="center"/>
        </w:trPr>
        <w:tc>
          <w:tcPr>
            <w:tcW w:w="2818" w:type="dxa"/>
          </w:tcPr>
          <w:p w14:paraId="62599F9D" w14:textId="77777777"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6-person household</w:t>
            </w:r>
          </w:p>
        </w:tc>
        <w:tc>
          <w:tcPr>
            <w:tcW w:w="1062" w:type="dxa"/>
            <w:vAlign w:val="center"/>
          </w:tcPr>
          <w:p w14:paraId="234D35B6" w14:textId="77777777" w:rsidR="00126478" w:rsidRPr="004E50E7" w:rsidRDefault="00126478" w:rsidP="00825439">
            <w:pPr>
              <w:jc w:val="center"/>
              <w:rPr>
                <w:rFonts w:ascii="Calibri" w:hAnsi="Calibri"/>
                <w:sz w:val="20"/>
              </w:rPr>
            </w:pPr>
            <w:r w:rsidRPr="004E50E7">
              <w:rPr>
                <w:rFonts w:ascii="Calibri" w:hAnsi="Calibri"/>
                <w:sz w:val="20"/>
              </w:rPr>
              <w:t>203</w:t>
            </w:r>
          </w:p>
        </w:tc>
        <w:tc>
          <w:tcPr>
            <w:tcW w:w="924" w:type="dxa"/>
            <w:vAlign w:val="center"/>
          </w:tcPr>
          <w:p w14:paraId="64123B44" w14:textId="77777777" w:rsidR="00126478" w:rsidRPr="004E50E7" w:rsidRDefault="00126478" w:rsidP="00825439">
            <w:pPr>
              <w:jc w:val="center"/>
              <w:rPr>
                <w:rFonts w:ascii="Calibri" w:hAnsi="Calibri"/>
                <w:sz w:val="20"/>
              </w:rPr>
            </w:pPr>
            <w:r w:rsidRPr="004E50E7">
              <w:rPr>
                <w:rFonts w:ascii="Calibri" w:hAnsi="Calibri"/>
                <w:sz w:val="20"/>
              </w:rPr>
              <w:t>1.9</w:t>
            </w:r>
          </w:p>
        </w:tc>
        <w:tc>
          <w:tcPr>
            <w:tcW w:w="975" w:type="dxa"/>
          </w:tcPr>
          <w:p w14:paraId="2A7889BA" w14:textId="77777777" w:rsidR="00126478" w:rsidRPr="004E50E7" w:rsidRDefault="00126478" w:rsidP="00825439">
            <w:pPr>
              <w:jc w:val="center"/>
              <w:rPr>
                <w:rFonts w:ascii="Calibri" w:hAnsi="Calibri"/>
                <w:sz w:val="20"/>
              </w:rPr>
            </w:pPr>
            <w:r>
              <w:rPr>
                <w:rFonts w:ascii="Calibri" w:hAnsi="Calibri"/>
                <w:sz w:val="20"/>
              </w:rPr>
              <w:t>139</w:t>
            </w:r>
          </w:p>
        </w:tc>
        <w:tc>
          <w:tcPr>
            <w:tcW w:w="981" w:type="dxa"/>
          </w:tcPr>
          <w:p w14:paraId="6D487F3B" w14:textId="77777777" w:rsidR="00126478" w:rsidRPr="004E50E7" w:rsidRDefault="00126478" w:rsidP="00825439">
            <w:pPr>
              <w:jc w:val="center"/>
              <w:rPr>
                <w:rFonts w:ascii="Calibri" w:hAnsi="Calibri"/>
                <w:sz w:val="20"/>
              </w:rPr>
            </w:pPr>
            <w:r>
              <w:rPr>
                <w:rFonts w:ascii="Calibri" w:hAnsi="Calibri"/>
                <w:sz w:val="20"/>
              </w:rPr>
              <w:t>1.3</w:t>
            </w:r>
          </w:p>
        </w:tc>
        <w:tc>
          <w:tcPr>
            <w:tcW w:w="876" w:type="dxa"/>
            <w:shd w:val="clear" w:color="auto" w:fill="auto"/>
            <w:vAlign w:val="center"/>
          </w:tcPr>
          <w:p w14:paraId="1145F266" w14:textId="429882B0" w:rsidR="00126478" w:rsidRPr="004E50E7" w:rsidRDefault="002A0A96" w:rsidP="00825439">
            <w:pPr>
              <w:jc w:val="center"/>
              <w:rPr>
                <w:rFonts w:ascii="Calibri" w:hAnsi="Calibri"/>
                <w:sz w:val="20"/>
              </w:rPr>
            </w:pPr>
            <w:r>
              <w:rPr>
                <w:rFonts w:ascii="Calibri" w:hAnsi="Calibri"/>
                <w:sz w:val="20"/>
              </w:rPr>
              <w:t>193</w:t>
            </w:r>
          </w:p>
        </w:tc>
        <w:tc>
          <w:tcPr>
            <w:tcW w:w="999" w:type="dxa"/>
            <w:shd w:val="clear" w:color="auto" w:fill="auto"/>
            <w:vAlign w:val="center"/>
          </w:tcPr>
          <w:p w14:paraId="4370DF30" w14:textId="19E60E0D" w:rsidR="00126478" w:rsidRPr="004E50E7" w:rsidRDefault="002A0A96" w:rsidP="00825439">
            <w:pPr>
              <w:jc w:val="center"/>
              <w:rPr>
                <w:rFonts w:ascii="Calibri" w:hAnsi="Calibri"/>
                <w:sz w:val="20"/>
              </w:rPr>
            </w:pPr>
            <w:r>
              <w:rPr>
                <w:rFonts w:ascii="Calibri" w:hAnsi="Calibri"/>
                <w:sz w:val="20"/>
              </w:rPr>
              <w:t>1.8</w:t>
            </w:r>
          </w:p>
        </w:tc>
      </w:tr>
      <w:tr w:rsidR="00126478" w:rsidRPr="004E50E7" w14:paraId="07743604" w14:textId="77777777" w:rsidTr="006D5202">
        <w:trPr>
          <w:jc w:val="center"/>
        </w:trPr>
        <w:tc>
          <w:tcPr>
            <w:tcW w:w="2818" w:type="dxa"/>
          </w:tcPr>
          <w:p w14:paraId="142F6C60" w14:textId="6F6FCD0E" w:rsidR="00126478" w:rsidRPr="004E50E7" w:rsidRDefault="00126478" w:rsidP="00825439">
            <w:pPr>
              <w:pStyle w:val="cat"/>
              <w:spacing w:before="0" w:beforeAutospacing="0" w:after="0" w:afterAutospacing="0"/>
              <w:ind w:left="240"/>
              <w:rPr>
                <w:rFonts w:ascii="Calibri" w:hAnsi="Calibri"/>
                <w:sz w:val="20"/>
              </w:rPr>
            </w:pPr>
            <w:r w:rsidRPr="004E50E7">
              <w:rPr>
                <w:rFonts w:ascii="Calibri" w:hAnsi="Calibri"/>
                <w:sz w:val="20"/>
              </w:rPr>
              <w:t>7</w:t>
            </w:r>
            <w:r w:rsidR="00695C58">
              <w:rPr>
                <w:rFonts w:ascii="Calibri" w:hAnsi="Calibri"/>
                <w:sz w:val="20"/>
              </w:rPr>
              <w:t>+</w:t>
            </w:r>
            <w:r w:rsidRPr="004E50E7">
              <w:rPr>
                <w:rFonts w:ascii="Calibri" w:hAnsi="Calibri"/>
                <w:sz w:val="20"/>
              </w:rPr>
              <w:t xml:space="preserve"> person household</w:t>
            </w:r>
          </w:p>
        </w:tc>
        <w:tc>
          <w:tcPr>
            <w:tcW w:w="1062" w:type="dxa"/>
            <w:vAlign w:val="center"/>
          </w:tcPr>
          <w:p w14:paraId="7A5D4862" w14:textId="77777777" w:rsidR="00126478" w:rsidRPr="004E50E7" w:rsidRDefault="00126478" w:rsidP="00825439">
            <w:pPr>
              <w:jc w:val="center"/>
              <w:rPr>
                <w:rFonts w:ascii="Calibri" w:hAnsi="Calibri"/>
                <w:sz w:val="20"/>
              </w:rPr>
            </w:pPr>
            <w:r w:rsidRPr="004E50E7">
              <w:rPr>
                <w:rFonts w:ascii="Calibri" w:hAnsi="Calibri"/>
                <w:sz w:val="20"/>
              </w:rPr>
              <w:t>29</w:t>
            </w:r>
          </w:p>
        </w:tc>
        <w:tc>
          <w:tcPr>
            <w:tcW w:w="924" w:type="dxa"/>
            <w:vAlign w:val="center"/>
          </w:tcPr>
          <w:p w14:paraId="67AEC991" w14:textId="77777777" w:rsidR="00126478" w:rsidRPr="004E50E7" w:rsidRDefault="00126478" w:rsidP="00825439">
            <w:pPr>
              <w:jc w:val="center"/>
              <w:rPr>
                <w:rFonts w:ascii="Calibri" w:hAnsi="Calibri"/>
                <w:sz w:val="20"/>
              </w:rPr>
            </w:pPr>
            <w:r w:rsidRPr="004E50E7">
              <w:rPr>
                <w:rFonts w:ascii="Calibri" w:hAnsi="Calibri"/>
                <w:sz w:val="20"/>
              </w:rPr>
              <w:t>0.3</w:t>
            </w:r>
          </w:p>
        </w:tc>
        <w:tc>
          <w:tcPr>
            <w:tcW w:w="975" w:type="dxa"/>
          </w:tcPr>
          <w:p w14:paraId="3777A428" w14:textId="77777777" w:rsidR="00126478" w:rsidRPr="004E50E7" w:rsidRDefault="00126478" w:rsidP="00825439">
            <w:pPr>
              <w:jc w:val="center"/>
              <w:rPr>
                <w:rFonts w:ascii="Calibri" w:hAnsi="Calibri"/>
                <w:b/>
                <w:bCs/>
                <w:sz w:val="20"/>
              </w:rPr>
            </w:pPr>
            <w:r>
              <w:rPr>
                <w:rFonts w:ascii="Calibri" w:hAnsi="Calibri"/>
                <w:b/>
                <w:bCs/>
                <w:sz w:val="20"/>
              </w:rPr>
              <w:t>0</w:t>
            </w:r>
          </w:p>
        </w:tc>
        <w:tc>
          <w:tcPr>
            <w:tcW w:w="981" w:type="dxa"/>
          </w:tcPr>
          <w:p w14:paraId="03E15C44" w14:textId="77777777" w:rsidR="00126478" w:rsidRPr="004E50E7" w:rsidRDefault="00126478" w:rsidP="00825439">
            <w:pPr>
              <w:jc w:val="center"/>
              <w:rPr>
                <w:rFonts w:ascii="Calibri" w:hAnsi="Calibri"/>
                <w:sz w:val="20"/>
              </w:rPr>
            </w:pPr>
            <w:r>
              <w:rPr>
                <w:rFonts w:ascii="Calibri" w:hAnsi="Calibri"/>
                <w:sz w:val="20"/>
              </w:rPr>
              <w:t>0.0</w:t>
            </w:r>
          </w:p>
        </w:tc>
        <w:tc>
          <w:tcPr>
            <w:tcW w:w="876" w:type="dxa"/>
            <w:shd w:val="clear" w:color="auto" w:fill="auto"/>
            <w:vAlign w:val="center"/>
          </w:tcPr>
          <w:p w14:paraId="779D45FC" w14:textId="79A92AE3" w:rsidR="00126478" w:rsidRPr="004E50E7" w:rsidRDefault="002A0A96" w:rsidP="00825439">
            <w:pPr>
              <w:jc w:val="center"/>
              <w:rPr>
                <w:rFonts w:ascii="Calibri" w:hAnsi="Calibri"/>
                <w:sz w:val="20"/>
              </w:rPr>
            </w:pPr>
            <w:r>
              <w:rPr>
                <w:rFonts w:ascii="Calibri" w:hAnsi="Calibri"/>
                <w:sz w:val="20"/>
              </w:rPr>
              <w:t>110</w:t>
            </w:r>
          </w:p>
        </w:tc>
        <w:tc>
          <w:tcPr>
            <w:tcW w:w="999" w:type="dxa"/>
            <w:shd w:val="clear" w:color="auto" w:fill="auto"/>
            <w:vAlign w:val="center"/>
          </w:tcPr>
          <w:p w14:paraId="6792D7F8" w14:textId="6565666F" w:rsidR="00126478" w:rsidRPr="004E50E7" w:rsidRDefault="002A0A96" w:rsidP="00825439">
            <w:pPr>
              <w:jc w:val="center"/>
              <w:rPr>
                <w:rFonts w:ascii="Calibri" w:hAnsi="Calibri"/>
                <w:sz w:val="20"/>
              </w:rPr>
            </w:pPr>
            <w:r>
              <w:rPr>
                <w:rFonts w:ascii="Calibri" w:hAnsi="Calibri"/>
                <w:sz w:val="20"/>
              </w:rPr>
              <w:t>1.0</w:t>
            </w:r>
          </w:p>
        </w:tc>
      </w:tr>
      <w:tr w:rsidR="00126478" w:rsidRPr="004E50E7" w14:paraId="1A075A77" w14:textId="77777777" w:rsidTr="006D5202">
        <w:trPr>
          <w:jc w:val="center"/>
        </w:trPr>
        <w:tc>
          <w:tcPr>
            <w:tcW w:w="2818" w:type="dxa"/>
          </w:tcPr>
          <w:p w14:paraId="1048E0AB" w14:textId="77777777" w:rsidR="00126478" w:rsidRPr="004E50E7" w:rsidRDefault="00126478" w:rsidP="00825439">
            <w:pPr>
              <w:pStyle w:val="cat"/>
              <w:spacing w:before="0" w:beforeAutospacing="0" w:after="0" w:afterAutospacing="0"/>
              <w:ind w:left="240"/>
              <w:rPr>
                <w:rFonts w:ascii="Calibri" w:hAnsi="Calibri"/>
                <w:b/>
                <w:bCs/>
                <w:sz w:val="20"/>
              </w:rPr>
            </w:pPr>
            <w:r w:rsidRPr="004E50E7">
              <w:rPr>
                <w:rFonts w:ascii="Calibri" w:hAnsi="Calibri"/>
                <w:b/>
                <w:bCs/>
                <w:sz w:val="20"/>
              </w:rPr>
              <w:t>Total</w:t>
            </w:r>
          </w:p>
        </w:tc>
        <w:tc>
          <w:tcPr>
            <w:tcW w:w="1062" w:type="dxa"/>
            <w:vAlign w:val="center"/>
          </w:tcPr>
          <w:p w14:paraId="56DFAFD9" w14:textId="77777777" w:rsidR="00126478" w:rsidRPr="004E50E7" w:rsidRDefault="00126478" w:rsidP="00825439">
            <w:pPr>
              <w:jc w:val="center"/>
              <w:rPr>
                <w:rFonts w:ascii="Calibri" w:hAnsi="Calibri"/>
                <w:b/>
                <w:bCs/>
                <w:sz w:val="20"/>
              </w:rPr>
            </w:pPr>
            <w:r w:rsidRPr="004E50E7">
              <w:rPr>
                <w:rFonts w:ascii="Calibri" w:hAnsi="Calibri"/>
                <w:b/>
                <w:bCs/>
                <w:sz w:val="20"/>
              </w:rPr>
              <w:t>10,595</w:t>
            </w:r>
          </w:p>
        </w:tc>
        <w:tc>
          <w:tcPr>
            <w:tcW w:w="924" w:type="dxa"/>
            <w:vAlign w:val="center"/>
          </w:tcPr>
          <w:p w14:paraId="5E6A0CB8" w14:textId="77777777" w:rsidR="00126478" w:rsidRPr="004E50E7" w:rsidRDefault="00126478" w:rsidP="00825439">
            <w:pPr>
              <w:jc w:val="center"/>
              <w:rPr>
                <w:rFonts w:ascii="Calibri" w:hAnsi="Calibri"/>
                <w:b/>
                <w:bCs/>
                <w:sz w:val="20"/>
              </w:rPr>
            </w:pPr>
            <w:r w:rsidRPr="004E50E7">
              <w:rPr>
                <w:rFonts w:ascii="Calibri" w:hAnsi="Calibri"/>
                <w:b/>
                <w:bCs/>
                <w:sz w:val="20"/>
              </w:rPr>
              <w:t>100.0</w:t>
            </w:r>
          </w:p>
        </w:tc>
        <w:tc>
          <w:tcPr>
            <w:tcW w:w="975" w:type="dxa"/>
          </w:tcPr>
          <w:p w14:paraId="2576D679" w14:textId="77777777" w:rsidR="00126478" w:rsidRPr="004E50E7" w:rsidRDefault="00126478" w:rsidP="00825439">
            <w:pPr>
              <w:jc w:val="center"/>
              <w:rPr>
                <w:rFonts w:ascii="Calibri" w:hAnsi="Calibri"/>
                <w:b/>
                <w:bCs/>
                <w:sz w:val="20"/>
              </w:rPr>
            </w:pPr>
            <w:r>
              <w:rPr>
                <w:rFonts w:ascii="Calibri" w:hAnsi="Calibri"/>
                <w:b/>
                <w:bCs/>
                <w:sz w:val="20"/>
              </w:rPr>
              <w:t>10,373</w:t>
            </w:r>
          </w:p>
        </w:tc>
        <w:tc>
          <w:tcPr>
            <w:tcW w:w="981" w:type="dxa"/>
          </w:tcPr>
          <w:p w14:paraId="5B0E9B73" w14:textId="77777777" w:rsidR="00126478" w:rsidRPr="004E50E7" w:rsidRDefault="00126478" w:rsidP="00825439">
            <w:pPr>
              <w:jc w:val="center"/>
              <w:rPr>
                <w:rFonts w:ascii="Calibri" w:hAnsi="Calibri"/>
                <w:b/>
                <w:bCs/>
                <w:sz w:val="20"/>
              </w:rPr>
            </w:pPr>
            <w:r>
              <w:rPr>
                <w:rFonts w:ascii="Calibri" w:hAnsi="Calibri"/>
                <w:b/>
                <w:bCs/>
                <w:sz w:val="20"/>
              </w:rPr>
              <w:t>100.0</w:t>
            </w:r>
          </w:p>
        </w:tc>
        <w:tc>
          <w:tcPr>
            <w:tcW w:w="876" w:type="dxa"/>
            <w:shd w:val="clear" w:color="auto" w:fill="auto"/>
            <w:vAlign w:val="center"/>
          </w:tcPr>
          <w:p w14:paraId="5A6E6D28" w14:textId="1C5BF8FB" w:rsidR="00126478" w:rsidRPr="004E50E7" w:rsidRDefault="002A0A96" w:rsidP="00825439">
            <w:pPr>
              <w:jc w:val="center"/>
              <w:rPr>
                <w:rFonts w:ascii="Calibri" w:hAnsi="Calibri"/>
                <w:b/>
                <w:bCs/>
                <w:sz w:val="20"/>
              </w:rPr>
            </w:pPr>
            <w:r>
              <w:rPr>
                <w:rFonts w:ascii="Calibri" w:hAnsi="Calibri"/>
                <w:b/>
                <w:bCs/>
                <w:sz w:val="20"/>
              </w:rPr>
              <w:t>10,765</w:t>
            </w:r>
          </w:p>
        </w:tc>
        <w:tc>
          <w:tcPr>
            <w:tcW w:w="999" w:type="dxa"/>
            <w:shd w:val="clear" w:color="auto" w:fill="auto"/>
            <w:vAlign w:val="center"/>
          </w:tcPr>
          <w:p w14:paraId="595E8453" w14:textId="15D222B2" w:rsidR="00126478" w:rsidRPr="004E50E7" w:rsidRDefault="002A0A96" w:rsidP="00825439">
            <w:pPr>
              <w:jc w:val="center"/>
              <w:rPr>
                <w:rFonts w:ascii="Calibri" w:hAnsi="Calibri"/>
                <w:b/>
                <w:bCs/>
                <w:sz w:val="20"/>
              </w:rPr>
            </w:pPr>
            <w:r>
              <w:rPr>
                <w:rFonts w:ascii="Calibri" w:hAnsi="Calibri"/>
                <w:b/>
                <w:bCs/>
                <w:sz w:val="20"/>
              </w:rPr>
              <w:t>100.0</w:t>
            </w:r>
          </w:p>
        </w:tc>
      </w:tr>
    </w:tbl>
    <w:p w14:paraId="60334C50" w14:textId="77777777" w:rsidR="00D50E6E" w:rsidRDefault="008772FC" w:rsidP="00326A00">
      <w:pPr>
        <w:ind w:right="-720"/>
        <w:rPr>
          <w:rFonts w:ascii="Calibri" w:hAnsi="Calibri"/>
          <w:bCs/>
          <w:sz w:val="20"/>
        </w:rPr>
      </w:pPr>
      <w:r w:rsidRPr="004E50E7">
        <w:rPr>
          <w:rFonts w:ascii="Calibri" w:hAnsi="Calibri"/>
          <w:bCs/>
          <w:sz w:val="20"/>
        </w:rPr>
        <w:t>Source:  U.S. Census Bureau, 2000 Census, Summary File 3, and 20</w:t>
      </w:r>
      <w:r>
        <w:rPr>
          <w:rFonts w:ascii="Calibri" w:hAnsi="Calibri"/>
          <w:bCs/>
          <w:sz w:val="20"/>
        </w:rPr>
        <w:t>1</w:t>
      </w:r>
      <w:r w:rsidR="008337DF">
        <w:rPr>
          <w:rFonts w:ascii="Calibri" w:hAnsi="Calibri"/>
          <w:bCs/>
          <w:sz w:val="20"/>
        </w:rPr>
        <w:t>6</w:t>
      </w:r>
      <w:r w:rsidRPr="004E50E7">
        <w:rPr>
          <w:rFonts w:ascii="Calibri" w:hAnsi="Calibri"/>
          <w:bCs/>
          <w:sz w:val="20"/>
        </w:rPr>
        <w:t>-20</w:t>
      </w:r>
      <w:r w:rsidR="008337DF">
        <w:rPr>
          <w:rFonts w:ascii="Calibri" w:hAnsi="Calibri"/>
          <w:bCs/>
          <w:sz w:val="20"/>
        </w:rPr>
        <w:t>20</w:t>
      </w:r>
      <w:r w:rsidRPr="004E50E7">
        <w:rPr>
          <w:rFonts w:ascii="Calibri" w:hAnsi="Calibri"/>
          <w:bCs/>
          <w:sz w:val="20"/>
        </w:rPr>
        <w:t xml:space="preserve"> American Community Survey</w:t>
      </w:r>
      <w:r w:rsidR="00E856AA">
        <w:rPr>
          <w:rFonts w:ascii="Calibri" w:hAnsi="Calibri"/>
          <w:bCs/>
          <w:sz w:val="20"/>
        </w:rPr>
        <w:t xml:space="preserve"> 5-Y</w:t>
      </w:r>
      <w:r w:rsidR="0044066F">
        <w:rPr>
          <w:rFonts w:ascii="Calibri" w:hAnsi="Calibri"/>
          <w:bCs/>
          <w:sz w:val="20"/>
        </w:rPr>
        <w:t xml:space="preserve">ear </w:t>
      </w:r>
    </w:p>
    <w:p w14:paraId="054FEDC2" w14:textId="6993A524" w:rsidR="008772FC" w:rsidRPr="004E50E7" w:rsidRDefault="0044066F" w:rsidP="00326A00">
      <w:pPr>
        <w:ind w:right="-720"/>
        <w:rPr>
          <w:rFonts w:ascii="Calibri" w:hAnsi="Calibri"/>
          <w:bCs/>
          <w:sz w:val="20"/>
        </w:rPr>
      </w:pPr>
      <w:r>
        <w:rPr>
          <w:rFonts w:ascii="Calibri" w:hAnsi="Calibri"/>
          <w:bCs/>
          <w:sz w:val="20"/>
        </w:rPr>
        <w:t>Estimates</w:t>
      </w:r>
      <w:r w:rsidR="008772FC" w:rsidRPr="004E50E7">
        <w:rPr>
          <w:rFonts w:ascii="Calibri" w:hAnsi="Calibri"/>
          <w:bCs/>
          <w:sz w:val="20"/>
        </w:rPr>
        <w:t xml:space="preserve">.  </w:t>
      </w:r>
    </w:p>
    <w:p w14:paraId="6660EE9C" w14:textId="77777777" w:rsidR="008772FC" w:rsidRPr="004E50E7" w:rsidRDefault="008772FC" w:rsidP="008772FC">
      <w:pPr>
        <w:ind w:left="720" w:right="-720"/>
        <w:rPr>
          <w:rFonts w:ascii="Calibri" w:hAnsi="Calibri"/>
          <w:bCs/>
          <w:sz w:val="20"/>
        </w:rPr>
      </w:pPr>
    </w:p>
    <w:p w14:paraId="2FAECD49" w14:textId="79DB69F7" w:rsidR="00E856AA" w:rsidRPr="00445E74" w:rsidRDefault="00E856AA" w:rsidP="00E856AA">
      <w:pPr>
        <w:pStyle w:val="BodyText"/>
        <w:spacing w:after="0"/>
        <w:jc w:val="both"/>
        <w:rPr>
          <w:rFonts w:ascii="Calibri" w:hAnsi="Calibri"/>
          <w:sz w:val="22"/>
          <w:szCs w:val="22"/>
        </w:rPr>
      </w:pPr>
      <w:r>
        <w:rPr>
          <w:rFonts w:ascii="Calibri" w:hAnsi="Calibri"/>
          <w:sz w:val="22"/>
          <w:szCs w:val="22"/>
        </w:rPr>
        <w:lastRenderedPageBreak/>
        <w:t>S</w:t>
      </w:r>
      <w:r w:rsidRPr="00445E74">
        <w:rPr>
          <w:rFonts w:ascii="Calibri" w:hAnsi="Calibri"/>
          <w:sz w:val="22"/>
          <w:szCs w:val="22"/>
        </w:rPr>
        <w:t xml:space="preserve">mall families with three </w:t>
      </w:r>
      <w:r>
        <w:rPr>
          <w:rFonts w:ascii="Calibri" w:hAnsi="Calibri"/>
          <w:sz w:val="22"/>
          <w:szCs w:val="22"/>
        </w:rPr>
        <w:t>or</w:t>
      </w:r>
      <w:r w:rsidRPr="00445E74">
        <w:rPr>
          <w:rFonts w:ascii="Calibri" w:hAnsi="Calibri"/>
          <w:sz w:val="22"/>
          <w:szCs w:val="22"/>
        </w:rPr>
        <w:t xml:space="preserve"> </w:t>
      </w:r>
      <w:r>
        <w:rPr>
          <w:rFonts w:ascii="Calibri" w:hAnsi="Calibri"/>
          <w:sz w:val="22"/>
          <w:szCs w:val="22"/>
        </w:rPr>
        <w:t>four</w:t>
      </w:r>
      <w:r w:rsidRPr="00445E74">
        <w:rPr>
          <w:rFonts w:ascii="Calibri" w:hAnsi="Calibri"/>
          <w:sz w:val="22"/>
          <w:szCs w:val="22"/>
        </w:rPr>
        <w:t xml:space="preserve"> household members</w:t>
      </w:r>
      <w:r>
        <w:rPr>
          <w:rFonts w:ascii="Calibri" w:hAnsi="Calibri"/>
          <w:sz w:val="22"/>
          <w:szCs w:val="22"/>
        </w:rPr>
        <w:t xml:space="preserve"> comprised </w:t>
      </w:r>
      <w:r w:rsidR="001076F4">
        <w:rPr>
          <w:rFonts w:ascii="Calibri" w:hAnsi="Calibri"/>
          <w:sz w:val="22"/>
          <w:szCs w:val="22"/>
        </w:rPr>
        <w:t>40.6</w:t>
      </w:r>
      <w:r>
        <w:rPr>
          <w:rFonts w:ascii="Calibri" w:hAnsi="Calibri"/>
          <w:sz w:val="22"/>
          <w:szCs w:val="22"/>
        </w:rPr>
        <w:t>%</w:t>
      </w:r>
      <w:r w:rsidRPr="00445E74">
        <w:rPr>
          <w:rFonts w:ascii="Calibri" w:hAnsi="Calibri"/>
          <w:sz w:val="22"/>
          <w:szCs w:val="22"/>
        </w:rPr>
        <w:t xml:space="preserve"> of all households</w:t>
      </w:r>
      <w:r w:rsidR="00F41F40">
        <w:rPr>
          <w:rFonts w:ascii="Calibri" w:hAnsi="Calibri"/>
          <w:sz w:val="22"/>
          <w:szCs w:val="22"/>
        </w:rPr>
        <w:t xml:space="preserve"> in 2020</w:t>
      </w:r>
      <w:r w:rsidRPr="00445E74">
        <w:rPr>
          <w:rFonts w:ascii="Calibri" w:hAnsi="Calibri"/>
          <w:sz w:val="22"/>
          <w:szCs w:val="22"/>
        </w:rPr>
        <w:t>, increasing</w:t>
      </w:r>
      <w:r>
        <w:rPr>
          <w:rFonts w:ascii="Calibri" w:hAnsi="Calibri"/>
          <w:sz w:val="22"/>
          <w:szCs w:val="22"/>
        </w:rPr>
        <w:t xml:space="preserve"> </w:t>
      </w:r>
      <w:r w:rsidRPr="00445E74">
        <w:rPr>
          <w:rFonts w:ascii="Calibri" w:hAnsi="Calibri"/>
          <w:sz w:val="22"/>
          <w:szCs w:val="22"/>
        </w:rPr>
        <w:t xml:space="preserve">from </w:t>
      </w:r>
      <w:r>
        <w:rPr>
          <w:rFonts w:ascii="Calibri" w:hAnsi="Calibri"/>
          <w:sz w:val="22"/>
          <w:szCs w:val="22"/>
        </w:rPr>
        <w:t>35</w:t>
      </w:r>
      <w:r w:rsidRPr="00445E74">
        <w:rPr>
          <w:rFonts w:ascii="Calibri" w:hAnsi="Calibri"/>
          <w:sz w:val="22"/>
          <w:szCs w:val="22"/>
        </w:rPr>
        <w:t xml:space="preserve">% in 2000.  Large families of five or more persons represented </w:t>
      </w:r>
      <w:r w:rsidR="001076F4">
        <w:rPr>
          <w:rFonts w:ascii="Calibri" w:hAnsi="Calibri"/>
          <w:sz w:val="22"/>
          <w:szCs w:val="22"/>
        </w:rPr>
        <w:t>9.7</w:t>
      </w:r>
      <w:r w:rsidRPr="00445E74">
        <w:rPr>
          <w:rFonts w:ascii="Calibri" w:hAnsi="Calibri"/>
          <w:sz w:val="22"/>
          <w:szCs w:val="22"/>
        </w:rPr>
        <w:t>% of all households</w:t>
      </w:r>
      <w:r w:rsidR="00F41F40">
        <w:rPr>
          <w:rFonts w:ascii="Calibri" w:hAnsi="Calibri"/>
          <w:sz w:val="22"/>
          <w:szCs w:val="22"/>
        </w:rPr>
        <w:t xml:space="preserve"> in 2020</w:t>
      </w:r>
      <w:r w:rsidRPr="00445E74">
        <w:rPr>
          <w:rFonts w:ascii="Calibri" w:hAnsi="Calibri"/>
          <w:sz w:val="22"/>
          <w:szCs w:val="22"/>
        </w:rPr>
        <w:t xml:space="preserve">, </w:t>
      </w:r>
      <w:r w:rsidR="001076F4">
        <w:rPr>
          <w:rFonts w:ascii="Calibri" w:hAnsi="Calibri"/>
          <w:sz w:val="22"/>
          <w:szCs w:val="22"/>
        </w:rPr>
        <w:t xml:space="preserve">relatively comparable to </w:t>
      </w:r>
      <w:r w:rsidRPr="00445E74">
        <w:rPr>
          <w:rFonts w:ascii="Calibri" w:hAnsi="Calibri"/>
          <w:sz w:val="22"/>
          <w:szCs w:val="22"/>
        </w:rPr>
        <w:t>9.6% in 2000</w:t>
      </w:r>
      <w:r>
        <w:rPr>
          <w:rFonts w:ascii="Calibri" w:hAnsi="Calibri"/>
          <w:sz w:val="22"/>
          <w:szCs w:val="22"/>
        </w:rPr>
        <w:t xml:space="preserve"> and</w:t>
      </w:r>
      <w:r w:rsidRPr="00445E74">
        <w:rPr>
          <w:rFonts w:ascii="Calibri" w:hAnsi="Calibri"/>
          <w:sz w:val="22"/>
          <w:szCs w:val="22"/>
        </w:rPr>
        <w:t xml:space="preserve"> </w:t>
      </w:r>
      <w:r>
        <w:rPr>
          <w:rFonts w:ascii="Calibri" w:hAnsi="Calibri"/>
          <w:sz w:val="22"/>
          <w:szCs w:val="22"/>
        </w:rPr>
        <w:t xml:space="preserve">somewhat </w:t>
      </w:r>
      <w:r w:rsidRPr="00445E74">
        <w:rPr>
          <w:rFonts w:ascii="Calibri" w:hAnsi="Calibri"/>
          <w:sz w:val="22"/>
          <w:szCs w:val="22"/>
        </w:rPr>
        <w:t xml:space="preserve">higher than Norfolk County at </w:t>
      </w:r>
      <w:r>
        <w:rPr>
          <w:rFonts w:ascii="Calibri" w:hAnsi="Calibri"/>
          <w:sz w:val="22"/>
          <w:szCs w:val="22"/>
        </w:rPr>
        <w:t>9</w:t>
      </w:r>
      <w:r w:rsidR="004E33E2">
        <w:rPr>
          <w:rFonts w:ascii="Calibri" w:hAnsi="Calibri"/>
          <w:sz w:val="22"/>
          <w:szCs w:val="22"/>
        </w:rPr>
        <w:t>.1</w:t>
      </w:r>
      <w:r w:rsidRPr="00445E74">
        <w:rPr>
          <w:rFonts w:ascii="Calibri" w:hAnsi="Calibri"/>
          <w:sz w:val="22"/>
          <w:szCs w:val="22"/>
        </w:rPr>
        <w:t xml:space="preserve">%.  </w:t>
      </w:r>
    </w:p>
    <w:p w14:paraId="60063199" w14:textId="77777777" w:rsidR="00E856AA" w:rsidRPr="00445E74" w:rsidRDefault="00E856AA" w:rsidP="00E856AA">
      <w:pPr>
        <w:pStyle w:val="BodyText"/>
        <w:tabs>
          <w:tab w:val="left" w:pos="3179"/>
        </w:tabs>
        <w:spacing w:after="0"/>
        <w:rPr>
          <w:rFonts w:ascii="Calibri" w:hAnsi="Calibri"/>
          <w:sz w:val="22"/>
          <w:szCs w:val="22"/>
        </w:rPr>
      </w:pPr>
      <w:r>
        <w:rPr>
          <w:rFonts w:ascii="Calibri" w:hAnsi="Calibri"/>
          <w:sz w:val="22"/>
          <w:szCs w:val="22"/>
        </w:rPr>
        <w:tab/>
      </w:r>
    </w:p>
    <w:p w14:paraId="46F5CD45" w14:textId="23D84923" w:rsidR="00D17BB6" w:rsidRDefault="00DC115C" w:rsidP="00E856AA">
      <w:pPr>
        <w:jc w:val="both"/>
        <w:rPr>
          <w:rFonts w:ascii="Calibri" w:hAnsi="Calibri"/>
          <w:bCs/>
          <w:sz w:val="22"/>
        </w:rPr>
      </w:pPr>
      <w:r>
        <w:rPr>
          <w:rFonts w:ascii="Calibri" w:hAnsi="Calibri"/>
          <w:bCs/>
          <w:sz w:val="22"/>
        </w:rPr>
        <w:t xml:space="preserve">Table </w:t>
      </w:r>
      <w:r w:rsidR="00095D97">
        <w:rPr>
          <w:rFonts w:ascii="Calibri" w:hAnsi="Calibri"/>
          <w:bCs/>
          <w:sz w:val="22"/>
        </w:rPr>
        <w:t>III-11</w:t>
      </w:r>
      <w:r>
        <w:rPr>
          <w:rFonts w:ascii="Calibri" w:hAnsi="Calibri"/>
          <w:bCs/>
          <w:sz w:val="22"/>
        </w:rPr>
        <w:t xml:space="preserve"> provides the distribution of household size as to whether the household was a renter or homeowner.  </w:t>
      </w:r>
      <w:r w:rsidR="00525C9E">
        <w:rPr>
          <w:rFonts w:ascii="Calibri" w:hAnsi="Calibri"/>
          <w:bCs/>
          <w:sz w:val="22"/>
        </w:rPr>
        <w:t xml:space="preserve">While </w:t>
      </w:r>
      <w:r w:rsidR="00037888">
        <w:rPr>
          <w:rFonts w:ascii="Calibri" w:hAnsi="Calibri"/>
          <w:bCs/>
          <w:sz w:val="22"/>
        </w:rPr>
        <w:t>8</w:t>
      </w:r>
      <w:r w:rsidR="00847B73">
        <w:rPr>
          <w:rFonts w:ascii="Calibri" w:hAnsi="Calibri"/>
          <w:bCs/>
          <w:sz w:val="22"/>
        </w:rPr>
        <w:t>6</w:t>
      </w:r>
      <w:r w:rsidR="00037888">
        <w:rPr>
          <w:rFonts w:ascii="Calibri" w:hAnsi="Calibri"/>
          <w:bCs/>
          <w:sz w:val="22"/>
        </w:rPr>
        <w:t xml:space="preserve">% of renters were in households of only one or two members, this was the case for </w:t>
      </w:r>
      <w:r w:rsidR="00482523">
        <w:rPr>
          <w:rFonts w:ascii="Calibri" w:hAnsi="Calibri"/>
          <w:bCs/>
          <w:sz w:val="22"/>
        </w:rPr>
        <w:t>4</w:t>
      </w:r>
      <w:r w:rsidR="00847B73">
        <w:rPr>
          <w:rFonts w:ascii="Calibri" w:hAnsi="Calibri"/>
          <w:bCs/>
          <w:sz w:val="22"/>
        </w:rPr>
        <w:t>3</w:t>
      </w:r>
      <w:r w:rsidR="00037888">
        <w:rPr>
          <w:rFonts w:ascii="Calibri" w:hAnsi="Calibri"/>
          <w:bCs/>
          <w:sz w:val="22"/>
        </w:rPr>
        <w:t>% of owner households</w:t>
      </w:r>
      <w:r w:rsidR="008B2000">
        <w:rPr>
          <w:rFonts w:ascii="Calibri" w:hAnsi="Calibri"/>
          <w:bCs/>
          <w:sz w:val="22"/>
        </w:rPr>
        <w:t xml:space="preserve"> (includes those who own houses as well condo units)</w:t>
      </w:r>
      <w:r w:rsidR="00037888">
        <w:rPr>
          <w:rFonts w:ascii="Calibri" w:hAnsi="Calibri"/>
          <w:bCs/>
          <w:sz w:val="22"/>
        </w:rPr>
        <w:t xml:space="preserve"> based on the </w:t>
      </w:r>
      <w:r w:rsidR="008772FC">
        <w:rPr>
          <w:rFonts w:ascii="Calibri" w:hAnsi="Calibri"/>
          <w:bCs/>
          <w:sz w:val="22"/>
        </w:rPr>
        <w:t>20</w:t>
      </w:r>
      <w:r w:rsidR="00847B73">
        <w:rPr>
          <w:rFonts w:ascii="Calibri" w:hAnsi="Calibri"/>
          <w:bCs/>
          <w:sz w:val="22"/>
        </w:rPr>
        <w:t>20</w:t>
      </w:r>
      <w:r w:rsidR="008772FC">
        <w:rPr>
          <w:rFonts w:ascii="Calibri" w:hAnsi="Calibri"/>
          <w:bCs/>
          <w:sz w:val="22"/>
        </w:rPr>
        <w:t xml:space="preserve"> </w:t>
      </w:r>
      <w:r w:rsidR="00776F62">
        <w:rPr>
          <w:rFonts w:ascii="Calibri" w:hAnsi="Calibri"/>
          <w:bCs/>
          <w:sz w:val="22"/>
        </w:rPr>
        <w:t>c</w:t>
      </w:r>
      <w:r w:rsidR="008772FC" w:rsidRPr="004E50E7">
        <w:rPr>
          <w:rFonts w:ascii="Calibri" w:hAnsi="Calibri"/>
          <w:bCs/>
          <w:sz w:val="22"/>
        </w:rPr>
        <w:t xml:space="preserve">ensus </w:t>
      </w:r>
      <w:r w:rsidR="008772FC">
        <w:rPr>
          <w:rFonts w:ascii="Calibri" w:hAnsi="Calibri"/>
          <w:bCs/>
          <w:sz w:val="22"/>
        </w:rPr>
        <w:t>estimates</w:t>
      </w:r>
      <w:r w:rsidR="00037888">
        <w:rPr>
          <w:rFonts w:ascii="Calibri" w:hAnsi="Calibri"/>
          <w:bCs/>
          <w:sz w:val="22"/>
        </w:rPr>
        <w:t>, compared to 80% and 49%</w:t>
      </w:r>
      <w:r w:rsidR="00776F62">
        <w:rPr>
          <w:rFonts w:ascii="Calibri" w:hAnsi="Calibri"/>
          <w:bCs/>
          <w:sz w:val="22"/>
        </w:rPr>
        <w:t xml:space="preserve"> of renters vs. owners</w:t>
      </w:r>
      <w:r w:rsidR="00037888">
        <w:rPr>
          <w:rFonts w:ascii="Calibri" w:hAnsi="Calibri"/>
          <w:bCs/>
          <w:sz w:val="22"/>
        </w:rPr>
        <w:t xml:space="preserve"> in 2000, respectively.</w:t>
      </w:r>
      <w:r w:rsidR="008772FC" w:rsidRPr="004E50E7">
        <w:rPr>
          <w:rFonts w:ascii="Calibri" w:hAnsi="Calibri"/>
          <w:bCs/>
          <w:sz w:val="22"/>
        </w:rPr>
        <w:t xml:space="preserve"> </w:t>
      </w:r>
      <w:r w:rsidR="00037888">
        <w:rPr>
          <w:rFonts w:ascii="Calibri" w:hAnsi="Calibri"/>
          <w:bCs/>
          <w:sz w:val="22"/>
        </w:rPr>
        <w:t xml:space="preserve">  </w:t>
      </w:r>
      <w:r w:rsidR="00AE7084">
        <w:rPr>
          <w:rFonts w:ascii="Calibri" w:hAnsi="Calibri"/>
          <w:bCs/>
          <w:sz w:val="22"/>
        </w:rPr>
        <w:t>Also,</w:t>
      </w:r>
      <w:r w:rsidR="00AE7084" w:rsidRPr="004E50E7">
        <w:rPr>
          <w:rFonts w:ascii="Calibri" w:hAnsi="Calibri"/>
          <w:bCs/>
          <w:sz w:val="22"/>
        </w:rPr>
        <w:t xml:space="preserve"> </w:t>
      </w:r>
      <w:r w:rsidR="00847B73">
        <w:rPr>
          <w:rFonts w:ascii="Calibri" w:hAnsi="Calibri"/>
          <w:bCs/>
          <w:sz w:val="22"/>
        </w:rPr>
        <w:t>14.1</w:t>
      </w:r>
      <w:r w:rsidR="00AE7084" w:rsidRPr="004E50E7">
        <w:rPr>
          <w:rFonts w:ascii="Calibri" w:hAnsi="Calibri"/>
          <w:bCs/>
          <w:sz w:val="22"/>
        </w:rPr>
        <w:t xml:space="preserve">% of all </w:t>
      </w:r>
      <w:r w:rsidR="00AE7084">
        <w:rPr>
          <w:rFonts w:ascii="Calibri" w:hAnsi="Calibri"/>
          <w:bCs/>
          <w:sz w:val="22"/>
        </w:rPr>
        <w:t xml:space="preserve">renter </w:t>
      </w:r>
      <w:r w:rsidR="00AE7084" w:rsidRPr="004E50E7">
        <w:rPr>
          <w:rFonts w:ascii="Calibri" w:hAnsi="Calibri"/>
          <w:bCs/>
          <w:sz w:val="22"/>
        </w:rPr>
        <w:t>households in</w:t>
      </w:r>
      <w:r w:rsidR="00AE7084">
        <w:rPr>
          <w:rFonts w:ascii="Calibri" w:hAnsi="Calibri"/>
          <w:bCs/>
          <w:sz w:val="22"/>
        </w:rPr>
        <w:t>cluded</w:t>
      </w:r>
      <w:r w:rsidR="00AE7084" w:rsidRPr="004E50E7">
        <w:rPr>
          <w:rFonts w:ascii="Calibri" w:hAnsi="Calibri"/>
          <w:bCs/>
          <w:sz w:val="22"/>
        </w:rPr>
        <w:t xml:space="preserve"> three or more members</w:t>
      </w:r>
      <w:r w:rsidR="00AE7084">
        <w:rPr>
          <w:rFonts w:ascii="Calibri" w:hAnsi="Calibri"/>
          <w:bCs/>
          <w:sz w:val="22"/>
        </w:rPr>
        <w:t xml:space="preserve"> compared to </w:t>
      </w:r>
      <w:r w:rsidR="00910E25">
        <w:rPr>
          <w:rFonts w:ascii="Calibri" w:hAnsi="Calibri"/>
          <w:bCs/>
          <w:sz w:val="22"/>
        </w:rPr>
        <w:t>5</w:t>
      </w:r>
      <w:r w:rsidR="0099724A">
        <w:rPr>
          <w:rFonts w:ascii="Calibri" w:hAnsi="Calibri"/>
          <w:bCs/>
          <w:sz w:val="22"/>
        </w:rPr>
        <w:t>7.</w:t>
      </w:r>
      <w:r w:rsidR="00910E25">
        <w:rPr>
          <w:rFonts w:ascii="Calibri" w:hAnsi="Calibri"/>
          <w:bCs/>
          <w:sz w:val="22"/>
        </w:rPr>
        <w:t>4</w:t>
      </w:r>
      <w:r w:rsidR="00AE7084">
        <w:rPr>
          <w:rFonts w:ascii="Calibri" w:hAnsi="Calibri"/>
          <w:bCs/>
          <w:sz w:val="22"/>
        </w:rPr>
        <w:t>% of</w:t>
      </w:r>
      <w:r w:rsidR="00AE7084" w:rsidRPr="004E50E7">
        <w:rPr>
          <w:rFonts w:ascii="Calibri" w:hAnsi="Calibri"/>
          <w:bCs/>
          <w:sz w:val="22"/>
        </w:rPr>
        <w:t xml:space="preserve"> owner</w:t>
      </w:r>
      <w:r w:rsidR="00AE7084">
        <w:rPr>
          <w:rFonts w:ascii="Calibri" w:hAnsi="Calibri"/>
          <w:bCs/>
          <w:sz w:val="22"/>
        </w:rPr>
        <w:t xml:space="preserve"> households</w:t>
      </w:r>
      <w:r w:rsidR="00AE7084" w:rsidRPr="004E50E7">
        <w:rPr>
          <w:rFonts w:ascii="Calibri" w:hAnsi="Calibri"/>
          <w:bCs/>
          <w:sz w:val="22"/>
        </w:rPr>
        <w:t xml:space="preserve">.  </w:t>
      </w:r>
    </w:p>
    <w:p w14:paraId="043B902B" w14:textId="77777777" w:rsidR="00D17BB6" w:rsidRDefault="00D17BB6" w:rsidP="00E856AA">
      <w:pPr>
        <w:jc w:val="both"/>
        <w:rPr>
          <w:rFonts w:ascii="Calibri" w:hAnsi="Calibri"/>
          <w:bCs/>
          <w:sz w:val="22"/>
        </w:rPr>
      </w:pPr>
    </w:p>
    <w:p w14:paraId="68A9B0BE" w14:textId="4B010C5A" w:rsidR="0001506D" w:rsidRDefault="00AE7084" w:rsidP="00E856AA">
      <w:pPr>
        <w:jc w:val="both"/>
        <w:rPr>
          <w:rFonts w:ascii="Calibri" w:hAnsi="Calibri"/>
          <w:bCs/>
          <w:sz w:val="22"/>
        </w:rPr>
      </w:pPr>
      <w:r>
        <w:rPr>
          <w:rFonts w:ascii="Calibri" w:hAnsi="Calibri"/>
          <w:bCs/>
          <w:sz w:val="22"/>
        </w:rPr>
        <w:t>Generally</w:t>
      </w:r>
      <w:r w:rsidR="00037888">
        <w:rPr>
          <w:rFonts w:ascii="Calibri" w:hAnsi="Calibri"/>
          <w:bCs/>
          <w:sz w:val="22"/>
        </w:rPr>
        <w:t>, renter households have been getting smaller wh</w:t>
      </w:r>
      <w:r w:rsidR="00F41F40">
        <w:rPr>
          <w:rFonts w:ascii="Calibri" w:hAnsi="Calibri"/>
          <w:bCs/>
          <w:sz w:val="22"/>
        </w:rPr>
        <w:t>ile</w:t>
      </w:r>
      <w:r w:rsidR="00037888">
        <w:rPr>
          <w:rFonts w:ascii="Calibri" w:hAnsi="Calibri"/>
          <w:bCs/>
          <w:sz w:val="22"/>
        </w:rPr>
        <w:t xml:space="preserve"> the opposite is true for owner households.  These changes are also demonstrated in average household size</w:t>
      </w:r>
      <w:r>
        <w:rPr>
          <w:rFonts w:ascii="Calibri" w:hAnsi="Calibri"/>
          <w:bCs/>
          <w:sz w:val="22"/>
        </w:rPr>
        <w:t xml:space="preserve">s of </w:t>
      </w:r>
      <w:r w:rsidR="00D17BB6">
        <w:rPr>
          <w:rFonts w:ascii="Calibri" w:hAnsi="Calibri"/>
          <w:bCs/>
          <w:sz w:val="22"/>
        </w:rPr>
        <w:t>1.</w:t>
      </w:r>
      <w:r w:rsidR="0099724A">
        <w:rPr>
          <w:rFonts w:ascii="Calibri" w:hAnsi="Calibri"/>
          <w:bCs/>
          <w:sz w:val="22"/>
        </w:rPr>
        <w:t>69</w:t>
      </w:r>
      <w:r w:rsidR="008772FC" w:rsidRPr="004E50E7">
        <w:rPr>
          <w:rFonts w:ascii="Calibri" w:hAnsi="Calibri"/>
          <w:bCs/>
          <w:sz w:val="22"/>
        </w:rPr>
        <w:t xml:space="preserve"> persons</w:t>
      </w:r>
      <w:r w:rsidR="00776F62">
        <w:rPr>
          <w:rFonts w:ascii="Calibri" w:hAnsi="Calibri"/>
          <w:bCs/>
          <w:sz w:val="22"/>
        </w:rPr>
        <w:t xml:space="preserve"> for renters</w:t>
      </w:r>
      <w:r w:rsidR="00D17BB6">
        <w:rPr>
          <w:rFonts w:ascii="Calibri" w:hAnsi="Calibri"/>
          <w:bCs/>
          <w:sz w:val="22"/>
        </w:rPr>
        <w:t xml:space="preserve"> in 20</w:t>
      </w:r>
      <w:r w:rsidR="0099724A">
        <w:rPr>
          <w:rFonts w:ascii="Calibri" w:hAnsi="Calibri"/>
          <w:bCs/>
          <w:sz w:val="22"/>
        </w:rPr>
        <w:t>20</w:t>
      </w:r>
      <w:r w:rsidR="00D17BB6">
        <w:rPr>
          <w:rFonts w:ascii="Calibri" w:hAnsi="Calibri"/>
          <w:bCs/>
          <w:sz w:val="22"/>
        </w:rPr>
        <w:t xml:space="preserve">, down from 1.90 in 2010.  The average household size for </w:t>
      </w:r>
      <w:r w:rsidR="008772FC" w:rsidRPr="004E50E7">
        <w:rPr>
          <w:rFonts w:ascii="Calibri" w:hAnsi="Calibri"/>
          <w:bCs/>
          <w:sz w:val="22"/>
        </w:rPr>
        <w:t>owners</w:t>
      </w:r>
      <w:r w:rsidR="00D17BB6">
        <w:rPr>
          <w:rFonts w:ascii="Calibri" w:hAnsi="Calibri"/>
          <w:bCs/>
          <w:sz w:val="22"/>
        </w:rPr>
        <w:t xml:space="preserve"> increased from 2.88 persons to </w:t>
      </w:r>
      <w:r w:rsidR="0099724A">
        <w:rPr>
          <w:rFonts w:ascii="Calibri" w:hAnsi="Calibri"/>
          <w:bCs/>
          <w:sz w:val="22"/>
        </w:rPr>
        <w:t>3.03</w:t>
      </w:r>
      <w:r w:rsidR="00D17BB6">
        <w:rPr>
          <w:rFonts w:ascii="Calibri" w:hAnsi="Calibri"/>
          <w:bCs/>
          <w:sz w:val="22"/>
        </w:rPr>
        <w:t xml:space="preserve"> during this same period</w:t>
      </w:r>
      <w:r w:rsidR="008772FC" w:rsidRPr="004E50E7">
        <w:rPr>
          <w:rFonts w:ascii="Calibri" w:hAnsi="Calibri"/>
          <w:bCs/>
          <w:sz w:val="22"/>
        </w:rPr>
        <w:t xml:space="preserve">.  Consequently, the rental housing stock has far fewer children, largely dictated by units with more limited numbers of bedrooms.  </w:t>
      </w:r>
      <w:r w:rsidR="00910E25">
        <w:rPr>
          <w:rFonts w:ascii="Calibri" w:hAnsi="Calibri"/>
          <w:bCs/>
          <w:sz w:val="22"/>
        </w:rPr>
        <w:t xml:space="preserve">On the other hand, the increasing numbers of larger homes due to teardown activity is likely a factor in the increases in average household size for owners.  This also points to the development of rental housing having </w:t>
      </w:r>
      <w:r w:rsidR="00D17BB6">
        <w:rPr>
          <w:rFonts w:ascii="Calibri" w:hAnsi="Calibri"/>
          <w:bCs/>
          <w:sz w:val="22"/>
        </w:rPr>
        <w:t xml:space="preserve">far </w:t>
      </w:r>
      <w:r w:rsidR="00910E25">
        <w:rPr>
          <w:rFonts w:ascii="Calibri" w:hAnsi="Calibri"/>
          <w:bCs/>
          <w:sz w:val="22"/>
        </w:rPr>
        <w:t>less impact on school enrollments.</w:t>
      </w:r>
    </w:p>
    <w:p w14:paraId="50EE5405" w14:textId="77777777" w:rsidR="00BB058B" w:rsidRDefault="00BB058B" w:rsidP="0001506D">
      <w:pPr>
        <w:ind w:right="-720"/>
        <w:rPr>
          <w:rFonts w:ascii="Calibri" w:hAnsi="Calibri"/>
          <w:bCs/>
          <w:sz w:val="22"/>
        </w:rPr>
      </w:pPr>
    </w:p>
    <w:p w14:paraId="621A2C57" w14:textId="09430C6E" w:rsidR="00DF4506" w:rsidRPr="004E50E7" w:rsidRDefault="00DF4506" w:rsidP="00F71B8C">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bCs/>
        </w:rPr>
      </w:pPr>
      <w:r>
        <w:rPr>
          <w:rFonts w:ascii="Calibri" w:hAnsi="Calibri"/>
          <w:bCs/>
        </w:rPr>
        <w:t xml:space="preserve">A high percentage of </w:t>
      </w:r>
      <w:r w:rsidRPr="004E50E7">
        <w:rPr>
          <w:rFonts w:ascii="Calibri" w:hAnsi="Calibri"/>
          <w:bCs/>
        </w:rPr>
        <w:t xml:space="preserve">Needham </w:t>
      </w:r>
      <w:r>
        <w:rPr>
          <w:rFonts w:ascii="Calibri" w:hAnsi="Calibri"/>
          <w:bCs/>
        </w:rPr>
        <w:t xml:space="preserve">households </w:t>
      </w:r>
      <w:r w:rsidRPr="004E50E7">
        <w:rPr>
          <w:rFonts w:ascii="Calibri" w:hAnsi="Calibri"/>
          <w:bCs/>
        </w:rPr>
        <w:t>are</w:t>
      </w:r>
      <w:r>
        <w:rPr>
          <w:rFonts w:ascii="Calibri" w:hAnsi="Calibri"/>
          <w:bCs/>
        </w:rPr>
        <w:t xml:space="preserve"> likely what could be termed as</w:t>
      </w:r>
      <w:r w:rsidRPr="004E50E7">
        <w:rPr>
          <w:rFonts w:ascii="Calibri" w:hAnsi="Calibri"/>
          <w:bCs/>
        </w:rPr>
        <w:t xml:space="preserve"> </w:t>
      </w:r>
      <w:r>
        <w:rPr>
          <w:rFonts w:ascii="Calibri" w:hAnsi="Calibri"/>
          <w:bCs/>
        </w:rPr>
        <w:t>“</w:t>
      </w:r>
      <w:r w:rsidRPr="004E50E7">
        <w:rPr>
          <w:rFonts w:ascii="Calibri" w:hAnsi="Calibri"/>
          <w:bCs/>
        </w:rPr>
        <w:t>over</w:t>
      </w:r>
      <w:r>
        <w:rPr>
          <w:rFonts w:ascii="Calibri" w:hAnsi="Calibri"/>
          <w:bCs/>
        </w:rPr>
        <w:t>-</w:t>
      </w:r>
      <w:r w:rsidRPr="004E50E7">
        <w:rPr>
          <w:rFonts w:ascii="Calibri" w:hAnsi="Calibri"/>
          <w:bCs/>
        </w:rPr>
        <w:t>house</w:t>
      </w:r>
      <w:r>
        <w:rPr>
          <w:rFonts w:ascii="Calibri" w:hAnsi="Calibri"/>
          <w:bCs/>
        </w:rPr>
        <w:t>d” given the disparity between the average</w:t>
      </w:r>
      <w:r w:rsidR="00776F62">
        <w:rPr>
          <w:rFonts w:ascii="Calibri" w:hAnsi="Calibri"/>
          <w:bCs/>
        </w:rPr>
        <w:t>-</w:t>
      </w:r>
      <w:r>
        <w:rPr>
          <w:rFonts w:ascii="Calibri" w:hAnsi="Calibri"/>
          <w:bCs/>
        </w:rPr>
        <w:t>size</w:t>
      </w:r>
      <w:r w:rsidR="00776F62">
        <w:rPr>
          <w:rFonts w:ascii="Calibri" w:hAnsi="Calibri"/>
          <w:bCs/>
        </w:rPr>
        <w:t>d,</w:t>
      </w:r>
      <w:r>
        <w:rPr>
          <w:rFonts w:ascii="Calibri" w:hAnsi="Calibri"/>
          <w:bCs/>
        </w:rPr>
        <w:t xml:space="preserve"> owner household of </w:t>
      </w:r>
      <w:r w:rsidR="00776F62">
        <w:rPr>
          <w:rFonts w:ascii="Calibri" w:hAnsi="Calibri"/>
          <w:bCs/>
        </w:rPr>
        <w:t>3</w:t>
      </w:r>
      <w:r>
        <w:rPr>
          <w:rFonts w:ascii="Calibri" w:hAnsi="Calibri"/>
          <w:bCs/>
        </w:rPr>
        <w:t xml:space="preserve"> persons and the </w:t>
      </w:r>
      <w:r w:rsidRPr="004E50E7">
        <w:rPr>
          <w:rFonts w:ascii="Calibri" w:hAnsi="Calibri"/>
          <w:bCs/>
        </w:rPr>
        <w:t>median</w:t>
      </w:r>
      <w:r>
        <w:rPr>
          <w:rFonts w:ascii="Calibri" w:hAnsi="Calibri"/>
          <w:bCs/>
        </w:rPr>
        <w:t>-</w:t>
      </w:r>
      <w:r w:rsidRPr="004E50E7">
        <w:rPr>
          <w:rFonts w:ascii="Calibri" w:hAnsi="Calibri"/>
          <w:bCs/>
        </w:rPr>
        <w:t>sized</w:t>
      </w:r>
      <w:r w:rsidR="00776F62">
        <w:rPr>
          <w:rFonts w:ascii="Calibri" w:hAnsi="Calibri"/>
          <w:bCs/>
        </w:rPr>
        <w:t>,</w:t>
      </w:r>
      <w:r w:rsidRPr="004E50E7">
        <w:rPr>
          <w:rFonts w:ascii="Calibri" w:hAnsi="Calibri"/>
          <w:bCs/>
        </w:rPr>
        <w:t xml:space="preserve"> </w:t>
      </w:r>
      <w:r>
        <w:rPr>
          <w:rFonts w:ascii="Calibri" w:hAnsi="Calibri"/>
          <w:bCs/>
        </w:rPr>
        <w:t>owner-occupied unit of</w:t>
      </w:r>
      <w:r w:rsidRPr="004E50E7">
        <w:rPr>
          <w:rFonts w:ascii="Calibri" w:hAnsi="Calibri"/>
          <w:bCs/>
        </w:rPr>
        <w:t xml:space="preserve"> </w:t>
      </w:r>
      <w:r w:rsidR="00776F62">
        <w:rPr>
          <w:rFonts w:ascii="Calibri" w:hAnsi="Calibri"/>
          <w:bCs/>
        </w:rPr>
        <w:t>7.5</w:t>
      </w:r>
      <w:r w:rsidRPr="004E50E7">
        <w:rPr>
          <w:rFonts w:ascii="Calibri" w:hAnsi="Calibri"/>
          <w:bCs/>
        </w:rPr>
        <w:t xml:space="preserve"> rooms</w:t>
      </w:r>
      <w:r w:rsidR="009557BB">
        <w:rPr>
          <w:rFonts w:ascii="Calibri" w:hAnsi="Calibri"/>
          <w:bCs/>
        </w:rPr>
        <w:t xml:space="preserve"> and three to four </w:t>
      </w:r>
      <w:r>
        <w:rPr>
          <w:rFonts w:ascii="Calibri" w:hAnsi="Calibri"/>
          <w:bCs/>
        </w:rPr>
        <w:t>bedrooms.</w:t>
      </w:r>
    </w:p>
    <w:p w14:paraId="42EC223E" w14:textId="77777777" w:rsidR="00825439" w:rsidRDefault="00825439" w:rsidP="0001506D">
      <w:pPr>
        <w:ind w:right="-720"/>
        <w:jc w:val="center"/>
        <w:rPr>
          <w:rFonts w:asciiTheme="minorHAnsi" w:hAnsiTheme="minorHAnsi"/>
          <w:b/>
          <w:sz w:val="22"/>
          <w:szCs w:val="22"/>
        </w:rPr>
      </w:pPr>
    </w:p>
    <w:p w14:paraId="7A7BF059" w14:textId="4C0B47DE" w:rsidR="008772FC" w:rsidRPr="0001506D" w:rsidRDefault="008772FC" w:rsidP="0001506D">
      <w:pPr>
        <w:ind w:right="-720"/>
        <w:jc w:val="center"/>
        <w:rPr>
          <w:rFonts w:ascii="Calibri" w:hAnsi="Calibri"/>
          <w:bCs/>
          <w:sz w:val="22"/>
        </w:rPr>
      </w:pPr>
      <w:r w:rsidRPr="00EB5D55">
        <w:rPr>
          <w:rFonts w:asciiTheme="minorHAnsi" w:hAnsiTheme="minorHAnsi"/>
          <w:b/>
          <w:sz w:val="22"/>
          <w:szCs w:val="22"/>
        </w:rPr>
        <w:t xml:space="preserve">Table </w:t>
      </w:r>
      <w:r w:rsidR="0086490C">
        <w:rPr>
          <w:rFonts w:asciiTheme="minorHAnsi" w:hAnsiTheme="minorHAnsi"/>
          <w:b/>
          <w:sz w:val="22"/>
          <w:szCs w:val="22"/>
        </w:rPr>
        <w:t>III-11</w:t>
      </w:r>
      <w:r w:rsidRPr="00EB5D55">
        <w:rPr>
          <w:rFonts w:asciiTheme="minorHAnsi" w:hAnsiTheme="minorHAnsi"/>
          <w:b/>
          <w:sz w:val="22"/>
          <w:szCs w:val="22"/>
        </w:rPr>
        <w:t>: Household Size by Tenure</w:t>
      </w:r>
      <w:r w:rsidR="0001506D">
        <w:rPr>
          <w:rFonts w:asciiTheme="minorHAnsi" w:hAnsiTheme="minorHAnsi"/>
          <w:b/>
          <w:sz w:val="22"/>
          <w:szCs w:val="22"/>
        </w:rPr>
        <w:t xml:space="preserve">, </w:t>
      </w:r>
      <w:r w:rsidRPr="00EB5D55">
        <w:rPr>
          <w:rFonts w:ascii="Calibri" w:hAnsi="Calibri"/>
          <w:b/>
          <w:sz w:val="22"/>
          <w:szCs w:val="22"/>
        </w:rPr>
        <w:t>2000</w:t>
      </w:r>
      <w:r w:rsidR="00BE7DD4">
        <w:rPr>
          <w:rFonts w:ascii="Calibri" w:hAnsi="Calibri"/>
          <w:b/>
          <w:sz w:val="22"/>
          <w:szCs w:val="22"/>
        </w:rPr>
        <w:t>, 2010 and</w:t>
      </w:r>
      <w:r w:rsidR="0001506D">
        <w:rPr>
          <w:rFonts w:ascii="Calibri" w:hAnsi="Calibri"/>
          <w:b/>
          <w:sz w:val="22"/>
          <w:szCs w:val="22"/>
        </w:rPr>
        <w:t xml:space="preserve"> </w:t>
      </w:r>
      <w:r w:rsidRPr="00EB5D55">
        <w:rPr>
          <w:rFonts w:ascii="Calibri" w:hAnsi="Calibri"/>
          <w:b/>
          <w:sz w:val="22"/>
          <w:szCs w:val="22"/>
        </w:rPr>
        <w:t>20</w:t>
      </w:r>
      <w:r w:rsidR="00BE7DD4">
        <w:rPr>
          <w:rFonts w:ascii="Calibri" w:hAnsi="Calibri"/>
          <w:b/>
          <w:sz w:val="22"/>
          <w:szCs w:val="22"/>
        </w:rPr>
        <w:t>20</w:t>
      </w:r>
      <w:r w:rsidRPr="00EB5D55">
        <w:rPr>
          <w:rFonts w:ascii="Calibri" w:hAnsi="Calibri"/>
          <w:b/>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000" w:firstRow="0" w:lastRow="0" w:firstColumn="0" w:lastColumn="0" w:noHBand="0" w:noVBand="0"/>
      </w:tblPr>
      <w:tblGrid>
        <w:gridCol w:w="2764"/>
        <w:gridCol w:w="1062"/>
        <w:gridCol w:w="924"/>
        <w:gridCol w:w="975"/>
        <w:gridCol w:w="981"/>
        <w:gridCol w:w="1029"/>
        <w:gridCol w:w="927"/>
      </w:tblGrid>
      <w:tr w:rsidR="0001506D" w:rsidRPr="004E50E7" w14:paraId="7B516BBB" w14:textId="77777777" w:rsidTr="0001506D">
        <w:trPr>
          <w:cantSplit/>
          <w:jc w:val="center"/>
        </w:trPr>
        <w:tc>
          <w:tcPr>
            <w:tcW w:w="2764" w:type="dxa"/>
            <w:vMerge w:val="restart"/>
          </w:tcPr>
          <w:p w14:paraId="7FC0779F" w14:textId="77777777" w:rsidR="0001506D" w:rsidRPr="004E50E7" w:rsidRDefault="0001506D" w:rsidP="008F2513">
            <w:pPr>
              <w:pStyle w:val="cat"/>
              <w:spacing w:before="0" w:beforeAutospacing="0" w:after="0" w:afterAutospacing="0"/>
              <w:rPr>
                <w:rFonts w:ascii="Calibri" w:hAnsi="Calibri"/>
                <w:b/>
                <w:bCs/>
              </w:rPr>
            </w:pPr>
          </w:p>
          <w:p w14:paraId="15BA012E" w14:textId="77777777" w:rsidR="0001506D" w:rsidRPr="004E50E7" w:rsidRDefault="0001506D" w:rsidP="008F2513">
            <w:pPr>
              <w:pStyle w:val="cat"/>
              <w:spacing w:before="0" w:beforeAutospacing="0" w:after="0" w:afterAutospacing="0"/>
              <w:rPr>
                <w:rFonts w:ascii="Calibri" w:hAnsi="Calibri"/>
                <w:b/>
                <w:bCs/>
              </w:rPr>
            </w:pPr>
            <w:r w:rsidRPr="004E50E7">
              <w:rPr>
                <w:rFonts w:ascii="Calibri" w:hAnsi="Calibri"/>
                <w:b/>
                <w:bCs/>
                <w:sz w:val="22"/>
              </w:rPr>
              <w:t>Household Size by Tenure</w:t>
            </w:r>
          </w:p>
        </w:tc>
        <w:tc>
          <w:tcPr>
            <w:tcW w:w="1986" w:type="dxa"/>
            <w:gridSpan w:val="2"/>
            <w:vAlign w:val="center"/>
          </w:tcPr>
          <w:p w14:paraId="1BCC0347" w14:textId="77777777" w:rsidR="0001506D" w:rsidRPr="004E50E7" w:rsidRDefault="0001506D" w:rsidP="008F2513">
            <w:pPr>
              <w:jc w:val="center"/>
              <w:rPr>
                <w:rFonts w:ascii="Calibri" w:hAnsi="Calibri"/>
                <w:b/>
                <w:bCs/>
              </w:rPr>
            </w:pPr>
            <w:r w:rsidRPr="004E50E7">
              <w:rPr>
                <w:rFonts w:ascii="Calibri" w:hAnsi="Calibri"/>
                <w:b/>
                <w:bCs/>
                <w:sz w:val="22"/>
              </w:rPr>
              <w:t>2000</w:t>
            </w:r>
          </w:p>
        </w:tc>
        <w:tc>
          <w:tcPr>
            <w:tcW w:w="1956" w:type="dxa"/>
            <w:gridSpan w:val="2"/>
          </w:tcPr>
          <w:p w14:paraId="7CA66BCB" w14:textId="77777777" w:rsidR="0001506D" w:rsidRPr="004E50E7" w:rsidRDefault="0001506D" w:rsidP="0044066F">
            <w:pPr>
              <w:jc w:val="center"/>
              <w:rPr>
                <w:rFonts w:ascii="Calibri" w:hAnsi="Calibri"/>
                <w:b/>
                <w:bCs/>
              </w:rPr>
            </w:pPr>
            <w:r>
              <w:rPr>
                <w:rFonts w:ascii="Calibri" w:hAnsi="Calibri"/>
                <w:b/>
                <w:bCs/>
                <w:sz w:val="22"/>
              </w:rPr>
              <w:t>2010</w:t>
            </w:r>
          </w:p>
        </w:tc>
        <w:tc>
          <w:tcPr>
            <w:tcW w:w="1956" w:type="dxa"/>
            <w:gridSpan w:val="2"/>
            <w:shd w:val="clear" w:color="auto" w:fill="auto"/>
            <w:vAlign w:val="center"/>
          </w:tcPr>
          <w:p w14:paraId="17824302" w14:textId="276A068C" w:rsidR="0001506D" w:rsidRPr="004E50E7" w:rsidRDefault="0086490C" w:rsidP="0001506D">
            <w:pPr>
              <w:jc w:val="center"/>
              <w:rPr>
                <w:rFonts w:ascii="Calibri" w:hAnsi="Calibri"/>
                <w:b/>
                <w:bCs/>
              </w:rPr>
            </w:pPr>
            <w:r>
              <w:rPr>
                <w:rFonts w:ascii="Calibri" w:hAnsi="Calibri"/>
                <w:b/>
                <w:bCs/>
                <w:sz w:val="22"/>
              </w:rPr>
              <w:t>20</w:t>
            </w:r>
            <w:r w:rsidR="00BE7DD4">
              <w:rPr>
                <w:rFonts w:ascii="Calibri" w:hAnsi="Calibri"/>
                <w:b/>
                <w:bCs/>
                <w:sz w:val="22"/>
              </w:rPr>
              <w:t>20</w:t>
            </w:r>
            <w:r w:rsidR="0001506D" w:rsidRPr="004E50E7">
              <w:rPr>
                <w:rFonts w:ascii="Calibri" w:hAnsi="Calibri"/>
                <w:b/>
                <w:bCs/>
                <w:sz w:val="22"/>
              </w:rPr>
              <w:t xml:space="preserve"> </w:t>
            </w:r>
          </w:p>
        </w:tc>
      </w:tr>
      <w:tr w:rsidR="004B757B" w:rsidRPr="004E50E7" w14:paraId="1867EFD4" w14:textId="77777777" w:rsidTr="00706F13">
        <w:trPr>
          <w:cantSplit/>
          <w:jc w:val="center"/>
        </w:trPr>
        <w:tc>
          <w:tcPr>
            <w:tcW w:w="2764" w:type="dxa"/>
            <w:vMerge/>
          </w:tcPr>
          <w:p w14:paraId="7D9ED420" w14:textId="77777777" w:rsidR="004B757B" w:rsidRPr="004E50E7" w:rsidRDefault="004B757B" w:rsidP="008F2513">
            <w:pPr>
              <w:pStyle w:val="cat"/>
              <w:spacing w:before="0" w:beforeAutospacing="0" w:after="0" w:afterAutospacing="0"/>
              <w:ind w:left="240"/>
              <w:rPr>
                <w:rFonts w:ascii="Calibri" w:hAnsi="Calibri"/>
                <w:b/>
                <w:bCs/>
              </w:rPr>
            </w:pPr>
          </w:p>
        </w:tc>
        <w:tc>
          <w:tcPr>
            <w:tcW w:w="1062" w:type="dxa"/>
            <w:vAlign w:val="center"/>
          </w:tcPr>
          <w:p w14:paraId="513CBEBE"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924" w:type="dxa"/>
            <w:vAlign w:val="center"/>
          </w:tcPr>
          <w:p w14:paraId="226E6740"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975" w:type="dxa"/>
            <w:vAlign w:val="center"/>
          </w:tcPr>
          <w:p w14:paraId="007BCF21" w14:textId="77777777" w:rsidR="004B757B" w:rsidRPr="004E50E7" w:rsidRDefault="004B757B" w:rsidP="00FC5462">
            <w:pPr>
              <w:jc w:val="center"/>
              <w:rPr>
                <w:rFonts w:ascii="Calibri" w:hAnsi="Calibri"/>
                <w:b/>
                <w:bCs/>
              </w:rPr>
            </w:pPr>
            <w:r w:rsidRPr="004E50E7">
              <w:rPr>
                <w:rFonts w:ascii="Calibri" w:hAnsi="Calibri"/>
                <w:b/>
                <w:bCs/>
                <w:sz w:val="22"/>
              </w:rPr>
              <w:t>#</w:t>
            </w:r>
          </w:p>
        </w:tc>
        <w:tc>
          <w:tcPr>
            <w:tcW w:w="981" w:type="dxa"/>
            <w:vAlign w:val="center"/>
          </w:tcPr>
          <w:p w14:paraId="28C5E667" w14:textId="77777777" w:rsidR="004B757B" w:rsidRPr="004E50E7" w:rsidRDefault="004B757B" w:rsidP="00FC5462">
            <w:pPr>
              <w:jc w:val="center"/>
              <w:rPr>
                <w:rFonts w:ascii="Calibri" w:hAnsi="Calibri"/>
                <w:b/>
                <w:bCs/>
              </w:rPr>
            </w:pPr>
            <w:r w:rsidRPr="004E50E7">
              <w:rPr>
                <w:rFonts w:ascii="Calibri" w:hAnsi="Calibri"/>
                <w:b/>
                <w:bCs/>
                <w:sz w:val="22"/>
              </w:rPr>
              <w:t>%</w:t>
            </w:r>
          </w:p>
        </w:tc>
        <w:tc>
          <w:tcPr>
            <w:tcW w:w="1029" w:type="dxa"/>
            <w:shd w:val="clear" w:color="auto" w:fill="auto"/>
            <w:vAlign w:val="center"/>
          </w:tcPr>
          <w:p w14:paraId="4B24C6D9"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927" w:type="dxa"/>
            <w:shd w:val="clear" w:color="auto" w:fill="auto"/>
            <w:vAlign w:val="center"/>
          </w:tcPr>
          <w:p w14:paraId="5CED5879" w14:textId="77777777" w:rsidR="004B757B" w:rsidRPr="004E50E7" w:rsidRDefault="004B757B" w:rsidP="008F2513">
            <w:pPr>
              <w:jc w:val="center"/>
              <w:rPr>
                <w:rFonts w:ascii="Calibri" w:hAnsi="Calibri"/>
                <w:b/>
                <w:bCs/>
              </w:rPr>
            </w:pPr>
            <w:r w:rsidRPr="004E50E7">
              <w:rPr>
                <w:rFonts w:ascii="Calibri" w:hAnsi="Calibri"/>
                <w:b/>
                <w:bCs/>
                <w:sz w:val="22"/>
              </w:rPr>
              <w:t>%</w:t>
            </w:r>
          </w:p>
        </w:tc>
      </w:tr>
      <w:tr w:rsidR="004B757B" w:rsidRPr="004E50E7" w14:paraId="698770A6" w14:textId="77777777" w:rsidTr="00706F13">
        <w:trPr>
          <w:jc w:val="center"/>
        </w:trPr>
        <w:tc>
          <w:tcPr>
            <w:tcW w:w="2764" w:type="dxa"/>
          </w:tcPr>
          <w:p w14:paraId="666851A2" w14:textId="77777777" w:rsidR="004B757B" w:rsidRPr="004E50E7" w:rsidRDefault="004B757B" w:rsidP="008F2513">
            <w:pPr>
              <w:pStyle w:val="cat"/>
              <w:spacing w:before="0" w:beforeAutospacing="0" w:after="0" w:afterAutospacing="0"/>
              <w:ind w:left="240"/>
              <w:rPr>
                <w:rFonts w:ascii="Calibri" w:hAnsi="Calibri"/>
                <w:b/>
                <w:bCs/>
                <w:sz w:val="20"/>
              </w:rPr>
            </w:pPr>
            <w:r w:rsidRPr="004E50E7">
              <w:rPr>
                <w:rFonts w:ascii="Calibri" w:hAnsi="Calibri"/>
                <w:b/>
                <w:bCs/>
                <w:sz w:val="20"/>
              </w:rPr>
              <w:t>Owner-occupied Housing</w:t>
            </w:r>
          </w:p>
        </w:tc>
        <w:tc>
          <w:tcPr>
            <w:tcW w:w="1062" w:type="dxa"/>
            <w:vAlign w:val="center"/>
          </w:tcPr>
          <w:p w14:paraId="4B10A7D7" w14:textId="77777777" w:rsidR="004B757B" w:rsidRPr="004E50E7" w:rsidRDefault="004B757B" w:rsidP="008F2513">
            <w:pPr>
              <w:jc w:val="center"/>
              <w:rPr>
                <w:rFonts w:ascii="Calibri" w:hAnsi="Calibri"/>
                <w:b/>
                <w:bCs/>
                <w:sz w:val="20"/>
              </w:rPr>
            </w:pPr>
            <w:r w:rsidRPr="004E50E7">
              <w:rPr>
                <w:rFonts w:ascii="Calibri" w:hAnsi="Calibri"/>
                <w:b/>
                <w:bCs/>
                <w:sz w:val="20"/>
              </w:rPr>
              <w:t>8,584</w:t>
            </w:r>
          </w:p>
        </w:tc>
        <w:tc>
          <w:tcPr>
            <w:tcW w:w="924" w:type="dxa"/>
            <w:vAlign w:val="center"/>
          </w:tcPr>
          <w:p w14:paraId="5903C3D6" w14:textId="77777777" w:rsidR="004B757B" w:rsidRPr="004E50E7" w:rsidRDefault="004B757B" w:rsidP="008F2513">
            <w:pPr>
              <w:jc w:val="center"/>
              <w:rPr>
                <w:rFonts w:ascii="Calibri" w:hAnsi="Calibri"/>
                <w:b/>
                <w:bCs/>
                <w:sz w:val="20"/>
              </w:rPr>
            </w:pPr>
            <w:r w:rsidRPr="004E50E7">
              <w:rPr>
                <w:rFonts w:ascii="Calibri" w:hAnsi="Calibri"/>
                <w:b/>
                <w:bCs/>
                <w:sz w:val="20"/>
              </w:rPr>
              <w:t>80.9</w:t>
            </w:r>
          </w:p>
        </w:tc>
        <w:tc>
          <w:tcPr>
            <w:tcW w:w="975" w:type="dxa"/>
          </w:tcPr>
          <w:p w14:paraId="007CD5B1" w14:textId="77777777" w:rsidR="004B757B" w:rsidRPr="004E50E7" w:rsidRDefault="00126478" w:rsidP="008F2513">
            <w:pPr>
              <w:jc w:val="center"/>
              <w:rPr>
                <w:rFonts w:ascii="Calibri" w:hAnsi="Calibri"/>
                <w:b/>
                <w:bCs/>
                <w:sz w:val="20"/>
              </w:rPr>
            </w:pPr>
            <w:r>
              <w:rPr>
                <w:rFonts w:ascii="Calibri" w:hAnsi="Calibri"/>
                <w:b/>
                <w:bCs/>
                <w:sz w:val="20"/>
              </w:rPr>
              <w:t>8,607</w:t>
            </w:r>
          </w:p>
        </w:tc>
        <w:tc>
          <w:tcPr>
            <w:tcW w:w="981" w:type="dxa"/>
          </w:tcPr>
          <w:p w14:paraId="501E9ED2" w14:textId="77777777" w:rsidR="004B757B" w:rsidRPr="004E50E7" w:rsidRDefault="00B921DD" w:rsidP="008F2513">
            <w:pPr>
              <w:jc w:val="center"/>
              <w:rPr>
                <w:rFonts w:ascii="Calibri" w:hAnsi="Calibri"/>
                <w:b/>
                <w:bCs/>
                <w:sz w:val="20"/>
              </w:rPr>
            </w:pPr>
            <w:r>
              <w:rPr>
                <w:rFonts w:ascii="Calibri" w:hAnsi="Calibri"/>
                <w:b/>
                <w:bCs/>
                <w:sz w:val="20"/>
              </w:rPr>
              <w:t>83.0</w:t>
            </w:r>
          </w:p>
        </w:tc>
        <w:tc>
          <w:tcPr>
            <w:tcW w:w="1029" w:type="dxa"/>
            <w:shd w:val="clear" w:color="auto" w:fill="auto"/>
            <w:vAlign w:val="center"/>
          </w:tcPr>
          <w:p w14:paraId="41BFCEFC" w14:textId="578654CE" w:rsidR="004B757B" w:rsidRPr="004E50E7" w:rsidRDefault="001076F4" w:rsidP="008F2513">
            <w:pPr>
              <w:jc w:val="center"/>
              <w:rPr>
                <w:rFonts w:ascii="Calibri" w:hAnsi="Calibri"/>
                <w:b/>
                <w:bCs/>
                <w:sz w:val="20"/>
              </w:rPr>
            </w:pPr>
            <w:r>
              <w:rPr>
                <w:rFonts w:ascii="Calibri" w:hAnsi="Calibri"/>
                <w:b/>
                <w:bCs/>
                <w:sz w:val="20"/>
              </w:rPr>
              <w:t>9,092</w:t>
            </w:r>
          </w:p>
        </w:tc>
        <w:tc>
          <w:tcPr>
            <w:tcW w:w="927" w:type="dxa"/>
            <w:shd w:val="clear" w:color="auto" w:fill="auto"/>
            <w:vAlign w:val="center"/>
          </w:tcPr>
          <w:p w14:paraId="76745FAD" w14:textId="78E49A5B" w:rsidR="004B757B" w:rsidRPr="004E50E7" w:rsidRDefault="001076F4" w:rsidP="008F2513">
            <w:pPr>
              <w:jc w:val="center"/>
              <w:rPr>
                <w:rFonts w:ascii="Calibri" w:hAnsi="Calibri"/>
                <w:b/>
                <w:bCs/>
                <w:sz w:val="20"/>
              </w:rPr>
            </w:pPr>
            <w:r>
              <w:rPr>
                <w:rFonts w:ascii="Calibri" w:hAnsi="Calibri"/>
                <w:b/>
                <w:bCs/>
                <w:sz w:val="20"/>
              </w:rPr>
              <w:t>8.45</w:t>
            </w:r>
          </w:p>
        </w:tc>
      </w:tr>
      <w:tr w:rsidR="004B757B" w:rsidRPr="004E50E7" w14:paraId="2EDFE747" w14:textId="77777777" w:rsidTr="00706F13">
        <w:trPr>
          <w:jc w:val="center"/>
        </w:trPr>
        <w:tc>
          <w:tcPr>
            <w:tcW w:w="2764" w:type="dxa"/>
          </w:tcPr>
          <w:p w14:paraId="0BF97370"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1-person household</w:t>
            </w:r>
          </w:p>
        </w:tc>
        <w:tc>
          <w:tcPr>
            <w:tcW w:w="1062" w:type="dxa"/>
            <w:vAlign w:val="center"/>
          </w:tcPr>
          <w:p w14:paraId="7BCE4F13" w14:textId="77777777" w:rsidR="004B757B" w:rsidRPr="004E50E7" w:rsidRDefault="004B757B" w:rsidP="008F2513">
            <w:pPr>
              <w:jc w:val="center"/>
              <w:rPr>
                <w:rFonts w:ascii="Calibri" w:hAnsi="Calibri"/>
                <w:sz w:val="20"/>
              </w:rPr>
            </w:pPr>
            <w:r w:rsidRPr="004E50E7">
              <w:rPr>
                <w:rFonts w:ascii="Calibri" w:hAnsi="Calibri"/>
                <w:sz w:val="20"/>
              </w:rPr>
              <w:t>1,431</w:t>
            </w:r>
          </w:p>
        </w:tc>
        <w:tc>
          <w:tcPr>
            <w:tcW w:w="924" w:type="dxa"/>
            <w:vAlign w:val="center"/>
          </w:tcPr>
          <w:p w14:paraId="34BC7F5E" w14:textId="77777777" w:rsidR="004B757B" w:rsidRPr="004E50E7" w:rsidRDefault="004B757B" w:rsidP="008F2513">
            <w:pPr>
              <w:jc w:val="center"/>
              <w:rPr>
                <w:rFonts w:ascii="Calibri" w:hAnsi="Calibri"/>
                <w:sz w:val="20"/>
              </w:rPr>
            </w:pPr>
            <w:r w:rsidRPr="004E50E7">
              <w:rPr>
                <w:rFonts w:ascii="Calibri" w:hAnsi="Calibri"/>
                <w:sz w:val="20"/>
              </w:rPr>
              <w:t>13.5</w:t>
            </w:r>
          </w:p>
        </w:tc>
        <w:tc>
          <w:tcPr>
            <w:tcW w:w="975" w:type="dxa"/>
          </w:tcPr>
          <w:p w14:paraId="3E6F0F8B" w14:textId="77777777" w:rsidR="004B757B" w:rsidRPr="004E50E7" w:rsidRDefault="00126478" w:rsidP="008F2513">
            <w:pPr>
              <w:jc w:val="center"/>
              <w:rPr>
                <w:rFonts w:ascii="Calibri" w:hAnsi="Calibri"/>
                <w:sz w:val="20"/>
              </w:rPr>
            </w:pPr>
            <w:r>
              <w:rPr>
                <w:rFonts w:ascii="Calibri" w:hAnsi="Calibri"/>
                <w:sz w:val="20"/>
              </w:rPr>
              <w:t>1,472</w:t>
            </w:r>
          </w:p>
        </w:tc>
        <w:tc>
          <w:tcPr>
            <w:tcW w:w="981" w:type="dxa"/>
          </w:tcPr>
          <w:p w14:paraId="45B40B88" w14:textId="77777777" w:rsidR="004B757B" w:rsidRPr="004E50E7" w:rsidRDefault="00B921DD" w:rsidP="008F2513">
            <w:pPr>
              <w:jc w:val="center"/>
              <w:rPr>
                <w:rFonts w:ascii="Calibri" w:hAnsi="Calibri"/>
                <w:sz w:val="20"/>
              </w:rPr>
            </w:pPr>
            <w:r>
              <w:rPr>
                <w:rFonts w:ascii="Calibri" w:hAnsi="Calibri"/>
                <w:sz w:val="20"/>
              </w:rPr>
              <w:t>14.2</w:t>
            </w:r>
          </w:p>
        </w:tc>
        <w:tc>
          <w:tcPr>
            <w:tcW w:w="1029" w:type="dxa"/>
            <w:shd w:val="clear" w:color="auto" w:fill="auto"/>
            <w:vAlign w:val="center"/>
          </w:tcPr>
          <w:p w14:paraId="272B378D" w14:textId="0AA2B80C" w:rsidR="004B757B" w:rsidRPr="004E50E7" w:rsidRDefault="001076F4" w:rsidP="008F2513">
            <w:pPr>
              <w:jc w:val="center"/>
              <w:rPr>
                <w:rFonts w:ascii="Calibri" w:hAnsi="Calibri"/>
                <w:sz w:val="20"/>
              </w:rPr>
            </w:pPr>
            <w:r>
              <w:rPr>
                <w:rFonts w:ascii="Calibri" w:hAnsi="Calibri"/>
                <w:sz w:val="20"/>
              </w:rPr>
              <w:t>956</w:t>
            </w:r>
          </w:p>
        </w:tc>
        <w:tc>
          <w:tcPr>
            <w:tcW w:w="927" w:type="dxa"/>
            <w:shd w:val="clear" w:color="auto" w:fill="auto"/>
            <w:vAlign w:val="center"/>
          </w:tcPr>
          <w:p w14:paraId="3FFED937" w14:textId="706B4701" w:rsidR="004B757B" w:rsidRPr="004E50E7" w:rsidRDefault="001076F4" w:rsidP="008F2513">
            <w:pPr>
              <w:jc w:val="center"/>
              <w:rPr>
                <w:rFonts w:ascii="Calibri" w:hAnsi="Calibri"/>
                <w:sz w:val="20"/>
              </w:rPr>
            </w:pPr>
            <w:r>
              <w:rPr>
                <w:rFonts w:ascii="Calibri" w:hAnsi="Calibri"/>
                <w:sz w:val="20"/>
              </w:rPr>
              <w:t>8.9</w:t>
            </w:r>
          </w:p>
        </w:tc>
      </w:tr>
      <w:tr w:rsidR="004B757B" w:rsidRPr="004E50E7" w14:paraId="10D7779C" w14:textId="77777777" w:rsidTr="00706F13">
        <w:trPr>
          <w:jc w:val="center"/>
        </w:trPr>
        <w:tc>
          <w:tcPr>
            <w:tcW w:w="2764" w:type="dxa"/>
          </w:tcPr>
          <w:p w14:paraId="5EB84F88"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2-person household</w:t>
            </w:r>
          </w:p>
        </w:tc>
        <w:tc>
          <w:tcPr>
            <w:tcW w:w="1062" w:type="dxa"/>
            <w:vAlign w:val="center"/>
          </w:tcPr>
          <w:p w14:paraId="5FCFEBD9" w14:textId="77777777" w:rsidR="004B757B" w:rsidRPr="004E50E7" w:rsidRDefault="004B757B" w:rsidP="008F2513">
            <w:pPr>
              <w:jc w:val="center"/>
              <w:rPr>
                <w:rFonts w:ascii="Calibri" w:hAnsi="Calibri"/>
                <w:sz w:val="20"/>
              </w:rPr>
            </w:pPr>
            <w:r w:rsidRPr="004E50E7">
              <w:rPr>
                <w:rFonts w:ascii="Calibri" w:hAnsi="Calibri"/>
                <w:sz w:val="20"/>
              </w:rPr>
              <w:t>2,765</w:t>
            </w:r>
          </w:p>
        </w:tc>
        <w:tc>
          <w:tcPr>
            <w:tcW w:w="924" w:type="dxa"/>
            <w:vAlign w:val="center"/>
          </w:tcPr>
          <w:p w14:paraId="4697BCB2" w14:textId="77777777" w:rsidR="004B757B" w:rsidRPr="004E50E7" w:rsidRDefault="004B757B" w:rsidP="008F2513">
            <w:pPr>
              <w:jc w:val="center"/>
              <w:rPr>
                <w:rFonts w:ascii="Calibri" w:hAnsi="Calibri"/>
                <w:sz w:val="20"/>
              </w:rPr>
            </w:pPr>
            <w:r w:rsidRPr="004E50E7">
              <w:rPr>
                <w:rFonts w:ascii="Calibri" w:hAnsi="Calibri"/>
                <w:sz w:val="20"/>
              </w:rPr>
              <w:t>26.1</w:t>
            </w:r>
          </w:p>
        </w:tc>
        <w:tc>
          <w:tcPr>
            <w:tcW w:w="975" w:type="dxa"/>
          </w:tcPr>
          <w:p w14:paraId="462EE2D6" w14:textId="77777777" w:rsidR="004B757B" w:rsidRPr="004E50E7" w:rsidRDefault="00126478" w:rsidP="008F2513">
            <w:pPr>
              <w:jc w:val="center"/>
              <w:rPr>
                <w:rFonts w:ascii="Calibri" w:hAnsi="Calibri"/>
                <w:sz w:val="20"/>
              </w:rPr>
            </w:pPr>
            <w:r>
              <w:rPr>
                <w:rFonts w:ascii="Calibri" w:hAnsi="Calibri"/>
                <w:sz w:val="20"/>
              </w:rPr>
              <w:t>2,621</w:t>
            </w:r>
          </w:p>
        </w:tc>
        <w:tc>
          <w:tcPr>
            <w:tcW w:w="981" w:type="dxa"/>
          </w:tcPr>
          <w:p w14:paraId="0FC11458" w14:textId="77777777" w:rsidR="004B757B" w:rsidRPr="004E50E7" w:rsidRDefault="00B921DD" w:rsidP="008F2513">
            <w:pPr>
              <w:jc w:val="center"/>
              <w:rPr>
                <w:rFonts w:ascii="Calibri" w:hAnsi="Calibri"/>
                <w:sz w:val="20"/>
              </w:rPr>
            </w:pPr>
            <w:r>
              <w:rPr>
                <w:rFonts w:ascii="Calibri" w:hAnsi="Calibri"/>
                <w:sz w:val="20"/>
              </w:rPr>
              <w:t>25.3</w:t>
            </w:r>
          </w:p>
        </w:tc>
        <w:tc>
          <w:tcPr>
            <w:tcW w:w="1029" w:type="dxa"/>
            <w:shd w:val="clear" w:color="auto" w:fill="auto"/>
            <w:vAlign w:val="center"/>
          </w:tcPr>
          <w:p w14:paraId="7D363D52" w14:textId="25080EF3" w:rsidR="004B757B" w:rsidRPr="004E50E7" w:rsidRDefault="001076F4" w:rsidP="008F2513">
            <w:pPr>
              <w:jc w:val="center"/>
              <w:rPr>
                <w:rFonts w:ascii="Calibri" w:hAnsi="Calibri"/>
                <w:sz w:val="20"/>
              </w:rPr>
            </w:pPr>
            <w:r>
              <w:rPr>
                <w:rFonts w:ascii="Calibri" w:hAnsi="Calibri"/>
                <w:sz w:val="20"/>
              </w:rPr>
              <w:t>2,921</w:t>
            </w:r>
          </w:p>
        </w:tc>
        <w:tc>
          <w:tcPr>
            <w:tcW w:w="927" w:type="dxa"/>
            <w:shd w:val="clear" w:color="auto" w:fill="auto"/>
            <w:vAlign w:val="center"/>
          </w:tcPr>
          <w:p w14:paraId="24DB6C53" w14:textId="77D282FB" w:rsidR="004B757B" w:rsidRPr="004E50E7" w:rsidRDefault="001076F4" w:rsidP="008F2513">
            <w:pPr>
              <w:jc w:val="center"/>
              <w:rPr>
                <w:rFonts w:ascii="Calibri" w:hAnsi="Calibri"/>
                <w:sz w:val="20"/>
              </w:rPr>
            </w:pPr>
            <w:r>
              <w:rPr>
                <w:rFonts w:ascii="Calibri" w:hAnsi="Calibri"/>
                <w:sz w:val="20"/>
              </w:rPr>
              <w:t>27.1</w:t>
            </w:r>
          </w:p>
        </w:tc>
      </w:tr>
      <w:tr w:rsidR="004B757B" w:rsidRPr="004E50E7" w14:paraId="7048DFDA" w14:textId="77777777" w:rsidTr="00706F13">
        <w:trPr>
          <w:jc w:val="center"/>
        </w:trPr>
        <w:tc>
          <w:tcPr>
            <w:tcW w:w="2764" w:type="dxa"/>
          </w:tcPr>
          <w:p w14:paraId="35144BC7"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3-person household</w:t>
            </w:r>
          </w:p>
        </w:tc>
        <w:tc>
          <w:tcPr>
            <w:tcW w:w="1062" w:type="dxa"/>
            <w:vAlign w:val="center"/>
          </w:tcPr>
          <w:p w14:paraId="66ABDC4B" w14:textId="77777777" w:rsidR="004B757B" w:rsidRPr="004E50E7" w:rsidRDefault="004B757B" w:rsidP="008F2513">
            <w:pPr>
              <w:jc w:val="center"/>
              <w:rPr>
                <w:rFonts w:ascii="Calibri" w:hAnsi="Calibri"/>
                <w:sz w:val="20"/>
              </w:rPr>
            </w:pPr>
            <w:r w:rsidRPr="004E50E7">
              <w:rPr>
                <w:rFonts w:ascii="Calibri" w:hAnsi="Calibri"/>
                <w:sz w:val="20"/>
              </w:rPr>
              <w:t>1,522</w:t>
            </w:r>
          </w:p>
        </w:tc>
        <w:tc>
          <w:tcPr>
            <w:tcW w:w="924" w:type="dxa"/>
            <w:vAlign w:val="center"/>
          </w:tcPr>
          <w:p w14:paraId="6A2F22A1" w14:textId="77777777" w:rsidR="004B757B" w:rsidRPr="004E50E7" w:rsidRDefault="004B757B" w:rsidP="008F2513">
            <w:pPr>
              <w:jc w:val="center"/>
              <w:rPr>
                <w:rFonts w:ascii="Calibri" w:hAnsi="Calibri"/>
                <w:sz w:val="20"/>
              </w:rPr>
            </w:pPr>
            <w:r w:rsidRPr="004E50E7">
              <w:rPr>
                <w:rFonts w:ascii="Calibri" w:hAnsi="Calibri"/>
                <w:sz w:val="20"/>
              </w:rPr>
              <w:t>14.3</w:t>
            </w:r>
          </w:p>
        </w:tc>
        <w:tc>
          <w:tcPr>
            <w:tcW w:w="975" w:type="dxa"/>
          </w:tcPr>
          <w:p w14:paraId="2D505E38" w14:textId="77777777" w:rsidR="004B757B" w:rsidRPr="004E50E7" w:rsidRDefault="00126478" w:rsidP="008F2513">
            <w:pPr>
              <w:jc w:val="center"/>
              <w:rPr>
                <w:rFonts w:ascii="Calibri" w:hAnsi="Calibri"/>
                <w:sz w:val="20"/>
              </w:rPr>
            </w:pPr>
            <w:r>
              <w:rPr>
                <w:rFonts w:ascii="Calibri" w:hAnsi="Calibri"/>
                <w:sz w:val="20"/>
              </w:rPr>
              <w:t>1,427</w:t>
            </w:r>
          </w:p>
        </w:tc>
        <w:tc>
          <w:tcPr>
            <w:tcW w:w="981" w:type="dxa"/>
          </w:tcPr>
          <w:p w14:paraId="7F3B5B1D" w14:textId="77777777" w:rsidR="004B757B" w:rsidRPr="004E50E7" w:rsidRDefault="00B921DD" w:rsidP="008F2513">
            <w:pPr>
              <w:jc w:val="center"/>
              <w:rPr>
                <w:rFonts w:ascii="Calibri" w:hAnsi="Calibri"/>
                <w:sz w:val="20"/>
              </w:rPr>
            </w:pPr>
            <w:r>
              <w:rPr>
                <w:rFonts w:ascii="Calibri" w:hAnsi="Calibri"/>
                <w:sz w:val="20"/>
              </w:rPr>
              <w:t>13.8</w:t>
            </w:r>
          </w:p>
        </w:tc>
        <w:tc>
          <w:tcPr>
            <w:tcW w:w="1029" w:type="dxa"/>
            <w:shd w:val="clear" w:color="auto" w:fill="auto"/>
            <w:vAlign w:val="center"/>
          </w:tcPr>
          <w:p w14:paraId="23236066" w14:textId="61A0A033" w:rsidR="004B757B" w:rsidRPr="004E50E7" w:rsidRDefault="001076F4" w:rsidP="008F2513">
            <w:pPr>
              <w:jc w:val="center"/>
              <w:rPr>
                <w:rFonts w:ascii="Calibri" w:hAnsi="Calibri"/>
                <w:sz w:val="20"/>
              </w:rPr>
            </w:pPr>
            <w:r>
              <w:rPr>
                <w:rFonts w:ascii="Calibri" w:hAnsi="Calibri"/>
                <w:sz w:val="20"/>
              </w:rPr>
              <w:t>1,567</w:t>
            </w:r>
          </w:p>
        </w:tc>
        <w:tc>
          <w:tcPr>
            <w:tcW w:w="927" w:type="dxa"/>
            <w:shd w:val="clear" w:color="auto" w:fill="auto"/>
            <w:vAlign w:val="center"/>
          </w:tcPr>
          <w:p w14:paraId="1F35DC15" w14:textId="190F1D4D" w:rsidR="004B757B" w:rsidRPr="004E50E7" w:rsidRDefault="001076F4" w:rsidP="008F2513">
            <w:pPr>
              <w:jc w:val="center"/>
              <w:rPr>
                <w:rFonts w:ascii="Calibri" w:hAnsi="Calibri"/>
                <w:sz w:val="20"/>
              </w:rPr>
            </w:pPr>
            <w:r>
              <w:rPr>
                <w:rFonts w:ascii="Calibri" w:hAnsi="Calibri"/>
                <w:sz w:val="20"/>
              </w:rPr>
              <w:t>14.6</w:t>
            </w:r>
          </w:p>
        </w:tc>
      </w:tr>
      <w:tr w:rsidR="004B757B" w:rsidRPr="004E50E7" w14:paraId="3221B863" w14:textId="77777777" w:rsidTr="00706F13">
        <w:trPr>
          <w:jc w:val="center"/>
        </w:trPr>
        <w:tc>
          <w:tcPr>
            <w:tcW w:w="2764" w:type="dxa"/>
          </w:tcPr>
          <w:p w14:paraId="36C0A050"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4-person household</w:t>
            </w:r>
          </w:p>
        </w:tc>
        <w:tc>
          <w:tcPr>
            <w:tcW w:w="1062" w:type="dxa"/>
            <w:vAlign w:val="center"/>
          </w:tcPr>
          <w:p w14:paraId="16D2E91E" w14:textId="77777777" w:rsidR="004B757B" w:rsidRPr="004E50E7" w:rsidRDefault="004B757B"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sidRPr="004E50E7">
              <w:rPr>
                <w:rFonts w:ascii="Calibri" w:hAnsi="Calibri"/>
                <w:spacing w:val="0"/>
                <w:szCs w:val="24"/>
              </w:rPr>
              <w:t>1,946</w:t>
            </w:r>
          </w:p>
        </w:tc>
        <w:tc>
          <w:tcPr>
            <w:tcW w:w="924" w:type="dxa"/>
            <w:vAlign w:val="center"/>
          </w:tcPr>
          <w:p w14:paraId="3445E563" w14:textId="77777777" w:rsidR="004B757B" w:rsidRPr="004E50E7" w:rsidRDefault="004B757B" w:rsidP="008F2513">
            <w:pPr>
              <w:jc w:val="center"/>
              <w:rPr>
                <w:rFonts w:ascii="Calibri" w:hAnsi="Calibri"/>
                <w:sz w:val="20"/>
              </w:rPr>
            </w:pPr>
            <w:r w:rsidRPr="004E50E7">
              <w:rPr>
                <w:rFonts w:ascii="Calibri" w:hAnsi="Calibri"/>
                <w:sz w:val="20"/>
              </w:rPr>
              <w:t>18.3</w:t>
            </w:r>
          </w:p>
        </w:tc>
        <w:tc>
          <w:tcPr>
            <w:tcW w:w="975" w:type="dxa"/>
          </w:tcPr>
          <w:p w14:paraId="787DD75C" w14:textId="77777777" w:rsidR="004B757B" w:rsidRPr="004E50E7" w:rsidRDefault="00126478" w:rsidP="008F2513">
            <w:pPr>
              <w:jc w:val="center"/>
              <w:rPr>
                <w:rFonts w:ascii="Calibri" w:hAnsi="Calibri"/>
                <w:sz w:val="20"/>
              </w:rPr>
            </w:pPr>
            <w:r>
              <w:rPr>
                <w:rFonts w:ascii="Calibri" w:hAnsi="Calibri"/>
                <w:sz w:val="20"/>
              </w:rPr>
              <w:t>2,089</w:t>
            </w:r>
          </w:p>
        </w:tc>
        <w:tc>
          <w:tcPr>
            <w:tcW w:w="981" w:type="dxa"/>
          </w:tcPr>
          <w:p w14:paraId="0EBBE0CE" w14:textId="77777777" w:rsidR="004B757B" w:rsidRPr="004E50E7" w:rsidRDefault="00B921DD" w:rsidP="008F2513">
            <w:pPr>
              <w:jc w:val="center"/>
              <w:rPr>
                <w:rFonts w:ascii="Calibri" w:hAnsi="Calibri"/>
                <w:sz w:val="20"/>
              </w:rPr>
            </w:pPr>
            <w:r>
              <w:rPr>
                <w:rFonts w:ascii="Calibri" w:hAnsi="Calibri"/>
                <w:sz w:val="20"/>
              </w:rPr>
              <w:t>20.1</w:t>
            </w:r>
          </w:p>
        </w:tc>
        <w:tc>
          <w:tcPr>
            <w:tcW w:w="1029" w:type="dxa"/>
            <w:shd w:val="clear" w:color="auto" w:fill="auto"/>
            <w:vAlign w:val="center"/>
          </w:tcPr>
          <w:p w14:paraId="58AC0664" w14:textId="0F14809F" w:rsidR="004B757B" w:rsidRPr="004E50E7" w:rsidRDefault="001076F4" w:rsidP="008F2513">
            <w:pPr>
              <w:jc w:val="center"/>
              <w:rPr>
                <w:rFonts w:ascii="Calibri" w:hAnsi="Calibri"/>
                <w:sz w:val="20"/>
              </w:rPr>
            </w:pPr>
            <w:r>
              <w:rPr>
                <w:rFonts w:ascii="Calibri" w:hAnsi="Calibri"/>
                <w:sz w:val="20"/>
              </w:rPr>
              <w:t>2,622</w:t>
            </w:r>
          </w:p>
        </w:tc>
        <w:tc>
          <w:tcPr>
            <w:tcW w:w="927" w:type="dxa"/>
            <w:shd w:val="clear" w:color="auto" w:fill="auto"/>
            <w:vAlign w:val="center"/>
          </w:tcPr>
          <w:p w14:paraId="5A7E1613" w14:textId="3382F9DA" w:rsidR="004B757B" w:rsidRPr="004E50E7" w:rsidRDefault="001076F4" w:rsidP="008F2513">
            <w:pPr>
              <w:jc w:val="center"/>
              <w:rPr>
                <w:rFonts w:ascii="Calibri" w:hAnsi="Calibri"/>
                <w:sz w:val="20"/>
              </w:rPr>
            </w:pPr>
            <w:r>
              <w:rPr>
                <w:rFonts w:ascii="Calibri" w:hAnsi="Calibri"/>
                <w:sz w:val="20"/>
              </w:rPr>
              <w:t>24.4</w:t>
            </w:r>
          </w:p>
        </w:tc>
      </w:tr>
      <w:tr w:rsidR="004B757B" w:rsidRPr="004E50E7" w14:paraId="0B6CCB4C" w14:textId="77777777" w:rsidTr="00706F13">
        <w:trPr>
          <w:jc w:val="center"/>
        </w:trPr>
        <w:tc>
          <w:tcPr>
            <w:tcW w:w="2764" w:type="dxa"/>
          </w:tcPr>
          <w:p w14:paraId="52AB6D81"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5-person household</w:t>
            </w:r>
          </w:p>
        </w:tc>
        <w:tc>
          <w:tcPr>
            <w:tcW w:w="1062" w:type="dxa"/>
            <w:vAlign w:val="center"/>
          </w:tcPr>
          <w:p w14:paraId="1594C8E7" w14:textId="77777777" w:rsidR="004B757B" w:rsidRPr="004E50E7" w:rsidRDefault="004B757B" w:rsidP="008F2513">
            <w:pPr>
              <w:jc w:val="center"/>
              <w:rPr>
                <w:rFonts w:ascii="Calibri" w:hAnsi="Calibri"/>
                <w:sz w:val="20"/>
              </w:rPr>
            </w:pPr>
            <w:r w:rsidRPr="004E50E7">
              <w:rPr>
                <w:rFonts w:ascii="Calibri" w:hAnsi="Calibri"/>
                <w:sz w:val="20"/>
              </w:rPr>
              <w:t>727</w:t>
            </w:r>
          </w:p>
        </w:tc>
        <w:tc>
          <w:tcPr>
            <w:tcW w:w="924" w:type="dxa"/>
            <w:vAlign w:val="center"/>
          </w:tcPr>
          <w:p w14:paraId="07EC13FF" w14:textId="77777777" w:rsidR="004B757B" w:rsidRPr="004E50E7" w:rsidRDefault="004B757B" w:rsidP="008F2513">
            <w:pPr>
              <w:jc w:val="center"/>
              <w:rPr>
                <w:rFonts w:ascii="Calibri" w:hAnsi="Calibri"/>
                <w:sz w:val="20"/>
              </w:rPr>
            </w:pPr>
            <w:r w:rsidRPr="004E50E7">
              <w:rPr>
                <w:rFonts w:ascii="Calibri" w:hAnsi="Calibri"/>
                <w:sz w:val="20"/>
              </w:rPr>
              <w:t>6.9</w:t>
            </w:r>
          </w:p>
        </w:tc>
        <w:tc>
          <w:tcPr>
            <w:tcW w:w="975" w:type="dxa"/>
          </w:tcPr>
          <w:p w14:paraId="06C7DB75" w14:textId="77777777" w:rsidR="004B757B" w:rsidRPr="004E50E7" w:rsidRDefault="00126478" w:rsidP="008F2513">
            <w:pPr>
              <w:jc w:val="center"/>
              <w:rPr>
                <w:rFonts w:ascii="Calibri" w:hAnsi="Calibri"/>
                <w:sz w:val="20"/>
              </w:rPr>
            </w:pPr>
            <w:r>
              <w:rPr>
                <w:rFonts w:ascii="Calibri" w:hAnsi="Calibri"/>
                <w:sz w:val="20"/>
              </w:rPr>
              <w:t>859</w:t>
            </w:r>
          </w:p>
        </w:tc>
        <w:tc>
          <w:tcPr>
            <w:tcW w:w="981" w:type="dxa"/>
          </w:tcPr>
          <w:p w14:paraId="3C3AC55C" w14:textId="77777777" w:rsidR="004B757B" w:rsidRPr="004E50E7" w:rsidRDefault="00B921DD" w:rsidP="008F2513">
            <w:pPr>
              <w:jc w:val="center"/>
              <w:rPr>
                <w:rFonts w:ascii="Calibri" w:hAnsi="Calibri"/>
                <w:sz w:val="20"/>
              </w:rPr>
            </w:pPr>
            <w:r>
              <w:rPr>
                <w:rFonts w:ascii="Calibri" w:hAnsi="Calibri"/>
                <w:sz w:val="20"/>
              </w:rPr>
              <w:t>8.3</w:t>
            </w:r>
          </w:p>
        </w:tc>
        <w:tc>
          <w:tcPr>
            <w:tcW w:w="1029" w:type="dxa"/>
            <w:shd w:val="clear" w:color="auto" w:fill="auto"/>
            <w:vAlign w:val="center"/>
          </w:tcPr>
          <w:p w14:paraId="35B23A8E" w14:textId="311AC833" w:rsidR="004B757B" w:rsidRPr="004E50E7" w:rsidRDefault="001076F4" w:rsidP="008F2513">
            <w:pPr>
              <w:jc w:val="center"/>
              <w:rPr>
                <w:rFonts w:ascii="Calibri" w:hAnsi="Calibri"/>
                <w:sz w:val="20"/>
              </w:rPr>
            </w:pPr>
            <w:r>
              <w:rPr>
                <w:rFonts w:ascii="Calibri" w:hAnsi="Calibri"/>
                <w:sz w:val="20"/>
              </w:rPr>
              <w:t>739</w:t>
            </w:r>
          </w:p>
        </w:tc>
        <w:tc>
          <w:tcPr>
            <w:tcW w:w="927" w:type="dxa"/>
            <w:shd w:val="clear" w:color="auto" w:fill="auto"/>
            <w:vAlign w:val="center"/>
          </w:tcPr>
          <w:p w14:paraId="117D3527" w14:textId="6D16B17F" w:rsidR="004B757B" w:rsidRPr="004E50E7" w:rsidRDefault="001076F4" w:rsidP="008F2513">
            <w:pPr>
              <w:jc w:val="center"/>
              <w:rPr>
                <w:rFonts w:ascii="Calibri" w:hAnsi="Calibri"/>
                <w:sz w:val="20"/>
              </w:rPr>
            </w:pPr>
            <w:r>
              <w:rPr>
                <w:rFonts w:ascii="Calibri" w:hAnsi="Calibri"/>
                <w:sz w:val="20"/>
              </w:rPr>
              <w:t>6.9</w:t>
            </w:r>
          </w:p>
        </w:tc>
      </w:tr>
      <w:tr w:rsidR="004B757B" w:rsidRPr="004E50E7" w14:paraId="53F787D5" w14:textId="77777777" w:rsidTr="00706F13">
        <w:trPr>
          <w:jc w:val="center"/>
        </w:trPr>
        <w:tc>
          <w:tcPr>
            <w:tcW w:w="2764" w:type="dxa"/>
          </w:tcPr>
          <w:p w14:paraId="67BFE9F0"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6-person household</w:t>
            </w:r>
          </w:p>
        </w:tc>
        <w:tc>
          <w:tcPr>
            <w:tcW w:w="1062" w:type="dxa"/>
            <w:vAlign w:val="center"/>
          </w:tcPr>
          <w:p w14:paraId="487E9964" w14:textId="77777777" w:rsidR="004B757B" w:rsidRPr="004E50E7" w:rsidRDefault="004B757B" w:rsidP="008F2513">
            <w:pPr>
              <w:jc w:val="center"/>
              <w:rPr>
                <w:rFonts w:ascii="Calibri" w:hAnsi="Calibri"/>
                <w:sz w:val="20"/>
              </w:rPr>
            </w:pPr>
            <w:r w:rsidRPr="004E50E7">
              <w:rPr>
                <w:rFonts w:ascii="Calibri" w:hAnsi="Calibri"/>
                <w:sz w:val="20"/>
              </w:rPr>
              <w:t>174</w:t>
            </w:r>
          </w:p>
        </w:tc>
        <w:tc>
          <w:tcPr>
            <w:tcW w:w="924" w:type="dxa"/>
            <w:vAlign w:val="center"/>
          </w:tcPr>
          <w:p w14:paraId="3BCF7F2C" w14:textId="77777777" w:rsidR="004B757B" w:rsidRPr="004E50E7" w:rsidRDefault="004B757B" w:rsidP="008F2513">
            <w:pPr>
              <w:jc w:val="center"/>
              <w:rPr>
                <w:rFonts w:ascii="Calibri" w:hAnsi="Calibri"/>
                <w:sz w:val="20"/>
              </w:rPr>
            </w:pPr>
            <w:r w:rsidRPr="004E50E7">
              <w:rPr>
                <w:rFonts w:ascii="Calibri" w:hAnsi="Calibri"/>
                <w:sz w:val="20"/>
              </w:rPr>
              <w:t>1.6</w:t>
            </w:r>
          </w:p>
        </w:tc>
        <w:tc>
          <w:tcPr>
            <w:tcW w:w="975" w:type="dxa"/>
          </w:tcPr>
          <w:p w14:paraId="224E9FC4" w14:textId="77777777" w:rsidR="004B757B" w:rsidRPr="004E50E7" w:rsidRDefault="00126478" w:rsidP="008F2513">
            <w:pPr>
              <w:jc w:val="center"/>
              <w:rPr>
                <w:rFonts w:ascii="Calibri" w:hAnsi="Calibri"/>
                <w:sz w:val="20"/>
              </w:rPr>
            </w:pPr>
            <w:r>
              <w:rPr>
                <w:rFonts w:ascii="Calibri" w:hAnsi="Calibri"/>
                <w:sz w:val="20"/>
              </w:rPr>
              <w:t>139</w:t>
            </w:r>
          </w:p>
        </w:tc>
        <w:tc>
          <w:tcPr>
            <w:tcW w:w="981" w:type="dxa"/>
          </w:tcPr>
          <w:p w14:paraId="3D53E171" w14:textId="77777777" w:rsidR="004B757B" w:rsidRPr="004E50E7" w:rsidRDefault="00B921DD" w:rsidP="008F2513">
            <w:pPr>
              <w:jc w:val="center"/>
              <w:rPr>
                <w:rFonts w:ascii="Calibri" w:hAnsi="Calibri"/>
                <w:sz w:val="20"/>
              </w:rPr>
            </w:pPr>
            <w:r>
              <w:rPr>
                <w:rFonts w:ascii="Calibri" w:hAnsi="Calibri"/>
                <w:sz w:val="20"/>
              </w:rPr>
              <w:t>1.3</w:t>
            </w:r>
          </w:p>
        </w:tc>
        <w:tc>
          <w:tcPr>
            <w:tcW w:w="1029" w:type="dxa"/>
            <w:shd w:val="clear" w:color="auto" w:fill="auto"/>
            <w:vAlign w:val="center"/>
          </w:tcPr>
          <w:p w14:paraId="55FC9194" w14:textId="1405F6E5" w:rsidR="004B757B" w:rsidRPr="004E50E7" w:rsidRDefault="001076F4" w:rsidP="008F2513">
            <w:pPr>
              <w:jc w:val="center"/>
              <w:rPr>
                <w:rFonts w:ascii="Calibri" w:hAnsi="Calibri"/>
                <w:sz w:val="20"/>
              </w:rPr>
            </w:pPr>
            <w:r>
              <w:rPr>
                <w:rFonts w:ascii="Calibri" w:hAnsi="Calibri"/>
                <w:sz w:val="20"/>
              </w:rPr>
              <w:t>193</w:t>
            </w:r>
          </w:p>
        </w:tc>
        <w:tc>
          <w:tcPr>
            <w:tcW w:w="927" w:type="dxa"/>
            <w:shd w:val="clear" w:color="auto" w:fill="auto"/>
            <w:vAlign w:val="center"/>
          </w:tcPr>
          <w:p w14:paraId="5569B953" w14:textId="00735CF4" w:rsidR="004B757B" w:rsidRPr="004E50E7" w:rsidRDefault="001076F4" w:rsidP="008F2513">
            <w:pPr>
              <w:jc w:val="center"/>
              <w:rPr>
                <w:rFonts w:ascii="Calibri" w:hAnsi="Calibri"/>
                <w:sz w:val="20"/>
              </w:rPr>
            </w:pPr>
            <w:r>
              <w:rPr>
                <w:rFonts w:ascii="Calibri" w:hAnsi="Calibri"/>
                <w:sz w:val="20"/>
              </w:rPr>
              <w:t>1.8</w:t>
            </w:r>
          </w:p>
        </w:tc>
      </w:tr>
      <w:tr w:rsidR="004B757B" w:rsidRPr="004E50E7" w14:paraId="248A9868" w14:textId="77777777" w:rsidTr="00706F13">
        <w:trPr>
          <w:jc w:val="center"/>
        </w:trPr>
        <w:tc>
          <w:tcPr>
            <w:tcW w:w="2764" w:type="dxa"/>
          </w:tcPr>
          <w:p w14:paraId="5A22D8AF" w14:textId="5F52160E"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7</w:t>
            </w:r>
            <w:r w:rsidR="00552EEB">
              <w:rPr>
                <w:rFonts w:ascii="Calibri" w:hAnsi="Calibri"/>
                <w:sz w:val="20"/>
              </w:rPr>
              <w:t>+</w:t>
            </w:r>
            <w:r w:rsidRPr="004E50E7">
              <w:rPr>
                <w:rFonts w:ascii="Calibri" w:hAnsi="Calibri"/>
                <w:sz w:val="20"/>
              </w:rPr>
              <w:t xml:space="preserve"> person household</w:t>
            </w:r>
          </w:p>
        </w:tc>
        <w:tc>
          <w:tcPr>
            <w:tcW w:w="1062" w:type="dxa"/>
            <w:vAlign w:val="center"/>
          </w:tcPr>
          <w:p w14:paraId="05DF9768" w14:textId="77777777" w:rsidR="004B757B" w:rsidRPr="004E50E7" w:rsidRDefault="004B757B" w:rsidP="008F2513">
            <w:pPr>
              <w:jc w:val="center"/>
              <w:rPr>
                <w:rFonts w:ascii="Calibri" w:hAnsi="Calibri"/>
                <w:sz w:val="20"/>
              </w:rPr>
            </w:pPr>
            <w:r w:rsidRPr="004E50E7">
              <w:rPr>
                <w:rFonts w:ascii="Calibri" w:hAnsi="Calibri"/>
                <w:sz w:val="20"/>
              </w:rPr>
              <w:t>19</w:t>
            </w:r>
          </w:p>
        </w:tc>
        <w:tc>
          <w:tcPr>
            <w:tcW w:w="924" w:type="dxa"/>
            <w:vAlign w:val="center"/>
          </w:tcPr>
          <w:p w14:paraId="6DC01E7C" w14:textId="77777777" w:rsidR="004B757B" w:rsidRPr="004E50E7" w:rsidRDefault="004B757B" w:rsidP="008F2513">
            <w:pPr>
              <w:jc w:val="center"/>
              <w:rPr>
                <w:rFonts w:ascii="Calibri" w:hAnsi="Calibri"/>
                <w:sz w:val="20"/>
              </w:rPr>
            </w:pPr>
            <w:r w:rsidRPr="004E50E7">
              <w:rPr>
                <w:rFonts w:ascii="Calibri" w:hAnsi="Calibri"/>
                <w:sz w:val="20"/>
              </w:rPr>
              <w:t>0.2</w:t>
            </w:r>
          </w:p>
        </w:tc>
        <w:tc>
          <w:tcPr>
            <w:tcW w:w="975" w:type="dxa"/>
          </w:tcPr>
          <w:p w14:paraId="7E5E739A" w14:textId="77777777" w:rsidR="004B757B" w:rsidRPr="004E50E7" w:rsidRDefault="00126478" w:rsidP="008F2513">
            <w:pPr>
              <w:pStyle w:val="CommentText"/>
              <w:spacing w:line="240" w:lineRule="auto"/>
              <w:jc w:val="center"/>
              <w:rPr>
                <w:rFonts w:ascii="Calibri" w:hAnsi="Calibri"/>
                <w:sz w:val="20"/>
              </w:rPr>
            </w:pPr>
            <w:r>
              <w:rPr>
                <w:rFonts w:ascii="Calibri" w:hAnsi="Calibri"/>
                <w:sz w:val="20"/>
              </w:rPr>
              <w:t>0</w:t>
            </w:r>
          </w:p>
        </w:tc>
        <w:tc>
          <w:tcPr>
            <w:tcW w:w="981" w:type="dxa"/>
          </w:tcPr>
          <w:p w14:paraId="0885E531" w14:textId="77777777" w:rsidR="004B757B" w:rsidRPr="004E50E7" w:rsidRDefault="00B921DD" w:rsidP="008F2513">
            <w:pPr>
              <w:pStyle w:val="CommentText"/>
              <w:spacing w:line="240" w:lineRule="auto"/>
              <w:jc w:val="center"/>
              <w:rPr>
                <w:rFonts w:ascii="Calibri" w:hAnsi="Calibri"/>
                <w:sz w:val="20"/>
              </w:rPr>
            </w:pPr>
            <w:r>
              <w:rPr>
                <w:rFonts w:ascii="Calibri" w:hAnsi="Calibri"/>
                <w:sz w:val="20"/>
              </w:rPr>
              <w:t>0.0</w:t>
            </w:r>
          </w:p>
        </w:tc>
        <w:tc>
          <w:tcPr>
            <w:tcW w:w="1029" w:type="dxa"/>
            <w:shd w:val="clear" w:color="auto" w:fill="auto"/>
            <w:vAlign w:val="center"/>
          </w:tcPr>
          <w:p w14:paraId="13B6413A" w14:textId="217D9082" w:rsidR="004B757B" w:rsidRPr="004E50E7" w:rsidRDefault="001076F4" w:rsidP="008F2513">
            <w:pPr>
              <w:pStyle w:val="CommentText"/>
              <w:spacing w:line="240" w:lineRule="auto"/>
              <w:jc w:val="center"/>
              <w:rPr>
                <w:rFonts w:ascii="Calibri" w:hAnsi="Calibri"/>
                <w:sz w:val="20"/>
              </w:rPr>
            </w:pPr>
            <w:r>
              <w:rPr>
                <w:rFonts w:ascii="Calibri" w:hAnsi="Calibri"/>
                <w:sz w:val="20"/>
              </w:rPr>
              <w:t>94</w:t>
            </w:r>
          </w:p>
        </w:tc>
        <w:tc>
          <w:tcPr>
            <w:tcW w:w="927" w:type="dxa"/>
            <w:shd w:val="clear" w:color="auto" w:fill="auto"/>
            <w:vAlign w:val="center"/>
          </w:tcPr>
          <w:p w14:paraId="51F0F8EE" w14:textId="6D11CBAD" w:rsidR="004B757B" w:rsidRPr="004E50E7" w:rsidRDefault="001076F4" w:rsidP="008F2513">
            <w:pPr>
              <w:jc w:val="center"/>
              <w:rPr>
                <w:rFonts w:ascii="Calibri" w:hAnsi="Calibri"/>
                <w:sz w:val="20"/>
              </w:rPr>
            </w:pPr>
            <w:r>
              <w:rPr>
                <w:rFonts w:ascii="Calibri" w:hAnsi="Calibri"/>
                <w:sz w:val="20"/>
              </w:rPr>
              <w:t>0.9</w:t>
            </w:r>
          </w:p>
        </w:tc>
      </w:tr>
      <w:tr w:rsidR="004B757B" w:rsidRPr="004E50E7" w14:paraId="5C6A5E16" w14:textId="77777777" w:rsidTr="00706F13">
        <w:trPr>
          <w:jc w:val="center"/>
        </w:trPr>
        <w:tc>
          <w:tcPr>
            <w:tcW w:w="2764" w:type="dxa"/>
          </w:tcPr>
          <w:p w14:paraId="74058E5E" w14:textId="77777777" w:rsidR="004B757B" w:rsidRPr="004E50E7" w:rsidRDefault="004B757B" w:rsidP="008F2513">
            <w:pPr>
              <w:pStyle w:val="cat"/>
              <w:spacing w:before="0" w:beforeAutospacing="0" w:after="0" w:afterAutospacing="0"/>
              <w:ind w:left="240"/>
              <w:rPr>
                <w:rFonts w:ascii="Calibri" w:hAnsi="Calibri"/>
                <w:b/>
                <w:bCs/>
                <w:sz w:val="20"/>
              </w:rPr>
            </w:pPr>
            <w:r w:rsidRPr="004E50E7">
              <w:rPr>
                <w:rFonts w:ascii="Calibri" w:hAnsi="Calibri"/>
                <w:b/>
                <w:bCs/>
                <w:sz w:val="20"/>
              </w:rPr>
              <w:t>Renter-occupied Housing</w:t>
            </w:r>
          </w:p>
        </w:tc>
        <w:tc>
          <w:tcPr>
            <w:tcW w:w="1062" w:type="dxa"/>
            <w:vAlign w:val="center"/>
          </w:tcPr>
          <w:p w14:paraId="14339C05" w14:textId="77777777" w:rsidR="004B757B" w:rsidRPr="004E50E7" w:rsidRDefault="004B757B" w:rsidP="008F2513">
            <w:pPr>
              <w:jc w:val="center"/>
              <w:rPr>
                <w:rFonts w:ascii="Calibri" w:hAnsi="Calibri"/>
                <w:b/>
                <w:bCs/>
                <w:sz w:val="20"/>
              </w:rPr>
            </w:pPr>
            <w:r w:rsidRPr="004E50E7">
              <w:rPr>
                <w:rFonts w:ascii="Calibri" w:hAnsi="Calibri"/>
                <w:b/>
                <w:bCs/>
                <w:sz w:val="20"/>
              </w:rPr>
              <w:t>2,028</w:t>
            </w:r>
          </w:p>
        </w:tc>
        <w:tc>
          <w:tcPr>
            <w:tcW w:w="924" w:type="dxa"/>
            <w:vAlign w:val="center"/>
          </w:tcPr>
          <w:p w14:paraId="1AF526A3" w14:textId="77777777" w:rsidR="004B757B" w:rsidRPr="004E50E7" w:rsidRDefault="004B757B" w:rsidP="008F2513">
            <w:pPr>
              <w:jc w:val="center"/>
              <w:rPr>
                <w:rFonts w:ascii="Calibri" w:hAnsi="Calibri"/>
                <w:b/>
                <w:bCs/>
                <w:sz w:val="20"/>
              </w:rPr>
            </w:pPr>
            <w:r w:rsidRPr="004E50E7">
              <w:rPr>
                <w:rFonts w:ascii="Calibri" w:hAnsi="Calibri"/>
                <w:b/>
                <w:bCs/>
                <w:sz w:val="20"/>
              </w:rPr>
              <w:t>19.1</w:t>
            </w:r>
          </w:p>
        </w:tc>
        <w:tc>
          <w:tcPr>
            <w:tcW w:w="975" w:type="dxa"/>
          </w:tcPr>
          <w:p w14:paraId="49D8053E" w14:textId="77777777" w:rsidR="004B757B" w:rsidRPr="004E50E7" w:rsidRDefault="00126478" w:rsidP="008F2513">
            <w:pPr>
              <w:jc w:val="center"/>
              <w:rPr>
                <w:rFonts w:ascii="Calibri" w:hAnsi="Calibri"/>
                <w:b/>
                <w:bCs/>
                <w:sz w:val="20"/>
              </w:rPr>
            </w:pPr>
            <w:r>
              <w:rPr>
                <w:rFonts w:ascii="Calibri" w:hAnsi="Calibri"/>
                <w:b/>
                <w:bCs/>
                <w:sz w:val="20"/>
              </w:rPr>
              <w:t>1,766</w:t>
            </w:r>
          </w:p>
        </w:tc>
        <w:tc>
          <w:tcPr>
            <w:tcW w:w="981" w:type="dxa"/>
          </w:tcPr>
          <w:p w14:paraId="7F4E070B" w14:textId="77777777" w:rsidR="004B757B" w:rsidRPr="004E50E7" w:rsidRDefault="00B921DD" w:rsidP="008F2513">
            <w:pPr>
              <w:jc w:val="center"/>
              <w:rPr>
                <w:rFonts w:ascii="Calibri" w:hAnsi="Calibri"/>
                <w:b/>
                <w:bCs/>
                <w:sz w:val="20"/>
              </w:rPr>
            </w:pPr>
            <w:r>
              <w:rPr>
                <w:rFonts w:ascii="Calibri" w:hAnsi="Calibri"/>
                <w:b/>
                <w:bCs/>
                <w:sz w:val="20"/>
              </w:rPr>
              <w:t>17.0</w:t>
            </w:r>
          </w:p>
        </w:tc>
        <w:tc>
          <w:tcPr>
            <w:tcW w:w="1029" w:type="dxa"/>
            <w:shd w:val="clear" w:color="auto" w:fill="auto"/>
            <w:vAlign w:val="center"/>
          </w:tcPr>
          <w:p w14:paraId="6F7123EF" w14:textId="258DFB8A" w:rsidR="004B757B" w:rsidRPr="004E50E7" w:rsidRDefault="001076F4" w:rsidP="008F2513">
            <w:pPr>
              <w:jc w:val="center"/>
              <w:rPr>
                <w:rFonts w:ascii="Calibri" w:hAnsi="Calibri"/>
                <w:b/>
                <w:bCs/>
                <w:sz w:val="20"/>
              </w:rPr>
            </w:pPr>
            <w:r>
              <w:rPr>
                <w:rFonts w:ascii="Calibri" w:hAnsi="Calibri"/>
                <w:b/>
                <w:bCs/>
                <w:sz w:val="20"/>
              </w:rPr>
              <w:t>1,673</w:t>
            </w:r>
          </w:p>
        </w:tc>
        <w:tc>
          <w:tcPr>
            <w:tcW w:w="927" w:type="dxa"/>
            <w:shd w:val="clear" w:color="auto" w:fill="auto"/>
            <w:vAlign w:val="center"/>
          </w:tcPr>
          <w:p w14:paraId="627C7A3D" w14:textId="2E5C50C1" w:rsidR="004B757B" w:rsidRPr="004E50E7" w:rsidRDefault="001076F4" w:rsidP="008F2513">
            <w:pPr>
              <w:jc w:val="center"/>
              <w:rPr>
                <w:rFonts w:ascii="Calibri" w:hAnsi="Calibri"/>
                <w:b/>
                <w:bCs/>
                <w:sz w:val="20"/>
              </w:rPr>
            </w:pPr>
            <w:r>
              <w:rPr>
                <w:rFonts w:ascii="Calibri" w:hAnsi="Calibri"/>
                <w:b/>
                <w:bCs/>
                <w:sz w:val="20"/>
              </w:rPr>
              <w:t>15.5</w:t>
            </w:r>
          </w:p>
        </w:tc>
      </w:tr>
      <w:tr w:rsidR="004B757B" w:rsidRPr="004E50E7" w14:paraId="3D0BD910" w14:textId="77777777" w:rsidTr="00706F13">
        <w:trPr>
          <w:jc w:val="center"/>
        </w:trPr>
        <w:tc>
          <w:tcPr>
            <w:tcW w:w="2764" w:type="dxa"/>
          </w:tcPr>
          <w:p w14:paraId="77A8495B"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1-person household</w:t>
            </w:r>
          </w:p>
        </w:tc>
        <w:tc>
          <w:tcPr>
            <w:tcW w:w="1062" w:type="dxa"/>
            <w:vAlign w:val="center"/>
          </w:tcPr>
          <w:p w14:paraId="0E132052" w14:textId="77777777" w:rsidR="004B757B" w:rsidRPr="004E50E7" w:rsidRDefault="004B757B" w:rsidP="008F2513">
            <w:pPr>
              <w:jc w:val="center"/>
              <w:rPr>
                <w:rFonts w:ascii="Calibri" w:hAnsi="Calibri"/>
                <w:sz w:val="20"/>
              </w:rPr>
            </w:pPr>
            <w:r w:rsidRPr="004E50E7">
              <w:rPr>
                <w:rFonts w:ascii="Calibri" w:hAnsi="Calibri"/>
                <w:sz w:val="20"/>
              </w:rPr>
              <w:t>1,051</w:t>
            </w:r>
          </w:p>
        </w:tc>
        <w:tc>
          <w:tcPr>
            <w:tcW w:w="924" w:type="dxa"/>
            <w:vAlign w:val="center"/>
          </w:tcPr>
          <w:p w14:paraId="0ECBB1CC" w14:textId="77777777" w:rsidR="004B757B" w:rsidRPr="004E50E7" w:rsidRDefault="004B757B" w:rsidP="008F2513">
            <w:pPr>
              <w:jc w:val="center"/>
              <w:rPr>
                <w:rFonts w:ascii="Calibri" w:hAnsi="Calibri"/>
                <w:sz w:val="20"/>
              </w:rPr>
            </w:pPr>
            <w:r w:rsidRPr="004E50E7">
              <w:rPr>
                <w:rFonts w:ascii="Calibri" w:hAnsi="Calibri"/>
                <w:sz w:val="20"/>
              </w:rPr>
              <w:t>9.9</w:t>
            </w:r>
          </w:p>
        </w:tc>
        <w:tc>
          <w:tcPr>
            <w:tcW w:w="975" w:type="dxa"/>
          </w:tcPr>
          <w:p w14:paraId="3770A7F1" w14:textId="77777777" w:rsidR="004B757B" w:rsidRPr="004E50E7" w:rsidRDefault="00126478"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1,020</w:t>
            </w:r>
          </w:p>
        </w:tc>
        <w:tc>
          <w:tcPr>
            <w:tcW w:w="981" w:type="dxa"/>
          </w:tcPr>
          <w:p w14:paraId="77E7914E" w14:textId="77777777" w:rsidR="004B757B" w:rsidRPr="004E50E7" w:rsidRDefault="00B921DD"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9.8</w:t>
            </w:r>
          </w:p>
        </w:tc>
        <w:tc>
          <w:tcPr>
            <w:tcW w:w="1029" w:type="dxa"/>
            <w:shd w:val="clear" w:color="auto" w:fill="auto"/>
            <w:vAlign w:val="center"/>
          </w:tcPr>
          <w:p w14:paraId="09BE457D" w14:textId="228F927C" w:rsidR="004B757B" w:rsidRPr="004E50E7" w:rsidRDefault="001076F4"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901</w:t>
            </w:r>
          </w:p>
        </w:tc>
        <w:tc>
          <w:tcPr>
            <w:tcW w:w="927" w:type="dxa"/>
            <w:shd w:val="clear" w:color="auto" w:fill="auto"/>
            <w:vAlign w:val="center"/>
          </w:tcPr>
          <w:p w14:paraId="637C9277" w14:textId="2B5A56E7" w:rsidR="004B757B" w:rsidRPr="004E50E7" w:rsidRDefault="00847B73" w:rsidP="008F2513">
            <w:pPr>
              <w:jc w:val="center"/>
              <w:rPr>
                <w:rFonts w:ascii="Calibri" w:hAnsi="Calibri"/>
                <w:sz w:val="20"/>
              </w:rPr>
            </w:pPr>
            <w:r>
              <w:rPr>
                <w:rFonts w:ascii="Calibri" w:hAnsi="Calibri"/>
                <w:sz w:val="20"/>
              </w:rPr>
              <w:t>8.4</w:t>
            </w:r>
          </w:p>
        </w:tc>
      </w:tr>
      <w:tr w:rsidR="004B757B" w:rsidRPr="004E50E7" w14:paraId="5EC6A47E" w14:textId="77777777" w:rsidTr="00706F13">
        <w:trPr>
          <w:jc w:val="center"/>
        </w:trPr>
        <w:tc>
          <w:tcPr>
            <w:tcW w:w="2764" w:type="dxa"/>
          </w:tcPr>
          <w:p w14:paraId="0A9321FE"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2-person household</w:t>
            </w:r>
          </w:p>
        </w:tc>
        <w:tc>
          <w:tcPr>
            <w:tcW w:w="1062" w:type="dxa"/>
            <w:vAlign w:val="center"/>
          </w:tcPr>
          <w:p w14:paraId="498BC552" w14:textId="77777777" w:rsidR="004B757B" w:rsidRPr="004E50E7" w:rsidRDefault="004B757B" w:rsidP="008F2513">
            <w:pPr>
              <w:jc w:val="center"/>
              <w:rPr>
                <w:rFonts w:ascii="Calibri" w:hAnsi="Calibri"/>
                <w:sz w:val="20"/>
              </w:rPr>
            </w:pPr>
            <w:r w:rsidRPr="004E50E7">
              <w:rPr>
                <w:rFonts w:ascii="Calibri" w:hAnsi="Calibri"/>
                <w:sz w:val="20"/>
              </w:rPr>
              <w:t>571</w:t>
            </w:r>
          </w:p>
        </w:tc>
        <w:tc>
          <w:tcPr>
            <w:tcW w:w="924" w:type="dxa"/>
            <w:vAlign w:val="center"/>
          </w:tcPr>
          <w:p w14:paraId="121DAF89" w14:textId="77777777" w:rsidR="004B757B" w:rsidRPr="004E50E7" w:rsidRDefault="004B757B" w:rsidP="008F2513">
            <w:pPr>
              <w:jc w:val="center"/>
              <w:rPr>
                <w:rFonts w:ascii="Calibri" w:hAnsi="Calibri"/>
                <w:sz w:val="20"/>
              </w:rPr>
            </w:pPr>
            <w:r w:rsidRPr="004E50E7">
              <w:rPr>
                <w:rFonts w:ascii="Calibri" w:hAnsi="Calibri"/>
                <w:sz w:val="20"/>
              </w:rPr>
              <w:t>5.4</w:t>
            </w:r>
          </w:p>
        </w:tc>
        <w:tc>
          <w:tcPr>
            <w:tcW w:w="975" w:type="dxa"/>
          </w:tcPr>
          <w:p w14:paraId="17E3DEF5" w14:textId="77777777" w:rsidR="004B757B" w:rsidRPr="004E50E7" w:rsidRDefault="00126478" w:rsidP="008F2513">
            <w:pPr>
              <w:jc w:val="center"/>
              <w:rPr>
                <w:rFonts w:ascii="Calibri" w:hAnsi="Calibri"/>
                <w:sz w:val="20"/>
              </w:rPr>
            </w:pPr>
            <w:r>
              <w:rPr>
                <w:rFonts w:ascii="Calibri" w:hAnsi="Calibri"/>
                <w:sz w:val="20"/>
              </w:rPr>
              <w:t>402</w:t>
            </w:r>
          </w:p>
        </w:tc>
        <w:tc>
          <w:tcPr>
            <w:tcW w:w="981" w:type="dxa"/>
          </w:tcPr>
          <w:p w14:paraId="1BED1BB9" w14:textId="77777777" w:rsidR="004B757B" w:rsidRPr="004E50E7" w:rsidRDefault="00B921DD" w:rsidP="008F2513">
            <w:pPr>
              <w:jc w:val="center"/>
              <w:rPr>
                <w:rFonts w:ascii="Calibri" w:hAnsi="Calibri"/>
                <w:sz w:val="20"/>
              </w:rPr>
            </w:pPr>
            <w:r>
              <w:rPr>
                <w:rFonts w:ascii="Calibri" w:hAnsi="Calibri"/>
                <w:sz w:val="20"/>
              </w:rPr>
              <w:t>3.9</w:t>
            </w:r>
          </w:p>
        </w:tc>
        <w:tc>
          <w:tcPr>
            <w:tcW w:w="1029" w:type="dxa"/>
            <w:shd w:val="clear" w:color="auto" w:fill="auto"/>
            <w:vAlign w:val="center"/>
          </w:tcPr>
          <w:p w14:paraId="724D3CF4" w14:textId="123FE692" w:rsidR="004B757B" w:rsidRPr="004E50E7" w:rsidRDefault="001076F4" w:rsidP="008F2513">
            <w:pPr>
              <w:jc w:val="center"/>
              <w:rPr>
                <w:rFonts w:ascii="Calibri" w:hAnsi="Calibri"/>
                <w:sz w:val="20"/>
              </w:rPr>
            </w:pPr>
            <w:r>
              <w:rPr>
                <w:rFonts w:ascii="Calibri" w:hAnsi="Calibri"/>
                <w:sz w:val="20"/>
              </w:rPr>
              <w:t>536</w:t>
            </w:r>
          </w:p>
        </w:tc>
        <w:tc>
          <w:tcPr>
            <w:tcW w:w="927" w:type="dxa"/>
            <w:shd w:val="clear" w:color="auto" w:fill="auto"/>
            <w:vAlign w:val="center"/>
          </w:tcPr>
          <w:p w14:paraId="1828580D" w14:textId="3F334DB0" w:rsidR="004B757B" w:rsidRPr="004E50E7" w:rsidRDefault="00847B73" w:rsidP="008F2513">
            <w:pPr>
              <w:jc w:val="center"/>
              <w:rPr>
                <w:rFonts w:ascii="Calibri" w:hAnsi="Calibri"/>
                <w:sz w:val="20"/>
              </w:rPr>
            </w:pPr>
            <w:r>
              <w:rPr>
                <w:rFonts w:ascii="Calibri" w:hAnsi="Calibri"/>
                <w:sz w:val="20"/>
              </w:rPr>
              <w:t>5.0</w:t>
            </w:r>
          </w:p>
        </w:tc>
      </w:tr>
      <w:tr w:rsidR="004B757B" w:rsidRPr="004E50E7" w14:paraId="49A5B184" w14:textId="77777777" w:rsidTr="00706F13">
        <w:trPr>
          <w:jc w:val="center"/>
        </w:trPr>
        <w:tc>
          <w:tcPr>
            <w:tcW w:w="2764" w:type="dxa"/>
          </w:tcPr>
          <w:p w14:paraId="05A15157"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3-person household</w:t>
            </w:r>
          </w:p>
        </w:tc>
        <w:tc>
          <w:tcPr>
            <w:tcW w:w="1062" w:type="dxa"/>
            <w:vAlign w:val="center"/>
          </w:tcPr>
          <w:p w14:paraId="18BA28BC" w14:textId="77777777" w:rsidR="004B757B" w:rsidRPr="004E50E7" w:rsidRDefault="004B757B" w:rsidP="008F2513">
            <w:pPr>
              <w:jc w:val="center"/>
              <w:rPr>
                <w:rFonts w:ascii="Calibri" w:hAnsi="Calibri"/>
                <w:sz w:val="20"/>
              </w:rPr>
            </w:pPr>
            <w:r w:rsidRPr="004E50E7">
              <w:rPr>
                <w:rFonts w:ascii="Calibri" w:hAnsi="Calibri"/>
                <w:sz w:val="20"/>
              </w:rPr>
              <w:t>193</w:t>
            </w:r>
          </w:p>
        </w:tc>
        <w:tc>
          <w:tcPr>
            <w:tcW w:w="924" w:type="dxa"/>
            <w:vAlign w:val="center"/>
          </w:tcPr>
          <w:p w14:paraId="38B97BA1" w14:textId="77777777" w:rsidR="004B757B" w:rsidRPr="004E50E7" w:rsidRDefault="004B757B" w:rsidP="008F2513">
            <w:pPr>
              <w:jc w:val="center"/>
              <w:rPr>
                <w:rFonts w:ascii="Calibri" w:hAnsi="Calibri"/>
                <w:sz w:val="20"/>
              </w:rPr>
            </w:pPr>
            <w:r w:rsidRPr="004E50E7">
              <w:rPr>
                <w:rFonts w:ascii="Calibri" w:hAnsi="Calibri"/>
                <w:sz w:val="20"/>
              </w:rPr>
              <w:t>1.8</w:t>
            </w:r>
          </w:p>
        </w:tc>
        <w:tc>
          <w:tcPr>
            <w:tcW w:w="975" w:type="dxa"/>
          </w:tcPr>
          <w:p w14:paraId="3EC8A655" w14:textId="77777777" w:rsidR="004B757B" w:rsidRPr="004E50E7" w:rsidRDefault="00126478" w:rsidP="008F2513">
            <w:pPr>
              <w:jc w:val="center"/>
              <w:rPr>
                <w:rFonts w:ascii="Calibri" w:hAnsi="Calibri"/>
                <w:sz w:val="20"/>
              </w:rPr>
            </w:pPr>
            <w:r>
              <w:rPr>
                <w:rFonts w:ascii="Calibri" w:hAnsi="Calibri"/>
                <w:sz w:val="20"/>
              </w:rPr>
              <w:t>98</w:t>
            </w:r>
          </w:p>
        </w:tc>
        <w:tc>
          <w:tcPr>
            <w:tcW w:w="981" w:type="dxa"/>
          </w:tcPr>
          <w:p w14:paraId="32A1D25D" w14:textId="77777777" w:rsidR="004B757B" w:rsidRPr="004E50E7" w:rsidRDefault="00B921DD" w:rsidP="008F2513">
            <w:pPr>
              <w:jc w:val="center"/>
              <w:rPr>
                <w:rFonts w:ascii="Calibri" w:hAnsi="Calibri"/>
                <w:sz w:val="20"/>
              </w:rPr>
            </w:pPr>
            <w:r>
              <w:rPr>
                <w:rFonts w:ascii="Calibri" w:hAnsi="Calibri"/>
                <w:sz w:val="20"/>
              </w:rPr>
              <w:t>0.9</w:t>
            </w:r>
          </w:p>
        </w:tc>
        <w:tc>
          <w:tcPr>
            <w:tcW w:w="1029" w:type="dxa"/>
            <w:shd w:val="clear" w:color="auto" w:fill="auto"/>
            <w:vAlign w:val="center"/>
          </w:tcPr>
          <w:p w14:paraId="050FF834" w14:textId="3349C7D3" w:rsidR="004B757B" w:rsidRPr="004E50E7" w:rsidRDefault="001076F4" w:rsidP="008F2513">
            <w:pPr>
              <w:jc w:val="center"/>
              <w:rPr>
                <w:rFonts w:ascii="Calibri" w:hAnsi="Calibri"/>
                <w:sz w:val="20"/>
              </w:rPr>
            </w:pPr>
            <w:r>
              <w:rPr>
                <w:rFonts w:ascii="Calibri" w:hAnsi="Calibri"/>
                <w:sz w:val="20"/>
              </w:rPr>
              <w:t>109</w:t>
            </w:r>
          </w:p>
        </w:tc>
        <w:tc>
          <w:tcPr>
            <w:tcW w:w="927" w:type="dxa"/>
            <w:shd w:val="clear" w:color="auto" w:fill="auto"/>
            <w:vAlign w:val="center"/>
          </w:tcPr>
          <w:p w14:paraId="50B1A221" w14:textId="1BE4E094" w:rsidR="004B757B" w:rsidRPr="004E50E7" w:rsidRDefault="00847B73" w:rsidP="008F2513">
            <w:pPr>
              <w:jc w:val="center"/>
              <w:rPr>
                <w:rFonts w:ascii="Calibri" w:hAnsi="Calibri"/>
                <w:sz w:val="20"/>
              </w:rPr>
            </w:pPr>
            <w:r>
              <w:rPr>
                <w:rFonts w:ascii="Calibri" w:hAnsi="Calibri"/>
                <w:sz w:val="20"/>
              </w:rPr>
              <w:t>1.0</w:t>
            </w:r>
          </w:p>
        </w:tc>
      </w:tr>
      <w:tr w:rsidR="004B757B" w:rsidRPr="004E50E7" w14:paraId="651FA402" w14:textId="77777777" w:rsidTr="00706F13">
        <w:trPr>
          <w:jc w:val="center"/>
        </w:trPr>
        <w:tc>
          <w:tcPr>
            <w:tcW w:w="2764" w:type="dxa"/>
          </w:tcPr>
          <w:p w14:paraId="7497F382"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4-person household</w:t>
            </w:r>
          </w:p>
        </w:tc>
        <w:tc>
          <w:tcPr>
            <w:tcW w:w="1062" w:type="dxa"/>
            <w:vAlign w:val="center"/>
          </w:tcPr>
          <w:p w14:paraId="0465CB46" w14:textId="77777777" w:rsidR="004B757B" w:rsidRPr="004E50E7" w:rsidRDefault="004B757B" w:rsidP="008F2513">
            <w:pPr>
              <w:jc w:val="center"/>
              <w:rPr>
                <w:rFonts w:ascii="Calibri" w:hAnsi="Calibri"/>
                <w:sz w:val="20"/>
              </w:rPr>
            </w:pPr>
            <w:r w:rsidRPr="004E50E7">
              <w:rPr>
                <w:rFonts w:ascii="Calibri" w:hAnsi="Calibri"/>
                <w:sz w:val="20"/>
              </w:rPr>
              <w:t>127</w:t>
            </w:r>
          </w:p>
        </w:tc>
        <w:tc>
          <w:tcPr>
            <w:tcW w:w="924" w:type="dxa"/>
            <w:vAlign w:val="center"/>
          </w:tcPr>
          <w:p w14:paraId="5033F872" w14:textId="77777777" w:rsidR="004B757B" w:rsidRPr="004E50E7" w:rsidRDefault="004B757B" w:rsidP="008F2513">
            <w:pPr>
              <w:jc w:val="center"/>
              <w:rPr>
                <w:rFonts w:ascii="Calibri" w:hAnsi="Calibri"/>
                <w:sz w:val="20"/>
              </w:rPr>
            </w:pPr>
            <w:r w:rsidRPr="004E50E7">
              <w:rPr>
                <w:rFonts w:ascii="Calibri" w:hAnsi="Calibri"/>
                <w:sz w:val="20"/>
              </w:rPr>
              <w:t>1.2</w:t>
            </w:r>
          </w:p>
        </w:tc>
        <w:tc>
          <w:tcPr>
            <w:tcW w:w="975" w:type="dxa"/>
          </w:tcPr>
          <w:p w14:paraId="74CF1A35" w14:textId="77777777" w:rsidR="004B757B" w:rsidRPr="004E50E7" w:rsidRDefault="00126478" w:rsidP="008F2513">
            <w:pPr>
              <w:jc w:val="center"/>
              <w:rPr>
                <w:rFonts w:ascii="Calibri" w:hAnsi="Calibri"/>
                <w:sz w:val="20"/>
              </w:rPr>
            </w:pPr>
            <w:r>
              <w:rPr>
                <w:rFonts w:ascii="Calibri" w:hAnsi="Calibri"/>
                <w:sz w:val="20"/>
              </w:rPr>
              <w:t>172</w:t>
            </w:r>
          </w:p>
        </w:tc>
        <w:tc>
          <w:tcPr>
            <w:tcW w:w="981" w:type="dxa"/>
          </w:tcPr>
          <w:p w14:paraId="482D5991" w14:textId="77777777" w:rsidR="004B757B" w:rsidRPr="004E50E7" w:rsidRDefault="00B921DD" w:rsidP="008F2513">
            <w:pPr>
              <w:jc w:val="center"/>
              <w:rPr>
                <w:rFonts w:ascii="Calibri" w:hAnsi="Calibri"/>
                <w:sz w:val="20"/>
              </w:rPr>
            </w:pPr>
            <w:r>
              <w:rPr>
                <w:rFonts w:ascii="Calibri" w:hAnsi="Calibri"/>
                <w:sz w:val="20"/>
              </w:rPr>
              <w:t>1.7</w:t>
            </w:r>
          </w:p>
        </w:tc>
        <w:tc>
          <w:tcPr>
            <w:tcW w:w="1029" w:type="dxa"/>
            <w:shd w:val="clear" w:color="auto" w:fill="auto"/>
            <w:vAlign w:val="center"/>
          </w:tcPr>
          <w:p w14:paraId="0ED1E253" w14:textId="17B5FE3C" w:rsidR="004B757B" w:rsidRPr="004E50E7" w:rsidRDefault="001076F4" w:rsidP="008F2513">
            <w:pPr>
              <w:jc w:val="center"/>
              <w:rPr>
                <w:rFonts w:ascii="Calibri" w:hAnsi="Calibri"/>
                <w:sz w:val="20"/>
              </w:rPr>
            </w:pPr>
            <w:r>
              <w:rPr>
                <w:rFonts w:ascii="Calibri" w:hAnsi="Calibri"/>
                <w:sz w:val="20"/>
              </w:rPr>
              <w:t>111</w:t>
            </w:r>
          </w:p>
        </w:tc>
        <w:tc>
          <w:tcPr>
            <w:tcW w:w="927" w:type="dxa"/>
            <w:shd w:val="clear" w:color="auto" w:fill="auto"/>
            <w:vAlign w:val="center"/>
          </w:tcPr>
          <w:p w14:paraId="24E44B0B" w14:textId="7A7F23C7" w:rsidR="004B757B" w:rsidRPr="004E50E7" w:rsidRDefault="00847B73" w:rsidP="008F2513">
            <w:pPr>
              <w:jc w:val="center"/>
              <w:rPr>
                <w:rFonts w:ascii="Calibri" w:hAnsi="Calibri"/>
                <w:sz w:val="20"/>
              </w:rPr>
            </w:pPr>
            <w:r>
              <w:rPr>
                <w:rFonts w:ascii="Calibri" w:hAnsi="Calibri"/>
                <w:sz w:val="20"/>
              </w:rPr>
              <w:t>1.0</w:t>
            </w:r>
          </w:p>
        </w:tc>
      </w:tr>
      <w:tr w:rsidR="004B757B" w:rsidRPr="004E50E7" w14:paraId="0082FD64" w14:textId="77777777" w:rsidTr="00706F13">
        <w:trPr>
          <w:jc w:val="center"/>
        </w:trPr>
        <w:tc>
          <w:tcPr>
            <w:tcW w:w="2764" w:type="dxa"/>
          </w:tcPr>
          <w:p w14:paraId="09E3D7B7"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5-person household</w:t>
            </w:r>
          </w:p>
        </w:tc>
        <w:tc>
          <w:tcPr>
            <w:tcW w:w="1062" w:type="dxa"/>
            <w:vAlign w:val="center"/>
          </w:tcPr>
          <w:p w14:paraId="04D74C0B" w14:textId="77777777" w:rsidR="004B757B" w:rsidRPr="004E50E7" w:rsidRDefault="004B757B" w:rsidP="008F2513">
            <w:pPr>
              <w:jc w:val="center"/>
              <w:rPr>
                <w:rFonts w:ascii="Calibri" w:hAnsi="Calibri"/>
                <w:sz w:val="20"/>
              </w:rPr>
            </w:pPr>
            <w:r w:rsidRPr="004E50E7">
              <w:rPr>
                <w:rFonts w:ascii="Calibri" w:hAnsi="Calibri"/>
                <w:sz w:val="20"/>
              </w:rPr>
              <w:t>76</w:t>
            </w:r>
          </w:p>
        </w:tc>
        <w:tc>
          <w:tcPr>
            <w:tcW w:w="924" w:type="dxa"/>
            <w:vAlign w:val="center"/>
          </w:tcPr>
          <w:p w14:paraId="528CFD30" w14:textId="77777777" w:rsidR="004B757B" w:rsidRPr="004E50E7" w:rsidRDefault="004B757B" w:rsidP="008F2513">
            <w:pPr>
              <w:jc w:val="center"/>
              <w:rPr>
                <w:rFonts w:ascii="Calibri" w:hAnsi="Calibri"/>
                <w:sz w:val="20"/>
              </w:rPr>
            </w:pPr>
            <w:r w:rsidRPr="004E50E7">
              <w:rPr>
                <w:rFonts w:ascii="Calibri" w:hAnsi="Calibri"/>
                <w:sz w:val="20"/>
              </w:rPr>
              <w:t>0.7</w:t>
            </w:r>
          </w:p>
        </w:tc>
        <w:tc>
          <w:tcPr>
            <w:tcW w:w="975" w:type="dxa"/>
          </w:tcPr>
          <w:p w14:paraId="05DA0750" w14:textId="77777777" w:rsidR="004B757B" w:rsidRPr="004E50E7" w:rsidRDefault="00126478" w:rsidP="008F2513">
            <w:pPr>
              <w:jc w:val="center"/>
              <w:rPr>
                <w:rFonts w:ascii="Calibri" w:hAnsi="Calibri"/>
                <w:sz w:val="20"/>
              </w:rPr>
            </w:pPr>
            <w:r>
              <w:rPr>
                <w:rFonts w:ascii="Calibri" w:hAnsi="Calibri"/>
                <w:sz w:val="20"/>
              </w:rPr>
              <w:t>74</w:t>
            </w:r>
          </w:p>
        </w:tc>
        <w:tc>
          <w:tcPr>
            <w:tcW w:w="981" w:type="dxa"/>
          </w:tcPr>
          <w:p w14:paraId="1857389E" w14:textId="77777777" w:rsidR="004B757B" w:rsidRPr="004E50E7" w:rsidRDefault="00B921DD" w:rsidP="008F2513">
            <w:pPr>
              <w:jc w:val="center"/>
              <w:rPr>
                <w:rFonts w:ascii="Calibri" w:hAnsi="Calibri"/>
                <w:sz w:val="20"/>
              </w:rPr>
            </w:pPr>
            <w:r>
              <w:rPr>
                <w:rFonts w:ascii="Calibri" w:hAnsi="Calibri"/>
                <w:sz w:val="20"/>
              </w:rPr>
              <w:t>0.7</w:t>
            </w:r>
          </w:p>
        </w:tc>
        <w:tc>
          <w:tcPr>
            <w:tcW w:w="1029" w:type="dxa"/>
            <w:shd w:val="clear" w:color="auto" w:fill="auto"/>
            <w:vAlign w:val="center"/>
          </w:tcPr>
          <w:p w14:paraId="6523D3D9" w14:textId="3BE71552" w:rsidR="004B757B" w:rsidRPr="004E50E7" w:rsidRDefault="001076F4" w:rsidP="008F2513">
            <w:pPr>
              <w:jc w:val="center"/>
              <w:rPr>
                <w:rFonts w:ascii="Calibri" w:hAnsi="Calibri"/>
                <w:sz w:val="20"/>
              </w:rPr>
            </w:pPr>
            <w:r>
              <w:rPr>
                <w:rFonts w:ascii="Calibri" w:hAnsi="Calibri"/>
                <w:sz w:val="20"/>
              </w:rPr>
              <w:t>0</w:t>
            </w:r>
          </w:p>
        </w:tc>
        <w:tc>
          <w:tcPr>
            <w:tcW w:w="927" w:type="dxa"/>
            <w:shd w:val="clear" w:color="auto" w:fill="auto"/>
            <w:vAlign w:val="center"/>
          </w:tcPr>
          <w:p w14:paraId="2A830C7E" w14:textId="3B794B72" w:rsidR="004B757B" w:rsidRPr="004E50E7" w:rsidRDefault="00847B73" w:rsidP="008F2513">
            <w:pPr>
              <w:jc w:val="center"/>
              <w:rPr>
                <w:rFonts w:ascii="Calibri" w:hAnsi="Calibri"/>
                <w:sz w:val="20"/>
              </w:rPr>
            </w:pPr>
            <w:r>
              <w:rPr>
                <w:rFonts w:ascii="Calibri" w:hAnsi="Calibri"/>
                <w:sz w:val="20"/>
              </w:rPr>
              <w:t>0.0</w:t>
            </w:r>
          </w:p>
        </w:tc>
      </w:tr>
      <w:tr w:rsidR="004B757B" w:rsidRPr="004E50E7" w14:paraId="11BD9CDA" w14:textId="77777777" w:rsidTr="00706F13">
        <w:trPr>
          <w:jc w:val="center"/>
        </w:trPr>
        <w:tc>
          <w:tcPr>
            <w:tcW w:w="2764" w:type="dxa"/>
          </w:tcPr>
          <w:p w14:paraId="3C3FA0F9" w14:textId="77777777"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6-person household</w:t>
            </w:r>
          </w:p>
        </w:tc>
        <w:tc>
          <w:tcPr>
            <w:tcW w:w="1062" w:type="dxa"/>
            <w:vAlign w:val="center"/>
          </w:tcPr>
          <w:p w14:paraId="700F3A69" w14:textId="77777777" w:rsidR="004B757B" w:rsidRPr="004E50E7" w:rsidRDefault="004B757B" w:rsidP="008F2513">
            <w:pPr>
              <w:jc w:val="center"/>
              <w:rPr>
                <w:rFonts w:ascii="Calibri" w:hAnsi="Calibri"/>
                <w:sz w:val="20"/>
              </w:rPr>
            </w:pPr>
            <w:r w:rsidRPr="004E50E7">
              <w:rPr>
                <w:rFonts w:ascii="Calibri" w:hAnsi="Calibri"/>
                <w:sz w:val="20"/>
              </w:rPr>
              <w:t>0</w:t>
            </w:r>
          </w:p>
        </w:tc>
        <w:tc>
          <w:tcPr>
            <w:tcW w:w="924" w:type="dxa"/>
            <w:vAlign w:val="center"/>
          </w:tcPr>
          <w:p w14:paraId="1340BE2A" w14:textId="77777777" w:rsidR="004B757B" w:rsidRPr="004E50E7" w:rsidRDefault="004B757B" w:rsidP="008F2513">
            <w:pPr>
              <w:jc w:val="center"/>
              <w:rPr>
                <w:rFonts w:ascii="Calibri" w:hAnsi="Calibri"/>
                <w:sz w:val="20"/>
              </w:rPr>
            </w:pPr>
            <w:r w:rsidRPr="004E50E7">
              <w:rPr>
                <w:rFonts w:ascii="Calibri" w:hAnsi="Calibri"/>
                <w:sz w:val="20"/>
              </w:rPr>
              <w:t>0.0</w:t>
            </w:r>
          </w:p>
        </w:tc>
        <w:tc>
          <w:tcPr>
            <w:tcW w:w="975" w:type="dxa"/>
          </w:tcPr>
          <w:p w14:paraId="35CC1A04" w14:textId="77777777" w:rsidR="004B757B" w:rsidRPr="004E50E7" w:rsidRDefault="00126478" w:rsidP="008F2513">
            <w:pPr>
              <w:jc w:val="center"/>
              <w:rPr>
                <w:rFonts w:ascii="Calibri" w:hAnsi="Calibri"/>
                <w:sz w:val="20"/>
              </w:rPr>
            </w:pPr>
            <w:r>
              <w:rPr>
                <w:rFonts w:ascii="Calibri" w:hAnsi="Calibri"/>
                <w:sz w:val="20"/>
              </w:rPr>
              <w:t>0</w:t>
            </w:r>
          </w:p>
        </w:tc>
        <w:tc>
          <w:tcPr>
            <w:tcW w:w="981" w:type="dxa"/>
          </w:tcPr>
          <w:p w14:paraId="720ECD3D" w14:textId="77777777" w:rsidR="004B757B" w:rsidRPr="004E50E7" w:rsidRDefault="00B921DD" w:rsidP="008F2513">
            <w:pPr>
              <w:jc w:val="center"/>
              <w:rPr>
                <w:rFonts w:ascii="Calibri" w:hAnsi="Calibri"/>
                <w:sz w:val="20"/>
              </w:rPr>
            </w:pPr>
            <w:r>
              <w:rPr>
                <w:rFonts w:ascii="Calibri" w:hAnsi="Calibri"/>
                <w:sz w:val="20"/>
              </w:rPr>
              <w:t>0.0</w:t>
            </w:r>
          </w:p>
        </w:tc>
        <w:tc>
          <w:tcPr>
            <w:tcW w:w="1029" w:type="dxa"/>
            <w:shd w:val="clear" w:color="auto" w:fill="auto"/>
            <w:vAlign w:val="center"/>
          </w:tcPr>
          <w:p w14:paraId="3CE4896F" w14:textId="2B29B63E" w:rsidR="004B757B" w:rsidRPr="004E50E7" w:rsidRDefault="001076F4" w:rsidP="008F2513">
            <w:pPr>
              <w:jc w:val="center"/>
              <w:rPr>
                <w:rFonts w:ascii="Calibri" w:hAnsi="Calibri"/>
                <w:sz w:val="20"/>
              </w:rPr>
            </w:pPr>
            <w:r>
              <w:rPr>
                <w:rFonts w:ascii="Calibri" w:hAnsi="Calibri"/>
                <w:sz w:val="20"/>
              </w:rPr>
              <w:t>0</w:t>
            </w:r>
          </w:p>
        </w:tc>
        <w:tc>
          <w:tcPr>
            <w:tcW w:w="927" w:type="dxa"/>
            <w:shd w:val="clear" w:color="auto" w:fill="auto"/>
            <w:vAlign w:val="center"/>
          </w:tcPr>
          <w:p w14:paraId="26792CEF" w14:textId="751D12D5" w:rsidR="004B757B" w:rsidRPr="004E50E7" w:rsidRDefault="00847B73" w:rsidP="008F2513">
            <w:pPr>
              <w:jc w:val="center"/>
              <w:rPr>
                <w:rFonts w:ascii="Calibri" w:hAnsi="Calibri"/>
                <w:sz w:val="20"/>
              </w:rPr>
            </w:pPr>
            <w:r>
              <w:rPr>
                <w:rFonts w:ascii="Calibri" w:hAnsi="Calibri"/>
                <w:sz w:val="20"/>
              </w:rPr>
              <w:t>0.0</w:t>
            </w:r>
          </w:p>
        </w:tc>
      </w:tr>
      <w:tr w:rsidR="004B757B" w:rsidRPr="004E50E7" w14:paraId="2A862D91" w14:textId="77777777" w:rsidTr="00706F13">
        <w:trPr>
          <w:jc w:val="center"/>
        </w:trPr>
        <w:tc>
          <w:tcPr>
            <w:tcW w:w="2764" w:type="dxa"/>
          </w:tcPr>
          <w:p w14:paraId="32370A5F" w14:textId="50A1E9DE" w:rsidR="004B757B" w:rsidRPr="004E50E7" w:rsidRDefault="004B757B" w:rsidP="008F2513">
            <w:pPr>
              <w:pStyle w:val="cat"/>
              <w:spacing w:before="0" w:beforeAutospacing="0" w:after="0" w:afterAutospacing="0"/>
              <w:ind w:left="240"/>
              <w:rPr>
                <w:rFonts w:ascii="Calibri" w:hAnsi="Calibri"/>
                <w:sz w:val="20"/>
              </w:rPr>
            </w:pPr>
            <w:r w:rsidRPr="004E50E7">
              <w:rPr>
                <w:rFonts w:ascii="Calibri" w:hAnsi="Calibri"/>
                <w:sz w:val="20"/>
              </w:rPr>
              <w:t>7</w:t>
            </w:r>
            <w:r w:rsidR="00552EEB">
              <w:rPr>
                <w:rFonts w:ascii="Calibri" w:hAnsi="Calibri"/>
                <w:sz w:val="20"/>
              </w:rPr>
              <w:t>+</w:t>
            </w:r>
            <w:r w:rsidRPr="004E50E7">
              <w:rPr>
                <w:rFonts w:ascii="Calibri" w:hAnsi="Calibri"/>
                <w:sz w:val="20"/>
              </w:rPr>
              <w:t xml:space="preserve"> person household</w:t>
            </w:r>
          </w:p>
        </w:tc>
        <w:tc>
          <w:tcPr>
            <w:tcW w:w="1062" w:type="dxa"/>
            <w:vAlign w:val="center"/>
          </w:tcPr>
          <w:p w14:paraId="0495BAAD" w14:textId="77777777" w:rsidR="004B757B" w:rsidRPr="004E50E7" w:rsidRDefault="004B757B" w:rsidP="008F2513">
            <w:pPr>
              <w:jc w:val="center"/>
              <w:rPr>
                <w:rFonts w:ascii="Calibri" w:hAnsi="Calibri"/>
                <w:sz w:val="20"/>
              </w:rPr>
            </w:pPr>
            <w:r w:rsidRPr="004E50E7">
              <w:rPr>
                <w:rFonts w:ascii="Calibri" w:hAnsi="Calibri"/>
                <w:sz w:val="20"/>
              </w:rPr>
              <w:t>10</w:t>
            </w:r>
          </w:p>
        </w:tc>
        <w:tc>
          <w:tcPr>
            <w:tcW w:w="924" w:type="dxa"/>
            <w:vAlign w:val="center"/>
          </w:tcPr>
          <w:p w14:paraId="7F27425B" w14:textId="77777777" w:rsidR="004B757B" w:rsidRPr="004E50E7" w:rsidRDefault="004B757B" w:rsidP="008F2513">
            <w:pPr>
              <w:jc w:val="center"/>
              <w:rPr>
                <w:rFonts w:ascii="Calibri" w:hAnsi="Calibri"/>
                <w:sz w:val="20"/>
              </w:rPr>
            </w:pPr>
            <w:r w:rsidRPr="004E50E7">
              <w:rPr>
                <w:rFonts w:ascii="Calibri" w:hAnsi="Calibri"/>
                <w:sz w:val="20"/>
              </w:rPr>
              <w:t>0.1</w:t>
            </w:r>
          </w:p>
        </w:tc>
        <w:tc>
          <w:tcPr>
            <w:tcW w:w="975" w:type="dxa"/>
          </w:tcPr>
          <w:p w14:paraId="20299027" w14:textId="77777777" w:rsidR="004B757B" w:rsidRPr="004E50E7" w:rsidRDefault="00126478"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0</w:t>
            </w:r>
          </w:p>
        </w:tc>
        <w:tc>
          <w:tcPr>
            <w:tcW w:w="981" w:type="dxa"/>
          </w:tcPr>
          <w:p w14:paraId="758BDBA4" w14:textId="77777777" w:rsidR="004B757B" w:rsidRPr="004E50E7" w:rsidRDefault="00B921DD"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0.0</w:t>
            </w:r>
          </w:p>
        </w:tc>
        <w:tc>
          <w:tcPr>
            <w:tcW w:w="1029" w:type="dxa"/>
            <w:shd w:val="clear" w:color="auto" w:fill="auto"/>
            <w:vAlign w:val="center"/>
          </w:tcPr>
          <w:p w14:paraId="11761A9E" w14:textId="341A6147" w:rsidR="004B757B" w:rsidRPr="004E50E7" w:rsidRDefault="001076F4" w:rsidP="008F2513">
            <w:pPr>
              <w:pStyle w:val="HeaderEven"/>
              <w:keepLines w:val="0"/>
              <w:pBdr>
                <w:bottom w:val="none" w:sz="0" w:space="0" w:color="auto"/>
              </w:pBdr>
              <w:tabs>
                <w:tab w:val="clear" w:pos="4320"/>
                <w:tab w:val="clear" w:pos="8640"/>
              </w:tabs>
              <w:spacing w:after="0" w:line="240" w:lineRule="auto"/>
              <w:rPr>
                <w:rFonts w:ascii="Calibri" w:hAnsi="Calibri"/>
                <w:spacing w:val="0"/>
                <w:szCs w:val="24"/>
              </w:rPr>
            </w:pPr>
            <w:r>
              <w:rPr>
                <w:rFonts w:ascii="Calibri" w:hAnsi="Calibri"/>
                <w:spacing w:val="0"/>
                <w:szCs w:val="24"/>
              </w:rPr>
              <w:t>16</w:t>
            </w:r>
          </w:p>
        </w:tc>
        <w:tc>
          <w:tcPr>
            <w:tcW w:w="927" w:type="dxa"/>
            <w:shd w:val="clear" w:color="auto" w:fill="auto"/>
            <w:vAlign w:val="center"/>
          </w:tcPr>
          <w:p w14:paraId="7AE7D292" w14:textId="51183293" w:rsidR="004B757B" w:rsidRPr="004E50E7" w:rsidRDefault="00847B73" w:rsidP="008F2513">
            <w:pPr>
              <w:jc w:val="center"/>
              <w:rPr>
                <w:rFonts w:ascii="Calibri" w:hAnsi="Calibri"/>
                <w:sz w:val="20"/>
              </w:rPr>
            </w:pPr>
            <w:r>
              <w:rPr>
                <w:rFonts w:ascii="Calibri" w:hAnsi="Calibri"/>
                <w:sz w:val="20"/>
              </w:rPr>
              <w:t>0.2</w:t>
            </w:r>
          </w:p>
        </w:tc>
      </w:tr>
      <w:tr w:rsidR="004B757B" w:rsidRPr="004E50E7" w14:paraId="73E863B2" w14:textId="77777777" w:rsidTr="00706F13">
        <w:trPr>
          <w:jc w:val="center"/>
        </w:trPr>
        <w:tc>
          <w:tcPr>
            <w:tcW w:w="2764" w:type="dxa"/>
          </w:tcPr>
          <w:p w14:paraId="788ED755" w14:textId="77777777" w:rsidR="004B757B" w:rsidRPr="004E50E7" w:rsidRDefault="004B757B" w:rsidP="008F2513">
            <w:pPr>
              <w:pStyle w:val="cat"/>
              <w:spacing w:before="0" w:beforeAutospacing="0" w:after="0" w:afterAutospacing="0"/>
              <w:ind w:left="240"/>
              <w:rPr>
                <w:rFonts w:ascii="Calibri" w:hAnsi="Calibri"/>
                <w:b/>
                <w:bCs/>
                <w:sz w:val="20"/>
              </w:rPr>
            </w:pPr>
            <w:r w:rsidRPr="004E50E7">
              <w:rPr>
                <w:rFonts w:ascii="Calibri" w:hAnsi="Calibri"/>
                <w:b/>
                <w:bCs/>
                <w:sz w:val="20"/>
              </w:rPr>
              <w:t>Total</w:t>
            </w:r>
          </w:p>
        </w:tc>
        <w:tc>
          <w:tcPr>
            <w:tcW w:w="1062" w:type="dxa"/>
            <w:vAlign w:val="center"/>
          </w:tcPr>
          <w:p w14:paraId="1AE7D8E8" w14:textId="77777777" w:rsidR="004B757B" w:rsidRPr="004E50E7" w:rsidRDefault="004B757B" w:rsidP="008F2513">
            <w:pPr>
              <w:jc w:val="center"/>
              <w:rPr>
                <w:rFonts w:ascii="Calibri" w:hAnsi="Calibri"/>
                <w:b/>
                <w:bCs/>
                <w:sz w:val="20"/>
              </w:rPr>
            </w:pPr>
            <w:r w:rsidRPr="004E50E7">
              <w:rPr>
                <w:rFonts w:ascii="Calibri" w:hAnsi="Calibri"/>
                <w:b/>
                <w:bCs/>
                <w:sz w:val="20"/>
              </w:rPr>
              <w:t>10,612</w:t>
            </w:r>
          </w:p>
        </w:tc>
        <w:tc>
          <w:tcPr>
            <w:tcW w:w="924" w:type="dxa"/>
            <w:vAlign w:val="center"/>
          </w:tcPr>
          <w:p w14:paraId="4B790E07" w14:textId="77777777" w:rsidR="004B757B" w:rsidRPr="004E50E7" w:rsidRDefault="004B757B" w:rsidP="008F2513">
            <w:pPr>
              <w:jc w:val="center"/>
              <w:rPr>
                <w:rFonts w:ascii="Calibri" w:hAnsi="Calibri"/>
                <w:b/>
                <w:bCs/>
                <w:sz w:val="20"/>
              </w:rPr>
            </w:pPr>
            <w:r w:rsidRPr="004E50E7">
              <w:rPr>
                <w:rFonts w:ascii="Calibri" w:hAnsi="Calibri"/>
                <w:b/>
                <w:bCs/>
                <w:sz w:val="20"/>
              </w:rPr>
              <w:t>100.0</w:t>
            </w:r>
          </w:p>
        </w:tc>
        <w:tc>
          <w:tcPr>
            <w:tcW w:w="975" w:type="dxa"/>
          </w:tcPr>
          <w:p w14:paraId="7E1C02E6" w14:textId="77777777" w:rsidR="004B757B" w:rsidRPr="004E50E7" w:rsidRDefault="00126478" w:rsidP="008F2513">
            <w:pPr>
              <w:jc w:val="center"/>
              <w:rPr>
                <w:rFonts w:ascii="Calibri" w:hAnsi="Calibri"/>
                <w:b/>
                <w:bCs/>
                <w:sz w:val="20"/>
              </w:rPr>
            </w:pPr>
            <w:r>
              <w:rPr>
                <w:rFonts w:ascii="Calibri" w:hAnsi="Calibri"/>
                <w:b/>
                <w:bCs/>
                <w:sz w:val="20"/>
              </w:rPr>
              <w:t>10,373</w:t>
            </w:r>
          </w:p>
        </w:tc>
        <w:tc>
          <w:tcPr>
            <w:tcW w:w="981" w:type="dxa"/>
          </w:tcPr>
          <w:p w14:paraId="13A82206" w14:textId="77777777" w:rsidR="004B757B" w:rsidRPr="004E50E7" w:rsidRDefault="00B921DD" w:rsidP="008F2513">
            <w:pPr>
              <w:jc w:val="center"/>
              <w:rPr>
                <w:rFonts w:ascii="Calibri" w:hAnsi="Calibri"/>
                <w:b/>
                <w:bCs/>
                <w:sz w:val="20"/>
              </w:rPr>
            </w:pPr>
            <w:r>
              <w:rPr>
                <w:rFonts w:ascii="Calibri" w:hAnsi="Calibri"/>
                <w:b/>
                <w:bCs/>
                <w:sz w:val="20"/>
              </w:rPr>
              <w:t>100.0</w:t>
            </w:r>
          </w:p>
        </w:tc>
        <w:tc>
          <w:tcPr>
            <w:tcW w:w="1029" w:type="dxa"/>
            <w:shd w:val="clear" w:color="auto" w:fill="auto"/>
            <w:vAlign w:val="center"/>
          </w:tcPr>
          <w:p w14:paraId="342E0C62" w14:textId="2EEA2F7A" w:rsidR="004B757B" w:rsidRPr="004E50E7" w:rsidRDefault="001076F4" w:rsidP="008F2513">
            <w:pPr>
              <w:jc w:val="center"/>
              <w:rPr>
                <w:rFonts w:ascii="Calibri" w:hAnsi="Calibri"/>
                <w:b/>
                <w:bCs/>
                <w:sz w:val="20"/>
              </w:rPr>
            </w:pPr>
            <w:r>
              <w:rPr>
                <w:rFonts w:ascii="Calibri" w:hAnsi="Calibri"/>
                <w:b/>
                <w:bCs/>
                <w:sz w:val="20"/>
              </w:rPr>
              <w:t>10,765</w:t>
            </w:r>
          </w:p>
        </w:tc>
        <w:tc>
          <w:tcPr>
            <w:tcW w:w="927" w:type="dxa"/>
            <w:shd w:val="clear" w:color="auto" w:fill="auto"/>
            <w:vAlign w:val="center"/>
          </w:tcPr>
          <w:p w14:paraId="659DDB06" w14:textId="2E7E6AED" w:rsidR="004B757B" w:rsidRPr="004E50E7" w:rsidRDefault="00847B73" w:rsidP="008F2513">
            <w:pPr>
              <w:jc w:val="center"/>
              <w:rPr>
                <w:rFonts w:ascii="Calibri" w:hAnsi="Calibri"/>
                <w:b/>
                <w:bCs/>
                <w:sz w:val="20"/>
              </w:rPr>
            </w:pPr>
            <w:r>
              <w:rPr>
                <w:rFonts w:ascii="Calibri" w:hAnsi="Calibri"/>
                <w:b/>
                <w:bCs/>
                <w:sz w:val="20"/>
              </w:rPr>
              <w:t>100.0</w:t>
            </w:r>
          </w:p>
        </w:tc>
      </w:tr>
    </w:tbl>
    <w:p w14:paraId="3545A0CC" w14:textId="2FC73115" w:rsidR="008772FC" w:rsidRPr="004E50E7" w:rsidRDefault="008772FC" w:rsidP="00AE7084">
      <w:pPr>
        <w:ind w:left="360"/>
        <w:rPr>
          <w:rFonts w:ascii="Calibri" w:hAnsi="Calibri"/>
          <w:bCs/>
          <w:sz w:val="22"/>
        </w:rPr>
      </w:pPr>
      <w:r w:rsidRPr="004E50E7">
        <w:rPr>
          <w:rFonts w:ascii="Calibri" w:hAnsi="Calibri"/>
          <w:bCs/>
          <w:sz w:val="20"/>
        </w:rPr>
        <w:lastRenderedPageBreak/>
        <w:t xml:space="preserve">Source:  U.S. Census Bureau, 2000 Census, Summary File 3, and </w:t>
      </w:r>
      <w:r w:rsidR="00DC115C">
        <w:rPr>
          <w:rFonts w:ascii="Calibri" w:hAnsi="Calibri"/>
          <w:bCs/>
          <w:sz w:val="20"/>
        </w:rPr>
        <w:t xml:space="preserve">2006-2010 and </w:t>
      </w:r>
      <w:r w:rsidRPr="004E50E7">
        <w:rPr>
          <w:rFonts w:ascii="Calibri" w:hAnsi="Calibri"/>
          <w:bCs/>
          <w:sz w:val="20"/>
        </w:rPr>
        <w:t>20</w:t>
      </w:r>
      <w:r>
        <w:rPr>
          <w:rFonts w:ascii="Calibri" w:hAnsi="Calibri"/>
          <w:bCs/>
          <w:sz w:val="20"/>
        </w:rPr>
        <w:t>1</w:t>
      </w:r>
      <w:r w:rsidR="00BE7DD4">
        <w:rPr>
          <w:rFonts w:ascii="Calibri" w:hAnsi="Calibri"/>
          <w:bCs/>
          <w:sz w:val="20"/>
        </w:rPr>
        <w:t>6</w:t>
      </w:r>
      <w:r w:rsidRPr="004E50E7">
        <w:rPr>
          <w:rFonts w:ascii="Calibri" w:hAnsi="Calibri"/>
          <w:bCs/>
          <w:sz w:val="20"/>
        </w:rPr>
        <w:t>-20</w:t>
      </w:r>
      <w:r w:rsidR="00BE7DD4">
        <w:rPr>
          <w:rFonts w:ascii="Calibri" w:hAnsi="Calibri"/>
          <w:bCs/>
          <w:sz w:val="20"/>
        </w:rPr>
        <w:t>20</w:t>
      </w:r>
      <w:r w:rsidRPr="004E50E7">
        <w:rPr>
          <w:rFonts w:ascii="Calibri" w:hAnsi="Calibri"/>
          <w:bCs/>
          <w:sz w:val="20"/>
        </w:rPr>
        <w:t xml:space="preserve"> American Community Survey</w:t>
      </w:r>
      <w:r w:rsidR="0044066F">
        <w:rPr>
          <w:rFonts w:ascii="Calibri" w:hAnsi="Calibri"/>
          <w:bCs/>
          <w:sz w:val="20"/>
        </w:rPr>
        <w:t xml:space="preserve"> 5-</w:t>
      </w:r>
      <w:r w:rsidR="00DC115C">
        <w:rPr>
          <w:rFonts w:ascii="Calibri" w:hAnsi="Calibri"/>
          <w:bCs/>
          <w:sz w:val="20"/>
        </w:rPr>
        <w:t>Y</w:t>
      </w:r>
      <w:r w:rsidR="0044066F">
        <w:rPr>
          <w:rFonts w:ascii="Calibri" w:hAnsi="Calibri"/>
          <w:bCs/>
          <w:sz w:val="20"/>
        </w:rPr>
        <w:t>ear Estimates</w:t>
      </w:r>
      <w:r w:rsidRPr="004E50E7">
        <w:rPr>
          <w:rFonts w:ascii="Calibri" w:hAnsi="Calibri"/>
          <w:bCs/>
          <w:sz w:val="20"/>
        </w:rPr>
        <w:t xml:space="preserve">.  </w:t>
      </w:r>
    </w:p>
    <w:p w14:paraId="4B3672C6" w14:textId="77777777" w:rsidR="003935DC" w:rsidRDefault="003935DC" w:rsidP="00AE7084">
      <w:pPr>
        <w:sectPr w:rsidR="003935DC" w:rsidSect="00EA362B">
          <w:pgSz w:w="12240" w:h="15840"/>
          <w:pgMar w:top="1440" w:right="1440" w:bottom="1440" w:left="1440" w:header="720" w:footer="720" w:gutter="0"/>
          <w:cols w:space="720"/>
          <w:docGrid w:linePitch="360"/>
        </w:sectPr>
      </w:pPr>
    </w:p>
    <w:p w14:paraId="02DDE668" w14:textId="77777777" w:rsidR="00796936" w:rsidRPr="00CE0594" w:rsidRDefault="00796936" w:rsidP="008772FC">
      <w:pPr>
        <w:pStyle w:val="BodyTextIndent"/>
        <w:spacing w:after="0"/>
        <w:ind w:left="0" w:right="-720"/>
        <w:rPr>
          <w:rFonts w:ascii="Calibri" w:hAnsi="Calibri"/>
          <w:b/>
          <w:color w:val="1F497D" w:themeColor="text2"/>
        </w:rPr>
      </w:pPr>
      <w:r w:rsidRPr="00CE0594">
        <w:rPr>
          <w:rFonts w:ascii="Calibri" w:hAnsi="Calibri"/>
          <w:b/>
          <w:color w:val="1F497D" w:themeColor="text2"/>
        </w:rPr>
        <w:lastRenderedPageBreak/>
        <w:t>B.</w:t>
      </w:r>
      <w:r w:rsidRPr="00CE0594">
        <w:rPr>
          <w:rFonts w:ascii="Calibri" w:hAnsi="Calibri"/>
          <w:b/>
          <w:color w:val="1F497D" w:themeColor="text2"/>
        </w:rPr>
        <w:tab/>
        <w:t>ECON0MIC PROFILE</w:t>
      </w:r>
    </w:p>
    <w:p w14:paraId="15DCDA68" w14:textId="5F073679" w:rsidR="00796936" w:rsidRDefault="00303F30" w:rsidP="00303F30">
      <w:pPr>
        <w:pStyle w:val="BodyTextIndent"/>
        <w:spacing w:after="0"/>
        <w:ind w:left="0"/>
        <w:jc w:val="both"/>
        <w:rPr>
          <w:rFonts w:ascii="Calibri" w:hAnsi="Calibri"/>
          <w:sz w:val="22"/>
          <w:szCs w:val="22"/>
        </w:rPr>
      </w:pPr>
      <w:r>
        <w:rPr>
          <w:rFonts w:ascii="Calibri" w:hAnsi="Calibri"/>
          <w:sz w:val="22"/>
          <w:szCs w:val="22"/>
        </w:rPr>
        <w:t xml:space="preserve">This </w:t>
      </w:r>
      <w:r w:rsidR="00BF62F3">
        <w:rPr>
          <w:rFonts w:ascii="Calibri" w:hAnsi="Calibri"/>
          <w:sz w:val="22"/>
          <w:szCs w:val="22"/>
        </w:rPr>
        <w:t xml:space="preserve">section </w:t>
      </w:r>
      <w:r>
        <w:rPr>
          <w:rFonts w:ascii="Calibri" w:hAnsi="Calibri"/>
          <w:sz w:val="22"/>
          <w:szCs w:val="22"/>
        </w:rPr>
        <w:t xml:space="preserve">focuses on economic issues </w:t>
      </w:r>
      <w:r w:rsidR="00776F62">
        <w:rPr>
          <w:rFonts w:ascii="Calibri" w:hAnsi="Calibri"/>
          <w:sz w:val="22"/>
          <w:szCs w:val="22"/>
        </w:rPr>
        <w:t>related to</w:t>
      </w:r>
      <w:r>
        <w:rPr>
          <w:rFonts w:ascii="Calibri" w:hAnsi="Calibri"/>
          <w:sz w:val="22"/>
          <w:szCs w:val="22"/>
        </w:rPr>
        <w:t xml:space="preserve"> Needham households including changes in incomes and employment over time, also examining changes regarding education and levels of special needs that affect the community.</w:t>
      </w:r>
    </w:p>
    <w:p w14:paraId="54B38B38" w14:textId="77777777" w:rsidR="00303F30" w:rsidRPr="00303F30" w:rsidRDefault="00303F30" w:rsidP="00303F30">
      <w:pPr>
        <w:pStyle w:val="BodyTextIndent"/>
        <w:spacing w:after="0"/>
        <w:ind w:left="0" w:right="-720"/>
        <w:jc w:val="both"/>
        <w:rPr>
          <w:rFonts w:ascii="Calibri" w:hAnsi="Calibri"/>
          <w:sz w:val="22"/>
          <w:szCs w:val="22"/>
        </w:rPr>
      </w:pPr>
    </w:p>
    <w:p w14:paraId="06F0C01C" w14:textId="77777777" w:rsidR="008772FC" w:rsidRPr="00EB5D55" w:rsidRDefault="00796936" w:rsidP="00303F30">
      <w:pPr>
        <w:pStyle w:val="BodyTextIndent"/>
        <w:spacing w:after="0"/>
        <w:ind w:left="0" w:right="-720"/>
        <w:jc w:val="both"/>
        <w:rPr>
          <w:rFonts w:ascii="Calibri" w:hAnsi="Calibri"/>
          <w:b/>
          <w:color w:val="1F497D" w:themeColor="text2"/>
        </w:rPr>
      </w:pPr>
      <w:r>
        <w:rPr>
          <w:rFonts w:ascii="Calibri" w:hAnsi="Calibri"/>
          <w:b/>
          <w:color w:val="1F497D" w:themeColor="text2"/>
        </w:rPr>
        <w:t>1</w:t>
      </w:r>
      <w:r w:rsidR="008772FC" w:rsidRPr="00EB5D55">
        <w:rPr>
          <w:rFonts w:ascii="Calibri" w:hAnsi="Calibri"/>
          <w:b/>
          <w:color w:val="1F497D" w:themeColor="text2"/>
        </w:rPr>
        <w:t>.</w:t>
      </w:r>
      <w:r w:rsidR="008772FC" w:rsidRPr="00EB5D55">
        <w:rPr>
          <w:rFonts w:ascii="Calibri" w:hAnsi="Calibri"/>
          <w:b/>
          <w:color w:val="1F497D" w:themeColor="text2"/>
        </w:rPr>
        <w:tab/>
        <w:t xml:space="preserve">Income – </w:t>
      </w:r>
      <w:r w:rsidR="008772FC">
        <w:rPr>
          <w:rFonts w:ascii="Calibri" w:hAnsi="Calibri"/>
          <w:b/>
          <w:color w:val="1F497D" w:themeColor="text2"/>
        </w:rPr>
        <w:t>H</w:t>
      </w:r>
      <w:r w:rsidR="008772FC" w:rsidRPr="00EB5D55">
        <w:rPr>
          <w:rFonts w:ascii="Calibri" w:hAnsi="Calibri"/>
          <w:b/>
          <w:color w:val="1F497D" w:themeColor="text2"/>
        </w:rPr>
        <w:t xml:space="preserve">igh income levels but growing income disparities </w:t>
      </w:r>
    </w:p>
    <w:p w14:paraId="2F0ADD6D" w14:textId="4079D40B" w:rsidR="002856C0" w:rsidRDefault="008772FC" w:rsidP="00BF62F3">
      <w:pPr>
        <w:pStyle w:val="BodyText2"/>
        <w:spacing w:after="0" w:line="240" w:lineRule="auto"/>
        <w:jc w:val="both"/>
        <w:rPr>
          <w:rFonts w:ascii="Calibri" w:hAnsi="Calibri"/>
          <w:sz w:val="22"/>
          <w:szCs w:val="22"/>
        </w:rPr>
      </w:pPr>
      <w:r w:rsidRPr="00EB5D55">
        <w:rPr>
          <w:rFonts w:ascii="Calibri" w:hAnsi="Calibri"/>
          <w:sz w:val="22"/>
          <w:szCs w:val="22"/>
        </w:rPr>
        <w:t xml:space="preserve">Table </w:t>
      </w:r>
      <w:r w:rsidR="00BF62F3">
        <w:rPr>
          <w:rFonts w:ascii="Calibri" w:hAnsi="Calibri"/>
          <w:sz w:val="22"/>
          <w:szCs w:val="22"/>
        </w:rPr>
        <w:t>III-12</w:t>
      </w:r>
      <w:r w:rsidRPr="00EB5D55">
        <w:rPr>
          <w:rFonts w:ascii="Calibri" w:hAnsi="Calibri"/>
          <w:sz w:val="22"/>
          <w:szCs w:val="22"/>
        </w:rPr>
        <w:t xml:space="preserve"> </w:t>
      </w:r>
      <w:r w:rsidR="008324CB">
        <w:rPr>
          <w:rFonts w:ascii="Calibri" w:hAnsi="Calibri"/>
          <w:sz w:val="22"/>
          <w:szCs w:val="22"/>
        </w:rPr>
        <w:t xml:space="preserve">and Figure </w:t>
      </w:r>
      <w:r w:rsidR="00BF62F3">
        <w:rPr>
          <w:rFonts w:ascii="Calibri" w:hAnsi="Calibri"/>
          <w:sz w:val="22"/>
          <w:szCs w:val="22"/>
        </w:rPr>
        <w:t>III-</w:t>
      </w:r>
      <w:r w:rsidR="00794293">
        <w:rPr>
          <w:rFonts w:ascii="Calibri" w:hAnsi="Calibri"/>
          <w:sz w:val="22"/>
          <w:szCs w:val="22"/>
        </w:rPr>
        <w:t>6</w:t>
      </w:r>
      <w:r w:rsidR="008324CB">
        <w:rPr>
          <w:rFonts w:ascii="Calibri" w:hAnsi="Calibri"/>
          <w:sz w:val="22"/>
          <w:szCs w:val="22"/>
        </w:rPr>
        <w:t xml:space="preserve"> </w:t>
      </w:r>
      <w:r w:rsidRPr="00EB5D55">
        <w:rPr>
          <w:rFonts w:ascii="Calibri" w:hAnsi="Calibri"/>
          <w:sz w:val="22"/>
          <w:szCs w:val="22"/>
        </w:rPr>
        <w:t xml:space="preserve">present income data based </w:t>
      </w:r>
      <w:r w:rsidR="00776F62">
        <w:rPr>
          <w:rFonts w:ascii="Calibri" w:hAnsi="Calibri"/>
          <w:sz w:val="22"/>
          <w:szCs w:val="22"/>
        </w:rPr>
        <w:t xml:space="preserve">on </w:t>
      </w:r>
      <w:r w:rsidR="008324CB">
        <w:rPr>
          <w:rFonts w:ascii="Calibri" w:hAnsi="Calibri"/>
          <w:sz w:val="22"/>
          <w:szCs w:val="22"/>
        </w:rPr>
        <w:t xml:space="preserve">census estimates, </w:t>
      </w:r>
      <w:r w:rsidR="008324CB" w:rsidRPr="00EB5D55">
        <w:rPr>
          <w:rFonts w:ascii="Calibri" w:hAnsi="Calibri"/>
          <w:sz w:val="22"/>
          <w:szCs w:val="22"/>
        </w:rPr>
        <w:t>reveal</w:t>
      </w:r>
      <w:r w:rsidR="008324CB">
        <w:rPr>
          <w:rFonts w:ascii="Calibri" w:hAnsi="Calibri"/>
          <w:sz w:val="22"/>
          <w:szCs w:val="22"/>
        </w:rPr>
        <w:t>ing</w:t>
      </w:r>
      <w:r w:rsidR="008324CB" w:rsidRPr="00EB5D55">
        <w:rPr>
          <w:rFonts w:ascii="Calibri" w:hAnsi="Calibri"/>
          <w:sz w:val="22"/>
          <w:szCs w:val="22"/>
        </w:rPr>
        <w:t xml:space="preserve"> huge</w:t>
      </w:r>
      <w:r w:rsidR="002856C0">
        <w:rPr>
          <w:rFonts w:ascii="Calibri" w:hAnsi="Calibri"/>
          <w:sz w:val="22"/>
          <w:szCs w:val="22"/>
        </w:rPr>
        <w:t xml:space="preserve"> increases </w:t>
      </w:r>
      <w:r w:rsidR="009557BB">
        <w:rPr>
          <w:rFonts w:ascii="Calibri" w:hAnsi="Calibri"/>
          <w:sz w:val="22"/>
          <w:szCs w:val="22"/>
        </w:rPr>
        <w:t xml:space="preserve">in </w:t>
      </w:r>
      <w:r w:rsidR="00BF62F3">
        <w:rPr>
          <w:rFonts w:ascii="Calibri" w:hAnsi="Calibri"/>
          <w:sz w:val="22"/>
          <w:szCs w:val="22"/>
        </w:rPr>
        <w:t>higher-income earners</w:t>
      </w:r>
      <w:r w:rsidR="008324CB" w:rsidRPr="00EB5D55">
        <w:rPr>
          <w:rFonts w:ascii="Calibri" w:hAnsi="Calibri"/>
          <w:sz w:val="22"/>
          <w:szCs w:val="22"/>
        </w:rPr>
        <w:t xml:space="preserve"> </w:t>
      </w:r>
      <w:r w:rsidR="002856C0">
        <w:rPr>
          <w:rFonts w:ascii="Calibri" w:hAnsi="Calibri"/>
          <w:sz w:val="22"/>
          <w:szCs w:val="22"/>
        </w:rPr>
        <w:t>over time</w:t>
      </w:r>
      <w:r w:rsidRPr="00EB5D55">
        <w:rPr>
          <w:rFonts w:ascii="Calibri" w:hAnsi="Calibri"/>
          <w:sz w:val="22"/>
          <w:szCs w:val="22"/>
        </w:rPr>
        <w:t xml:space="preserve">.  </w:t>
      </w:r>
      <w:r w:rsidR="008B2000">
        <w:rPr>
          <w:rFonts w:ascii="Calibri" w:hAnsi="Calibri"/>
          <w:sz w:val="22"/>
          <w:szCs w:val="22"/>
        </w:rPr>
        <w:t>Median i</w:t>
      </w:r>
      <w:r w:rsidR="00544641" w:rsidRPr="004F4680">
        <w:rPr>
          <w:rFonts w:ascii="Calibri" w:hAnsi="Calibri"/>
          <w:sz w:val="22"/>
          <w:szCs w:val="22"/>
        </w:rPr>
        <w:t>ncomes have increased substantially</w:t>
      </w:r>
      <w:r w:rsidR="00544641" w:rsidRPr="00EB5D55">
        <w:rPr>
          <w:rFonts w:ascii="Calibri" w:hAnsi="Calibri"/>
          <w:sz w:val="22"/>
          <w:szCs w:val="22"/>
        </w:rPr>
        <w:t xml:space="preserve">, with the median household income </w:t>
      </w:r>
      <w:r w:rsidR="002856C0">
        <w:rPr>
          <w:rFonts w:ascii="Calibri" w:hAnsi="Calibri"/>
          <w:sz w:val="22"/>
          <w:szCs w:val="22"/>
        </w:rPr>
        <w:t xml:space="preserve">increasing </w:t>
      </w:r>
      <w:r w:rsidR="00544641" w:rsidRPr="00EB5D55">
        <w:rPr>
          <w:rFonts w:ascii="Calibri" w:hAnsi="Calibri"/>
          <w:sz w:val="22"/>
          <w:szCs w:val="22"/>
        </w:rPr>
        <w:t>from $60,357 to $88,079, or by 46%</w:t>
      </w:r>
      <w:r w:rsidR="002856C0">
        <w:rPr>
          <w:rFonts w:ascii="Calibri" w:hAnsi="Calibri"/>
          <w:sz w:val="22"/>
          <w:szCs w:val="22"/>
        </w:rPr>
        <w:t xml:space="preserve"> between 1989 and 1999, and growing by 3</w:t>
      </w:r>
      <w:r w:rsidR="00544641" w:rsidRPr="00EB5D55">
        <w:rPr>
          <w:rFonts w:ascii="Calibri" w:hAnsi="Calibri"/>
          <w:sz w:val="22"/>
          <w:szCs w:val="22"/>
        </w:rPr>
        <w:t>0% between 1999 and 201</w:t>
      </w:r>
      <w:r w:rsidR="002856C0">
        <w:rPr>
          <w:rFonts w:ascii="Calibri" w:hAnsi="Calibri"/>
          <w:sz w:val="22"/>
          <w:szCs w:val="22"/>
        </w:rPr>
        <w:t>0</w:t>
      </w:r>
      <w:r w:rsidR="00544641" w:rsidRPr="00EB5D55">
        <w:rPr>
          <w:rFonts w:ascii="Calibri" w:hAnsi="Calibri"/>
          <w:sz w:val="22"/>
          <w:szCs w:val="22"/>
        </w:rPr>
        <w:t xml:space="preserve"> to $</w:t>
      </w:r>
      <w:r w:rsidR="002856C0">
        <w:rPr>
          <w:rFonts w:ascii="Calibri" w:hAnsi="Calibri"/>
          <w:sz w:val="22"/>
          <w:szCs w:val="22"/>
        </w:rPr>
        <w:t>114,365. The 20</w:t>
      </w:r>
      <w:r w:rsidR="00805567">
        <w:rPr>
          <w:rFonts w:ascii="Calibri" w:hAnsi="Calibri"/>
          <w:sz w:val="22"/>
          <w:szCs w:val="22"/>
        </w:rPr>
        <w:t>20</w:t>
      </w:r>
      <w:r w:rsidR="002856C0">
        <w:rPr>
          <w:rFonts w:ascii="Calibri" w:hAnsi="Calibri"/>
          <w:sz w:val="22"/>
          <w:szCs w:val="22"/>
        </w:rPr>
        <w:t xml:space="preserve"> census estimates indicate a</w:t>
      </w:r>
      <w:r w:rsidR="007D00DA">
        <w:rPr>
          <w:rFonts w:ascii="Calibri" w:hAnsi="Calibri"/>
          <w:sz w:val="22"/>
          <w:szCs w:val="22"/>
        </w:rPr>
        <w:t xml:space="preserve"> </w:t>
      </w:r>
      <w:r w:rsidR="000D4397">
        <w:rPr>
          <w:rFonts w:ascii="Calibri" w:hAnsi="Calibri"/>
          <w:sz w:val="22"/>
          <w:szCs w:val="22"/>
        </w:rPr>
        <w:t>5</w:t>
      </w:r>
      <w:r w:rsidR="007D00DA">
        <w:rPr>
          <w:rFonts w:ascii="Calibri" w:hAnsi="Calibri"/>
          <w:sz w:val="22"/>
          <w:szCs w:val="22"/>
        </w:rPr>
        <w:t>3</w:t>
      </w:r>
      <w:r w:rsidR="002856C0">
        <w:rPr>
          <w:rFonts w:ascii="Calibri" w:hAnsi="Calibri"/>
          <w:sz w:val="22"/>
          <w:szCs w:val="22"/>
        </w:rPr>
        <w:t xml:space="preserve">% growth in median </w:t>
      </w:r>
      <w:r w:rsidR="00776F62">
        <w:rPr>
          <w:rFonts w:ascii="Calibri" w:hAnsi="Calibri"/>
          <w:sz w:val="22"/>
          <w:szCs w:val="22"/>
        </w:rPr>
        <w:t xml:space="preserve">household </w:t>
      </w:r>
      <w:r w:rsidR="002856C0">
        <w:rPr>
          <w:rFonts w:ascii="Calibri" w:hAnsi="Calibri"/>
          <w:sz w:val="22"/>
          <w:szCs w:val="22"/>
        </w:rPr>
        <w:t xml:space="preserve">income </w:t>
      </w:r>
      <w:r w:rsidR="007D00DA">
        <w:rPr>
          <w:rFonts w:ascii="Calibri" w:hAnsi="Calibri"/>
          <w:sz w:val="22"/>
          <w:szCs w:val="22"/>
        </w:rPr>
        <w:t xml:space="preserve">since 2010 </w:t>
      </w:r>
      <w:r w:rsidR="002856C0">
        <w:rPr>
          <w:rFonts w:ascii="Calibri" w:hAnsi="Calibri"/>
          <w:sz w:val="22"/>
          <w:szCs w:val="22"/>
        </w:rPr>
        <w:t>to $</w:t>
      </w:r>
      <w:r w:rsidR="00805567">
        <w:rPr>
          <w:rFonts w:ascii="Calibri" w:hAnsi="Calibri"/>
          <w:sz w:val="22"/>
          <w:szCs w:val="22"/>
        </w:rPr>
        <w:t>174,707</w:t>
      </w:r>
      <w:r w:rsidR="002856C0">
        <w:rPr>
          <w:rFonts w:ascii="Calibri" w:hAnsi="Calibri"/>
          <w:sz w:val="22"/>
          <w:szCs w:val="22"/>
        </w:rPr>
        <w:t xml:space="preserve">, </w:t>
      </w:r>
      <w:r w:rsidR="00A97903">
        <w:rPr>
          <w:rFonts w:ascii="Calibri" w:hAnsi="Calibri"/>
          <w:sz w:val="22"/>
          <w:szCs w:val="22"/>
        </w:rPr>
        <w:t>more than</w:t>
      </w:r>
      <w:r w:rsidR="00235923">
        <w:rPr>
          <w:rFonts w:ascii="Calibri" w:hAnsi="Calibri"/>
          <w:sz w:val="22"/>
          <w:szCs w:val="22"/>
        </w:rPr>
        <w:t xml:space="preserve"> </w:t>
      </w:r>
      <w:r w:rsidR="002856C0">
        <w:rPr>
          <w:rFonts w:ascii="Calibri" w:hAnsi="Calibri"/>
          <w:sz w:val="22"/>
          <w:szCs w:val="22"/>
        </w:rPr>
        <w:t>twice the rate of inflation of 1</w:t>
      </w:r>
      <w:r w:rsidR="00827A3A">
        <w:rPr>
          <w:rFonts w:ascii="Calibri" w:hAnsi="Calibri"/>
          <w:sz w:val="22"/>
          <w:szCs w:val="22"/>
        </w:rPr>
        <w:t>8.</w:t>
      </w:r>
      <w:r w:rsidR="00A97903">
        <w:rPr>
          <w:rFonts w:ascii="Calibri" w:hAnsi="Calibri"/>
          <w:sz w:val="22"/>
          <w:szCs w:val="22"/>
        </w:rPr>
        <w:t>7</w:t>
      </w:r>
      <w:r w:rsidR="002856C0">
        <w:rPr>
          <w:rFonts w:ascii="Calibri" w:hAnsi="Calibri"/>
          <w:sz w:val="22"/>
          <w:szCs w:val="22"/>
        </w:rPr>
        <w:t>%.</w:t>
      </w:r>
      <w:r w:rsidR="0018456B">
        <w:rPr>
          <w:rFonts w:ascii="Calibri" w:hAnsi="Calibri"/>
          <w:sz w:val="22"/>
          <w:szCs w:val="22"/>
        </w:rPr>
        <w:t xml:space="preserve">  Moreover, Needham’s median household income was considerably higher than the county and state levels of $</w:t>
      </w:r>
      <w:r w:rsidR="002338B9">
        <w:rPr>
          <w:rFonts w:ascii="Calibri" w:hAnsi="Calibri"/>
          <w:sz w:val="22"/>
          <w:szCs w:val="22"/>
        </w:rPr>
        <w:t>105,320</w:t>
      </w:r>
      <w:r w:rsidR="0018456B">
        <w:rPr>
          <w:rFonts w:ascii="Calibri" w:hAnsi="Calibri"/>
          <w:sz w:val="22"/>
          <w:szCs w:val="22"/>
        </w:rPr>
        <w:t xml:space="preserve"> and $</w:t>
      </w:r>
      <w:r w:rsidR="002338B9">
        <w:rPr>
          <w:rFonts w:ascii="Calibri" w:hAnsi="Calibri"/>
          <w:sz w:val="22"/>
          <w:szCs w:val="22"/>
        </w:rPr>
        <w:t>84,385</w:t>
      </w:r>
      <w:r w:rsidR="0018456B">
        <w:rPr>
          <w:rFonts w:ascii="Calibri" w:hAnsi="Calibri"/>
          <w:sz w:val="22"/>
          <w:szCs w:val="22"/>
        </w:rPr>
        <w:t>, respectively.</w:t>
      </w:r>
    </w:p>
    <w:p w14:paraId="4EDD7A76" w14:textId="77777777" w:rsidR="002856C0" w:rsidRDefault="002856C0" w:rsidP="00303F30">
      <w:pPr>
        <w:pStyle w:val="BodyTextIndent"/>
        <w:spacing w:after="0"/>
        <w:ind w:left="0"/>
        <w:jc w:val="both"/>
        <w:rPr>
          <w:rFonts w:ascii="Calibri" w:hAnsi="Calibri"/>
          <w:sz w:val="22"/>
          <w:szCs w:val="22"/>
        </w:rPr>
      </w:pPr>
    </w:p>
    <w:p w14:paraId="21AFCEDF" w14:textId="5FD1AB59" w:rsidR="00544641" w:rsidRPr="009C0561" w:rsidRDefault="00544641" w:rsidP="00303F30">
      <w:pPr>
        <w:pStyle w:val="BodyTextIndent"/>
        <w:spacing w:after="0"/>
        <w:ind w:left="0"/>
        <w:jc w:val="both"/>
        <w:rPr>
          <w:rFonts w:ascii="Calibri" w:hAnsi="Calibri"/>
          <w:b/>
          <w:sz w:val="22"/>
          <w:szCs w:val="22"/>
        </w:rPr>
      </w:pPr>
      <w:r w:rsidRPr="00EB5D55">
        <w:rPr>
          <w:rFonts w:ascii="Calibri" w:hAnsi="Calibri"/>
          <w:sz w:val="22"/>
          <w:szCs w:val="22"/>
        </w:rPr>
        <w:t xml:space="preserve">In 1989, about 40% of all households </w:t>
      </w:r>
      <w:r w:rsidR="0064089C">
        <w:rPr>
          <w:rFonts w:ascii="Calibri" w:hAnsi="Calibri"/>
          <w:sz w:val="22"/>
          <w:szCs w:val="22"/>
        </w:rPr>
        <w:t xml:space="preserve">had incomes of </w:t>
      </w:r>
      <w:r w:rsidRPr="00EB5D55">
        <w:rPr>
          <w:rFonts w:ascii="Calibri" w:hAnsi="Calibri"/>
          <w:sz w:val="22"/>
          <w:szCs w:val="22"/>
        </w:rPr>
        <w:t>less than $50,000</w:t>
      </w:r>
      <w:r w:rsidR="009C0561">
        <w:rPr>
          <w:rFonts w:ascii="Calibri" w:hAnsi="Calibri"/>
          <w:sz w:val="22"/>
          <w:szCs w:val="22"/>
        </w:rPr>
        <w:t>, decreasing to 1</w:t>
      </w:r>
      <w:r w:rsidR="002F13C6">
        <w:rPr>
          <w:rFonts w:ascii="Calibri" w:hAnsi="Calibri"/>
          <w:sz w:val="22"/>
          <w:szCs w:val="22"/>
        </w:rPr>
        <w:t>5</w:t>
      </w:r>
      <w:r w:rsidR="007D00DA">
        <w:rPr>
          <w:rFonts w:ascii="Calibri" w:hAnsi="Calibri"/>
          <w:sz w:val="22"/>
          <w:szCs w:val="22"/>
        </w:rPr>
        <w:t>.1</w:t>
      </w:r>
      <w:r w:rsidR="009C0561">
        <w:rPr>
          <w:rFonts w:ascii="Calibri" w:hAnsi="Calibri"/>
          <w:sz w:val="22"/>
          <w:szCs w:val="22"/>
        </w:rPr>
        <w:t>% b</w:t>
      </w:r>
      <w:r w:rsidRPr="00EB5D55">
        <w:rPr>
          <w:rFonts w:ascii="Calibri" w:hAnsi="Calibri"/>
          <w:sz w:val="22"/>
          <w:szCs w:val="22"/>
        </w:rPr>
        <w:t>y 20</w:t>
      </w:r>
      <w:r w:rsidR="007D00DA">
        <w:rPr>
          <w:rFonts w:ascii="Calibri" w:hAnsi="Calibri"/>
          <w:sz w:val="22"/>
          <w:szCs w:val="22"/>
        </w:rPr>
        <w:t>20</w:t>
      </w:r>
      <w:r w:rsidRPr="00EB5D55">
        <w:rPr>
          <w:rFonts w:ascii="Calibri" w:hAnsi="Calibri"/>
          <w:sz w:val="22"/>
          <w:szCs w:val="22"/>
        </w:rPr>
        <w:t>.  There were decreases in the numbers and percentages of households in all income ranges of less than $100,000 between 1989 and 20</w:t>
      </w:r>
      <w:r w:rsidR="007D00DA">
        <w:rPr>
          <w:rFonts w:ascii="Calibri" w:hAnsi="Calibri"/>
          <w:sz w:val="22"/>
          <w:szCs w:val="22"/>
        </w:rPr>
        <w:t>20</w:t>
      </w:r>
      <w:r w:rsidRPr="00EB5D55">
        <w:rPr>
          <w:rFonts w:ascii="Calibri" w:hAnsi="Calibri"/>
          <w:sz w:val="22"/>
          <w:szCs w:val="22"/>
        </w:rPr>
        <w:t>, with</w:t>
      </w:r>
      <w:r w:rsidR="007D00DA">
        <w:rPr>
          <w:rFonts w:ascii="Calibri" w:hAnsi="Calibri"/>
          <w:sz w:val="22"/>
          <w:szCs w:val="22"/>
        </w:rPr>
        <w:t xml:space="preserve"> </w:t>
      </w:r>
      <w:r w:rsidRPr="00EB5D55">
        <w:rPr>
          <w:rFonts w:ascii="Calibri" w:hAnsi="Calibri"/>
          <w:sz w:val="22"/>
          <w:szCs w:val="22"/>
        </w:rPr>
        <w:t xml:space="preserve">78.4% of all households earning less than $100,000 in 1989 compared to </w:t>
      </w:r>
      <w:r w:rsidR="009C0561">
        <w:rPr>
          <w:rFonts w:ascii="Calibri" w:hAnsi="Calibri"/>
          <w:sz w:val="22"/>
          <w:szCs w:val="22"/>
        </w:rPr>
        <w:t>3</w:t>
      </w:r>
      <w:r w:rsidR="00235923">
        <w:rPr>
          <w:rFonts w:ascii="Calibri" w:hAnsi="Calibri"/>
          <w:sz w:val="22"/>
          <w:szCs w:val="22"/>
        </w:rPr>
        <w:t>0</w:t>
      </w:r>
      <w:r w:rsidRPr="00EB5D55">
        <w:rPr>
          <w:rFonts w:ascii="Calibri" w:hAnsi="Calibri"/>
          <w:sz w:val="22"/>
          <w:szCs w:val="22"/>
        </w:rPr>
        <w:t>% by 20</w:t>
      </w:r>
      <w:r w:rsidR="007D00DA">
        <w:rPr>
          <w:rFonts w:ascii="Calibri" w:hAnsi="Calibri"/>
          <w:sz w:val="22"/>
          <w:szCs w:val="22"/>
        </w:rPr>
        <w:t>20</w:t>
      </w:r>
      <w:r w:rsidRPr="00EB5D55">
        <w:rPr>
          <w:rFonts w:ascii="Calibri" w:hAnsi="Calibri"/>
          <w:sz w:val="22"/>
          <w:szCs w:val="22"/>
        </w:rPr>
        <w:t xml:space="preserve">.  </w:t>
      </w:r>
      <w:r w:rsidRPr="009C0561">
        <w:rPr>
          <w:rFonts w:ascii="Calibri" w:hAnsi="Calibri"/>
          <w:b/>
          <w:sz w:val="22"/>
          <w:szCs w:val="22"/>
        </w:rPr>
        <w:t xml:space="preserve">On the other hand, 21.6% of all households earned </w:t>
      </w:r>
      <w:r w:rsidR="009557BB">
        <w:rPr>
          <w:rFonts w:ascii="Calibri" w:hAnsi="Calibri"/>
          <w:b/>
          <w:sz w:val="22"/>
          <w:szCs w:val="22"/>
        </w:rPr>
        <w:t>more than</w:t>
      </w:r>
      <w:r w:rsidRPr="009C0561">
        <w:rPr>
          <w:rFonts w:ascii="Calibri" w:hAnsi="Calibri"/>
          <w:b/>
          <w:sz w:val="22"/>
          <w:szCs w:val="22"/>
        </w:rPr>
        <w:t xml:space="preserve"> $100,000 in 1989</w:t>
      </w:r>
      <w:r w:rsidR="00C152A8">
        <w:rPr>
          <w:rFonts w:ascii="Calibri" w:hAnsi="Calibri"/>
          <w:b/>
          <w:sz w:val="22"/>
          <w:szCs w:val="22"/>
        </w:rPr>
        <w:t>, increasing</w:t>
      </w:r>
      <w:r w:rsidR="00776F62">
        <w:rPr>
          <w:rFonts w:ascii="Calibri" w:hAnsi="Calibri"/>
          <w:b/>
          <w:sz w:val="22"/>
          <w:szCs w:val="22"/>
        </w:rPr>
        <w:t xml:space="preserve"> </w:t>
      </w:r>
      <w:r w:rsidR="009C0561" w:rsidRPr="009C0561">
        <w:rPr>
          <w:rFonts w:ascii="Calibri" w:hAnsi="Calibri"/>
          <w:b/>
          <w:sz w:val="22"/>
          <w:szCs w:val="22"/>
        </w:rPr>
        <w:t xml:space="preserve">to </w:t>
      </w:r>
      <w:r w:rsidR="00235923">
        <w:rPr>
          <w:rFonts w:ascii="Calibri" w:hAnsi="Calibri"/>
          <w:b/>
          <w:sz w:val="22"/>
          <w:szCs w:val="22"/>
        </w:rPr>
        <w:t>70%</w:t>
      </w:r>
      <w:r w:rsidR="009C0561" w:rsidRPr="009C0561">
        <w:rPr>
          <w:rFonts w:ascii="Calibri" w:hAnsi="Calibri"/>
          <w:b/>
          <w:sz w:val="22"/>
          <w:szCs w:val="22"/>
        </w:rPr>
        <w:t xml:space="preserve"> by 20</w:t>
      </w:r>
      <w:r w:rsidR="007D00DA">
        <w:rPr>
          <w:rFonts w:ascii="Calibri" w:hAnsi="Calibri"/>
          <w:b/>
          <w:sz w:val="22"/>
          <w:szCs w:val="22"/>
        </w:rPr>
        <w:t>20</w:t>
      </w:r>
      <w:r w:rsidR="009C0561" w:rsidRPr="009C0561">
        <w:rPr>
          <w:rFonts w:ascii="Calibri" w:hAnsi="Calibri"/>
          <w:b/>
          <w:sz w:val="22"/>
          <w:szCs w:val="22"/>
        </w:rPr>
        <w:t>.</w:t>
      </w:r>
    </w:p>
    <w:p w14:paraId="709FF7DB" w14:textId="77777777" w:rsidR="00544641" w:rsidRPr="00EB5D55" w:rsidRDefault="00544641" w:rsidP="00303F30">
      <w:pPr>
        <w:pStyle w:val="BodyTextIndent"/>
        <w:spacing w:after="0"/>
        <w:ind w:left="0" w:right="-720"/>
        <w:jc w:val="both"/>
        <w:rPr>
          <w:rFonts w:ascii="Calibri" w:hAnsi="Calibri"/>
          <w:sz w:val="22"/>
          <w:szCs w:val="22"/>
        </w:rPr>
      </w:pPr>
    </w:p>
    <w:p w14:paraId="43F48B43" w14:textId="23F3CD1E" w:rsidR="008772FC" w:rsidRPr="00EB5D55" w:rsidRDefault="008772FC" w:rsidP="008772FC">
      <w:pPr>
        <w:pStyle w:val="BodyTextIndent"/>
        <w:spacing w:after="0"/>
        <w:ind w:left="0" w:right="-720"/>
        <w:jc w:val="center"/>
        <w:rPr>
          <w:rFonts w:ascii="Calibri" w:hAnsi="Calibri"/>
          <w:b/>
          <w:sz w:val="22"/>
          <w:szCs w:val="22"/>
        </w:rPr>
      </w:pPr>
      <w:r w:rsidRPr="00EB5D55">
        <w:rPr>
          <w:rFonts w:ascii="Calibri" w:hAnsi="Calibri"/>
          <w:b/>
          <w:sz w:val="22"/>
          <w:szCs w:val="22"/>
        </w:rPr>
        <w:t>Table</w:t>
      </w:r>
      <w:r w:rsidR="008324CB">
        <w:rPr>
          <w:rFonts w:ascii="Calibri" w:hAnsi="Calibri"/>
          <w:b/>
          <w:sz w:val="22"/>
          <w:szCs w:val="22"/>
        </w:rPr>
        <w:t xml:space="preserve"> </w:t>
      </w:r>
      <w:r w:rsidR="00182CAF">
        <w:rPr>
          <w:rFonts w:ascii="Calibri" w:hAnsi="Calibri"/>
          <w:b/>
          <w:sz w:val="22"/>
          <w:szCs w:val="22"/>
        </w:rPr>
        <w:t>III-12</w:t>
      </w:r>
      <w:r w:rsidRPr="00EB5D55">
        <w:rPr>
          <w:rFonts w:ascii="Calibri" w:hAnsi="Calibri"/>
          <w:b/>
          <w:sz w:val="22"/>
          <w:szCs w:val="22"/>
        </w:rPr>
        <w:t>: Household Income Distribution, 1989 to 20</w:t>
      </w:r>
      <w:r w:rsidR="006A6C86">
        <w:rPr>
          <w:rFonts w:ascii="Calibri" w:hAnsi="Calibri"/>
          <w:b/>
          <w:sz w:val="22"/>
          <w:szCs w:val="22"/>
        </w:rPr>
        <w:t>20</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5"/>
        <w:gridCol w:w="868"/>
        <w:gridCol w:w="884"/>
        <w:gridCol w:w="1103"/>
        <w:gridCol w:w="1070"/>
        <w:gridCol w:w="917"/>
        <w:gridCol w:w="954"/>
        <w:gridCol w:w="1001"/>
        <w:gridCol w:w="980"/>
      </w:tblGrid>
      <w:tr w:rsidR="004B757B" w:rsidRPr="004E50E7" w14:paraId="1F6FE100" w14:textId="77777777" w:rsidTr="009C0561">
        <w:trPr>
          <w:cantSplit/>
        </w:trPr>
        <w:tc>
          <w:tcPr>
            <w:tcW w:w="1697" w:type="dxa"/>
            <w:vMerge w:val="restart"/>
            <w:tcBorders>
              <w:top w:val="single" w:sz="4" w:space="0" w:color="auto"/>
              <w:left w:val="single" w:sz="4" w:space="0" w:color="auto"/>
            </w:tcBorders>
          </w:tcPr>
          <w:p w14:paraId="178F692D" w14:textId="77777777" w:rsidR="004B757B" w:rsidRPr="004E50E7" w:rsidRDefault="004B757B" w:rsidP="008F2513">
            <w:pPr>
              <w:rPr>
                <w:rFonts w:ascii="Calibri" w:hAnsi="Calibri"/>
                <w:b/>
                <w:bCs/>
              </w:rPr>
            </w:pPr>
            <w:r w:rsidRPr="004E50E7">
              <w:rPr>
                <w:rFonts w:ascii="Calibri" w:hAnsi="Calibri"/>
                <w:b/>
                <w:bCs/>
                <w:sz w:val="22"/>
              </w:rPr>
              <w:t>Income Range</w:t>
            </w:r>
          </w:p>
        </w:tc>
        <w:tc>
          <w:tcPr>
            <w:tcW w:w="1777" w:type="dxa"/>
            <w:gridSpan w:val="2"/>
          </w:tcPr>
          <w:p w14:paraId="73C2A309" w14:textId="77777777" w:rsidR="004B757B" w:rsidRPr="004E50E7" w:rsidRDefault="004B757B" w:rsidP="008F2513">
            <w:pPr>
              <w:jc w:val="center"/>
              <w:rPr>
                <w:rFonts w:ascii="Calibri" w:hAnsi="Calibri"/>
                <w:b/>
                <w:bCs/>
              </w:rPr>
            </w:pPr>
            <w:r w:rsidRPr="004E50E7">
              <w:rPr>
                <w:rFonts w:ascii="Calibri" w:hAnsi="Calibri"/>
                <w:b/>
                <w:bCs/>
                <w:sz w:val="22"/>
              </w:rPr>
              <w:t>1989</w:t>
            </w:r>
          </w:p>
        </w:tc>
        <w:tc>
          <w:tcPr>
            <w:tcW w:w="2237" w:type="dxa"/>
            <w:gridSpan w:val="2"/>
          </w:tcPr>
          <w:p w14:paraId="0CF5793F" w14:textId="77777777" w:rsidR="004B757B" w:rsidRPr="004E50E7" w:rsidRDefault="004B757B" w:rsidP="008F2513">
            <w:pPr>
              <w:jc w:val="center"/>
              <w:rPr>
                <w:rFonts w:ascii="Calibri" w:hAnsi="Calibri"/>
                <w:b/>
                <w:bCs/>
              </w:rPr>
            </w:pPr>
            <w:r w:rsidRPr="004E50E7">
              <w:rPr>
                <w:rFonts w:ascii="Calibri" w:hAnsi="Calibri"/>
                <w:b/>
                <w:bCs/>
                <w:sz w:val="22"/>
              </w:rPr>
              <w:t>1999</w:t>
            </w:r>
          </w:p>
        </w:tc>
        <w:tc>
          <w:tcPr>
            <w:tcW w:w="1909" w:type="dxa"/>
            <w:gridSpan w:val="2"/>
          </w:tcPr>
          <w:p w14:paraId="40392BCC" w14:textId="77777777" w:rsidR="004B757B" w:rsidRDefault="004B757B" w:rsidP="0044066F">
            <w:pPr>
              <w:jc w:val="center"/>
              <w:rPr>
                <w:rFonts w:ascii="Calibri" w:hAnsi="Calibri"/>
                <w:b/>
                <w:bCs/>
              </w:rPr>
            </w:pPr>
            <w:r>
              <w:rPr>
                <w:rFonts w:ascii="Calibri" w:hAnsi="Calibri"/>
                <w:b/>
                <w:bCs/>
                <w:sz w:val="22"/>
              </w:rPr>
              <w:t>2010</w:t>
            </w:r>
          </w:p>
        </w:tc>
        <w:tc>
          <w:tcPr>
            <w:tcW w:w="2028" w:type="dxa"/>
            <w:gridSpan w:val="2"/>
            <w:shd w:val="clear" w:color="auto" w:fill="auto"/>
          </w:tcPr>
          <w:p w14:paraId="6C51F6A4" w14:textId="0BA3434D" w:rsidR="004B757B" w:rsidRPr="004E50E7" w:rsidRDefault="004B757B" w:rsidP="0044066F">
            <w:pPr>
              <w:jc w:val="center"/>
              <w:rPr>
                <w:rFonts w:ascii="Calibri" w:hAnsi="Calibri"/>
                <w:b/>
                <w:bCs/>
              </w:rPr>
            </w:pPr>
            <w:r>
              <w:rPr>
                <w:rFonts w:ascii="Calibri" w:hAnsi="Calibri"/>
                <w:b/>
                <w:bCs/>
                <w:sz w:val="22"/>
              </w:rPr>
              <w:t>20</w:t>
            </w:r>
            <w:r w:rsidR="006A6C86">
              <w:rPr>
                <w:rFonts w:ascii="Calibri" w:hAnsi="Calibri"/>
                <w:b/>
                <w:bCs/>
                <w:sz w:val="22"/>
              </w:rPr>
              <w:t>20</w:t>
            </w:r>
          </w:p>
        </w:tc>
      </w:tr>
      <w:tr w:rsidR="004B757B" w:rsidRPr="004E50E7" w14:paraId="601D4966" w14:textId="77777777" w:rsidTr="009C0561">
        <w:trPr>
          <w:cantSplit/>
        </w:trPr>
        <w:tc>
          <w:tcPr>
            <w:tcW w:w="1697" w:type="dxa"/>
            <w:vMerge/>
            <w:tcBorders>
              <w:left w:val="single" w:sz="4" w:space="0" w:color="auto"/>
            </w:tcBorders>
          </w:tcPr>
          <w:p w14:paraId="22177460" w14:textId="77777777" w:rsidR="004B757B" w:rsidRPr="004E50E7" w:rsidRDefault="004B757B" w:rsidP="008F2513">
            <w:pPr>
              <w:rPr>
                <w:rFonts w:ascii="Calibri" w:hAnsi="Calibri"/>
              </w:rPr>
            </w:pPr>
          </w:p>
        </w:tc>
        <w:tc>
          <w:tcPr>
            <w:tcW w:w="875" w:type="dxa"/>
          </w:tcPr>
          <w:p w14:paraId="78D84344" w14:textId="77777777" w:rsidR="004B757B" w:rsidRPr="004E50E7" w:rsidRDefault="004B757B" w:rsidP="008F2513">
            <w:pPr>
              <w:pStyle w:val="Footer"/>
              <w:jc w:val="center"/>
              <w:rPr>
                <w:rFonts w:ascii="Calibri" w:hAnsi="Calibri"/>
                <w:b/>
                <w:bCs/>
              </w:rPr>
            </w:pPr>
            <w:r w:rsidRPr="004E50E7">
              <w:rPr>
                <w:rFonts w:ascii="Calibri" w:hAnsi="Calibri"/>
                <w:b/>
                <w:bCs/>
                <w:sz w:val="22"/>
              </w:rPr>
              <w:t>#</w:t>
            </w:r>
          </w:p>
        </w:tc>
        <w:tc>
          <w:tcPr>
            <w:tcW w:w="902" w:type="dxa"/>
          </w:tcPr>
          <w:p w14:paraId="1B9970FB"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1132" w:type="dxa"/>
          </w:tcPr>
          <w:p w14:paraId="68900899"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1105" w:type="dxa"/>
          </w:tcPr>
          <w:p w14:paraId="78A6D75B" w14:textId="77777777" w:rsidR="004B757B" w:rsidRPr="004E50E7" w:rsidRDefault="004B757B" w:rsidP="008F2513">
            <w:pPr>
              <w:jc w:val="center"/>
              <w:rPr>
                <w:rFonts w:ascii="Calibri" w:hAnsi="Calibri"/>
                <w:b/>
                <w:bCs/>
              </w:rPr>
            </w:pPr>
            <w:r w:rsidRPr="004E50E7">
              <w:rPr>
                <w:rFonts w:ascii="Calibri" w:hAnsi="Calibri"/>
                <w:b/>
                <w:bCs/>
                <w:sz w:val="22"/>
              </w:rPr>
              <w:t>%</w:t>
            </w:r>
          </w:p>
        </w:tc>
        <w:tc>
          <w:tcPr>
            <w:tcW w:w="930" w:type="dxa"/>
          </w:tcPr>
          <w:p w14:paraId="33A0AEFA" w14:textId="77777777" w:rsidR="004B757B" w:rsidRPr="004E50E7" w:rsidRDefault="004B757B" w:rsidP="00FC5462">
            <w:pPr>
              <w:pStyle w:val="Footer"/>
              <w:jc w:val="center"/>
              <w:rPr>
                <w:rFonts w:ascii="Calibri" w:hAnsi="Calibri"/>
                <w:b/>
                <w:bCs/>
              </w:rPr>
            </w:pPr>
            <w:r w:rsidRPr="004E50E7">
              <w:rPr>
                <w:rFonts w:ascii="Calibri" w:hAnsi="Calibri"/>
                <w:b/>
                <w:bCs/>
                <w:sz w:val="22"/>
              </w:rPr>
              <w:t>#</w:t>
            </w:r>
          </w:p>
        </w:tc>
        <w:tc>
          <w:tcPr>
            <w:tcW w:w="979" w:type="dxa"/>
          </w:tcPr>
          <w:p w14:paraId="36657C78" w14:textId="77777777" w:rsidR="004B757B" w:rsidRPr="004E50E7" w:rsidRDefault="004B757B" w:rsidP="00FC5462">
            <w:pPr>
              <w:jc w:val="center"/>
              <w:rPr>
                <w:rFonts w:ascii="Calibri" w:hAnsi="Calibri"/>
                <w:b/>
                <w:bCs/>
              </w:rPr>
            </w:pPr>
            <w:r w:rsidRPr="004E50E7">
              <w:rPr>
                <w:rFonts w:ascii="Calibri" w:hAnsi="Calibri"/>
                <w:b/>
                <w:bCs/>
                <w:sz w:val="22"/>
              </w:rPr>
              <w:t>%</w:t>
            </w:r>
          </w:p>
        </w:tc>
        <w:tc>
          <w:tcPr>
            <w:tcW w:w="1021" w:type="dxa"/>
            <w:shd w:val="clear" w:color="auto" w:fill="auto"/>
          </w:tcPr>
          <w:p w14:paraId="6E64E4A7" w14:textId="77777777" w:rsidR="004B757B" w:rsidRPr="004E50E7" w:rsidRDefault="004B757B" w:rsidP="00FC5462">
            <w:pPr>
              <w:jc w:val="center"/>
              <w:rPr>
                <w:rFonts w:ascii="Calibri" w:hAnsi="Calibri"/>
                <w:b/>
                <w:bCs/>
              </w:rPr>
            </w:pPr>
            <w:r w:rsidRPr="004E50E7">
              <w:rPr>
                <w:rFonts w:ascii="Calibri" w:hAnsi="Calibri"/>
                <w:b/>
                <w:bCs/>
                <w:sz w:val="22"/>
              </w:rPr>
              <w:t>#</w:t>
            </w:r>
          </w:p>
        </w:tc>
        <w:tc>
          <w:tcPr>
            <w:tcW w:w="1007" w:type="dxa"/>
            <w:shd w:val="clear" w:color="auto" w:fill="auto"/>
          </w:tcPr>
          <w:p w14:paraId="2FA4CB70" w14:textId="77777777" w:rsidR="004B757B" w:rsidRPr="004E50E7" w:rsidRDefault="004B757B" w:rsidP="00FC5462">
            <w:pPr>
              <w:jc w:val="center"/>
              <w:rPr>
                <w:rFonts w:ascii="Calibri" w:hAnsi="Calibri"/>
                <w:b/>
                <w:bCs/>
              </w:rPr>
            </w:pPr>
            <w:r w:rsidRPr="004E50E7">
              <w:rPr>
                <w:rFonts w:ascii="Calibri" w:hAnsi="Calibri"/>
                <w:b/>
                <w:bCs/>
                <w:sz w:val="22"/>
              </w:rPr>
              <w:t>%</w:t>
            </w:r>
          </w:p>
        </w:tc>
      </w:tr>
      <w:tr w:rsidR="004B757B" w:rsidRPr="00EB5D55" w14:paraId="4A21CC6F" w14:textId="77777777" w:rsidTr="009C0561">
        <w:tc>
          <w:tcPr>
            <w:tcW w:w="1697" w:type="dxa"/>
          </w:tcPr>
          <w:p w14:paraId="5E95B35B" w14:textId="77777777" w:rsidR="004B757B" w:rsidRPr="00EB5D55" w:rsidRDefault="004B757B" w:rsidP="008F2513">
            <w:pPr>
              <w:pStyle w:val="BodyTextIndent"/>
              <w:spacing w:after="0"/>
              <w:ind w:left="0" w:right="-720"/>
              <w:rPr>
                <w:rFonts w:ascii="Calibri" w:hAnsi="Calibri"/>
                <w:sz w:val="20"/>
                <w:szCs w:val="20"/>
              </w:rPr>
            </w:pPr>
            <w:r w:rsidRPr="00EB5D55">
              <w:rPr>
                <w:rFonts w:ascii="Calibri" w:hAnsi="Calibri"/>
                <w:sz w:val="20"/>
                <w:szCs w:val="20"/>
              </w:rPr>
              <w:t>Under $10,000</w:t>
            </w:r>
          </w:p>
        </w:tc>
        <w:tc>
          <w:tcPr>
            <w:tcW w:w="875" w:type="dxa"/>
          </w:tcPr>
          <w:p w14:paraId="300E9A14"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647</w:t>
            </w:r>
          </w:p>
        </w:tc>
        <w:tc>
          <w:tcPr>
            <w:tcW w:w="902" w:type="dxa"/>
          </w:tcPr>
          <w:p w14:paraId="3B39B9F2"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6.3</w:t>
            </w:r>
          </w:p>
        </w:tc>
        <w:tc>
          <w:tcPr>
            <w:tcW w:w="1132" w:type="dxa"/>
          </w:tcPr>
          <w:p w14:paraId="309F5A19"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464</w:t>
            </w:r>
          </w:p>
        </w:tc>
        <w:tc>
          <w:tcPr>
            <w:tcW w:w="1105" w:type="dxa"/>
          </w:tcPr>
          <w:p w14:paraId="6C503B1C"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4.4</w:t>
            </w:r>
          </w:p>
        </w:tc>
        <w:tc>
          <w:tcPr>
            <w:tcW w:w="930" w:type="dxa"/>
          </w:tcPr>
          <w:p w14:paraId="5CF88CB1" w14:textId="77777777" w:rsidR="004B757B" w:rsidRPr="00EB5D55" w:rsidRDefault="0059547C" w:rsidP="008F2513">
            <w:pPr>
              <w:jc w:val="center"/>
              <w:rPr>
                <w:rFonts w:ascii="Calibri" w:hAnsi="Calibri"/>
                <w:sz w:val="20"/>
                <w:szCs w:val="20"/>
              </w:rPr>
            </w:pPr>
            <w:r>
              <w:rPr>
                <w:rFonts w:ascii="Calibri" w:hAnsi="Calibri"/>
                <w:sz w:val="20"/>
                <w:szCs w:val="20"/>
              </w:rPr>
              <w:t>298</w:t>
            </w:r>
          </w:p>
        </w:tc>
        <w:tc>
          <w:tcPr>
            <w:tcW w:w="979" w:type="dxa"/>
          </w:tcPr>
          <w:p w14:paraId="463A5551" w14:textId="77777777" w:rsidR="004B757B" w:rsidRPr="00EB5D55" w:rsidRDefault="0059547C" w:rsidP="008F2513">
            <w:pPr>
              <w:jc w:val="center"/>
              <w:rPr>
                <w:rFonts w:ascii="Calibri" w:hAnsi="Calibri"/>
                <w:sz w:val="20"/>
                <w:szCs w:val="20"/>
              </w:rPr>
            </w:pPr>
            <w:r>
              <w:rPr>
                <w:rFonts w:ascii="Calibri" w:hAnsi="Calibri"/>
                <w:sz w:val="20"/>
                <w:szCs w:val="20"/>
              </w:rPr>
              <w:t>2.9</w:t>
            </w:r>
          </w:p>
        </w:tc>
        <w:tc>
          <w:tcPr>
            <w:tcW w:w="1021" w:type="dxa"/>
            <w:shd w:val="clear" w:color="auto" w:fill="auto"/>
          </w:tcPr>
          <w:p w14:paraId="46E7D74C" w14:textId="04FD7579" w:rsidR="004B757B" w:rsidRPr="00EB5D55" w:rsidRDefault="00B46885" w:rsidP="008F2513">
            <w:pPr>
              <w:jc w:val="center"/>
              <w:rPr>
                <w:rFonts w:ascii="Calibri" w:hAnsi="Calibri"/>
                <w:sz w:val="20"/>
                <w:szCs w:val="20"/>
              </w:rPr>
            </w:pPr>
            <w:r>
              <w:rPr>
                <w:rFonts w:ascii="Calibri" w:hAnsi="Calibri"/>
                <w:sz w:val="20"/>
                <w:szCs w:val="20"/>
              </w:rPr>
              <w:t>196</w:t>
            </w:r>
          </w:p>
        </w:tc>
        <w:tc>
          <w:tcPr>
            <w:tcW w:w="1007" w:type="dxa"/>
            <w:shd w:val="clear" w:color="auto" w:fill="auto"/>
          </w:tcPr>
          <w:p w14:paraId="473B5467" w14:textId="00A5E2E9" w:rsidR="004B757B" w:rsidRPr="00EB5D55" w:rsidRDefault="00B46885" w:rsidP="008F2513">
            <w:pPr>
              <w:jc w:val="center"/>
              <w:rPr>
                <w:rFonts w:ascii="Calibri" w:hAnsi="Calibri"/>
                <w:sz w:val="20"/>
                <w:szCs w:val="20"/>
              </w:rPr>
            </w:pPr>
            <w:r>
              <w:rPr>
                <w:rFonts w:ascii="Calibri" w:hAnsi="Calibri"/>
                <w:sz w:val="20"/>
                <w:szCs w:val="20"/>
              </w:rPr>
              <w:t>1.8</w:t>
            </w:r>
          </w:p>
        </w:tc>
      </w:tr>
      <w:tr w:rsidR="004B757B" w:rsidRPr="00EB5D55" w14:paraId="423E7569" w14:textId="77777777" w:rsidTr="009C0561">
        <w:tc>
          <w:tcPr>
            <w:tcW w:w="1697" w:type="dxa"/>
          </w:tcPr>
          <w:p w14:paraId="0DAC9013" w14:textId="77777777" w:rsidR="004B757B" w:rsidRPr="00EB5D55" w:rsidRDefault="009C0561" w:rsidP="008F2513">
            <w:pPr>
              <w:pStyle w:val="BodyText"/>
              <w:spacing w:after="0"/>
              <w:ind w:right="-720"/>
              <w:rPr>
                <w:rFonts w:ascii="Calibri" w:hAnsi="Calibri"/>
                <w:sz w:val="20"/>
                <w:szCs w:val="20"/>
              </w:rPr>
            </w:pPr>
            <w:r>
              <w:rPr>
                <w:rFonts w:ascii="Calibri" w:hAnsi="Calibri"/>
                <w:sz w:val="20"/>
                <w:szCs w:val="20"/>
              </w:rPr>
              <w:t>$</w:t>
            </w:r>
            <w:r w:rsidR="004B757B" w:rsidRPr="00EB5D55">
              <w:rPr>
                <w:rFonts w:ascii="Calibri" w:hAnsi="Calibri"/>
                <w:sz w:val="20"/>
                <w:szCs w:val="20"/>
              </w:rPr>
              <w:t>10,000-24,999</w:t>
            </w:r>
          </w:p>
        </w:tc>
        <w:tc>
          <w:tcPr>
            <w:tcW w:w="875" w:type="dxa"/>
          </w:tcPr>
          <w:p w14:paraId="301FE2E6"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1,112</w:t>
            </w:r>
          </w:p>
        </w:tc>
        <w:tc>
          <w:tcPr>
            <w:tcW w:w="902" w:type="dxa"/>
          </w:tcPr>
          <w:p w14:paraId="52505BA8"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10.8</w:t>
            </w:r>
          </w:p>
        </w:tc>
        <w:tc>
          <w:tcPr>
            <w:tcW w:w="1132" w:type="dxa"/>
          </w:tcPr>
          <w:p w14:paraId="6FD92E85"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739</w:t>
            </w:r>
          </w:p>
        </w:tc>
        <w:tc>
          <w:tcPr>
            <w:tcW w:w="1105" w:type="dxa"/>
          </w:tcPr>
          <w:p w14:paraId="79DA9322"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7.0</w:t>
            </w:r>
          </w:p>
        </w:tc>
        <w:tc>
          <w:tcPr>
            <w:tcW w:w="930" w:type="dxa"/>
          </w:tcPr>
          <w:p w14:paraId="514B7211" w14:textId="77777777" w:rsidR="004B757B" w:rsidRPr="00EB5D55" w:rsidRDefault="0059547C" w:rsidP="008F2513">
            <w:pPr>
              <w:pStyle w:val="FootnoteText"/>
              <w:jc w:val="center"/>
              <w:rPr>
                <w:rFonts w:ascii="Calibri" w:hAnsi="Calibri"/>
              </w:rPr>
            </w:pPr>
            <w:r>
              <w:rPr>
                <w:rFonts w:ascii="Calibri" w:hAnsi="Calibri"/>
              </w:rPr>
              <w:t>884</w:t>
            </w:r>
          </w:p>
        </w:tc>
        <w:tc>
          <w:tcPr>
            <w:tcW w:w="979" w:type="dxa"/>
          </w:tcPr>
          <w:p w14:paraId="5663D39C" w14:textId="77777777" w:rsidR="004B757B" w:rsidRPr="00EB5D55" w:rsidRDefault="0059547C" w:rsidP="008F2513">
            <w:pPr>
              <w:pStyle w:val="FootnoteText"/>
              <w:jc w:val="center"/>
              <w:rPr>
                <w:rFonts w:ascii="Calibri" w:hAnsi="Calibri"/>
              </w:rPr>
            </w:pPr>
            <w:r>
              <w:rPr>
                <w:rFonts w:ascii="Calibri" w:hAnsi="Calibri"/>
              </w:rPr>
              <w:t>8.5</w:t>
            </w:r>
          </w:p>
        </w:tc>
        <w:tc>
          <w:tcPr>
            <w:tcW w:w="1021" w:type="dxa"/>
            <w:shd w:val="clear" w:color="auto" w:fill="auto"/>
          </w:tcPr>
          <w:p w14:paraId="4EB9F4EB" w14:textId="750AE429" w:rsidR="004B757B" w:rsidRPr="00EB5D55" w:rsidRDefault="00B46885" w:rsidP="008F2513">
            <w:pPr>
              <w:pStyle w:val="FootnoteText"/>
              <w:jc w:val="center"/>
              <w:rPr>
                <w:rFonts w:ascii="Calibri" w:hAnsi="Calibri"/>
              </w:rPr>
            </w:pPr>
            <w:r>
              <w:rPr>
                <w:rFonts w:ascii="Calibri" w:hAnsi="Calibri"/>
              </w:rPr>
              <w:t>429</w:t>
            </w:r>
          </w:p>
        </w:tc>
        <w:tc>
          <w:tcPr>
            <w:tcW w:w="1007" w:type="dxa"/>
            <w:shd w:val="clear" w:color="auto" w:fill="auto"/>
          </w:tcPr>
          <w:p w14:paraId="4EF5AEC4" w14:textId="10B52104" w:rsidR="004B757B" w:rsidRPr="00EB5D55" w:rsidRDefault="00B46885" w:rsidP="008F2513">
            <w:pPr>
              <w:jc w:val="center"/>
              <w:rPr>
                <w:rFonts w:ascii="Calibri" w:hAnsi="Calibri"/>
                <w:sz w:val="20"/>
                <w:szCs w:val="20"/>
              </w:rPr>
            </w:pPr>
            <w:r>
              <w:rPr>
                <w:rFonts w:ascii="Calibri" w:hAnsi="Calibri"/>
                <w:sz w:val="20"/>
                <w:szCs w:val="20"/>
              </w:rPr>
              <w:t>4.0</w:t>
            </w:r>
          </w:p>
        </w:tc>
      </w:tr>
      <w:tr w:rsidR="004B757B" w:rsidRPr="00EB5D55" w14:paraId="37FB0616" w14:textId="77777777" w:rsidTr="009C0561">
        <w:tc>
          <w:tcPr>
            <w:tcW w:w="1697" w:type="dxa"/>
          </w:tcPr>
          <w:p w14:paraId="712B1FAC" w14:textId="77777777" w:rsidR="004B757B" w:rsidRPr="00EB5D55" w:rsidRDefault="009C0561" w:rsidP="008F2513">
            <w:pPr>
              <w:pStyle w:val="BodyText"/>
              <w:spacing w:after="0"/>
              <w:ind w:right="-720"/>
              <w:rPr>
                <w:rFonts w:ascii="Calibri" w:hAnsi="Calibri"/>
                <w:sz w:val="20"/>
                <w:szCs w:val="20"/>
              </w:rPr>
            </w:pPr>
            <w:r>
              <w:rPr>
                <w:rFonts w:ascii="Calibri" w:hAnsi="Calibri"/>
                <w:sz w:val="20"/>
                <w:szCs w:val="20"/>
              </w:rPr>
              <w:t>$</w:t>
            </w:r>
            <w:r w:rsidR="004B757B" w:rsidRPr="00EB5D55">
              <w:rPr>
                <w:rFonts w:ascii="Calibri" w:hAnsi="Calibri"/>
                <w:sz w:val="20"/>
                <w:szCs w:val="20"/>
              </w:rPr>
              <w:t>25,000-34,999</w:t>
            </w:r>
          </w:p>
        </w:tc>
        <w:tc>
          <w:tcPr>
            <w:tcW w:w="875" w:type="dxa"/>
          </w:tcPr>
          <w:p w14:paraId="1E6B0438"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886</w:t>
            </w:r>
          </w:p>
        </w:tc>
        <w:tc>
          <w:tcPr>
            <w:tcW w:w="902" w:type="dxa"/>
          </w:tcPr>
          <w:p w14:paraId="0A8DA034"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8.6</w:t>
            </w:r>
          </w:p>
        </w:tc>
        <w:tc>
          <w:tcPr>
            <w:tcW w:w="1132" w:type="dxa"/>
          </w:tcPr>
          <w:p w14:paraId="7647A5C8"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698</w:t>
            </w:r>
          </w:p>
        </w:tc>
        <w:tc>
          <w:tcPr>
            <w:tcW w:w="1105" w:type="dxa"/>
          </w:tcPr>
          <w:p w14:paraId="35AFE105"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6.6</w:t>
            </w:r>
          </w:p>
        </w:tc>
        <w:tc>
          <w:tcPr>
            <w:tcW w:w="930" w:type="dxa"/>
          </w:tcPr>
          <w:p w14:paraId="37583DEE" w14:textId="77777777" w:rsidR="004B757B" w:rsidRPr="00EB5D55" w:rsidRDefault="0059547C" w:rsidP="008F2513">
            <w:pPr>
              <w:jc w:val="center"/>
              <w:rPr>
                <w:rFonts w:ascii="Calibri" w:hAnsi="Calibri"/>
                <w:sz w:val="20"/>
                <w:szCs w:val="20"/>
              </w:rPr>
            </w:pPr>
            <w:r>
              <w:rPr>
                <w:rFonts w:ascii="Calibri" w:hAnsi="Calibri"/>
                <w:sz w:val="20"/>
                <w:szCs w:val="20"/>
              </w:rPr>
              <w:t>357</w:t>
            </w:r>
          </w:p>
        </w:tc>
        <w:tc>
          <w:tcPr>
            <w:tcW w:w="979" w:type="dxa"/>
          </w:tcPr>
          <w:p w14:paraId="4F4CA761" w14:textId="77777777" w:rsidR="004B757B" w:rsidRPr="00EB5D55" w:rsidRDefault="0059547C" w:rsidP="008F2513">
            <w:pPr>
              <w:jc w:val="center"/>
              <w:rPr>
                <w:rFonts w:ascii="Calibri" w:hAnsi="Calibri"/>
                <w:sz w:val="20"/>
                <w:szCs w:val="20"/>
              </w:rPr>
            </w:pPr>
            <w:r>
              <w:rPr>
                <w:rFonts w:ascii="Calibri" w:hAnsi="Calibri"/>
                <w:sz w:val="20"/>
                <w:szCs w:val="20"/>
              </w:rPr>
              <w:t>3.4</w:t>
            </w:r>
          </w:p>
        </w:tc>
        <w:tc>
          <w:tcPr>
            <w:tcW w:w="1021" w:type="dxa"/>
            <w:shd w:val="clear" w:color="auto" w:fill="auto"/>
          </w:tcPr>
          <w:p w14:paraId="4ABE1EDC" w14:textId="14507648" w:rsidR="004B757B" w:rsidRPr="00EB5D55" w:rsidRDefault="00B46885" w:rsidP="008F2513">
            <w:pPr>
              <w:jc w:val="center"/>
              <w:rPr>
                <w:rFonts w:ascii="Calibri" w:hAnsi="Calibri"/>
                <w:sz w:val="20"/>
                <w:szCs w:val="20"/>
              </w:rPr>
            </w:pPr>
            <w:r>
              <w:rPr>
                <w:rFonts w:ascii="Calibri" w:hAnsi="Calibri"/>
                <w:sz w:val="20"/>
                <w:szCs w:val="20"/>
              </w:rPr>
              <w:t>532</w:t>
            </w:r>
          </w:p>
        </w:tc>
        <w:tc>
          <w:tcPr>
            <w:tcW w:w="1007" w:type="dxa"/>
            <w:shd w:val="clear" w:color="auto" w:fill="auto"/>
          </w:tcPr>
          <w:p w14:paraId="7AB2C9F7" w14:textId="13F8F9C1" w:rsidR="004B757B" w:rsidRPr="00EB5D55" w:rsidRDefault="00B46885" w:rsidP="008F2513">
            <w:pPr>
              <w:jc w:val="center"/>
              <w:rPr>
                <w:rFonts w:ascii="Calibri" w:hAnsi="Calibri"/>
                <w:sz w:val="20"/>
                <w:szCs w:val="20"/>
              </w:rPr>
            </w:pPr>
            <w:r>
              <w:rPr>
                <w:rFonts w:ascii="Calibri" w:hAnsi="Calibri"/>
                <w:sz w:val="20"/>
                <w:szCs w:val="20"/>
              </w:rPr>
              <w:t>4.9</w:t>
            </w:r>
          </w:p>
        </w:tc>
      </w:tr>
      <w:tr w:rsidR="004B757B" w:rsidRPr="00EB5D55" w14:paraId="153F27DA" w14:textId="77777777" w:rsidTr="009C0561">
        <w:tc>
          <w:tcPr>
            <w:tcW w:w="1697" w:type="dxa"/>
          </w:tcPr>
          <w:p w14:paraId="34254F7D" w14:textId="77777777" w:rsidR="004B757B" w:rsidRPr="00EB5D55" w:rsidRDefault="009C0561" w:rsidP="008F2513">
            <w:pPr>
              <w:pStyle w:val="BodyText"/>
              <w:spacing w:after="0"/>
              <w:ind w:right="-720"/>
              <w:rPr>
                <w:rFonts w:ascii="Calibri" w:hAnsi="Calibri"/>
                <w:sz w:val="20"/>
                <w:szCs w:val="20"/>
              </w:rPr>
            </w:pPr>
            <w:r>
              <w:rPr>
                <w:rFonts w:ascii="Calibri" w:hAnsi="Calibri"/>
                <w:sz w:val="20"/>
                <w:szCs w:val="20"/>
              </w:rPr>
              <w:t>$</w:t>
            </w:r>
            <w:r w:rsidR="004B757B" w:rsidRPr="00EB5D55">
              <w:rPr>
                <w:rFonts w:ascii="Calibri" w:hAnsi="Calibri"/>
                <w:sz w:val="20"/>
                <w:szCs w:val="20"/>
              </w:rPr>
              <w:t>35,000-49,999</w:t>
            </w:r>
          </w:p>
        </w:tc>
        <w:tc>
          <w:tcPr>
            <w:tcW w:w="875" w:type="dxa"/>
          </w:tcPr>
          <w:p w14:paraId="16672B8E"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1,434</w:t>
            </w:r>
          </w:p>
        </w:tc>
        <w:tc>
          <w:tcPr>
            <w:tcW w:w="902" w:type="dxa"/>
          </w:tcPr>
          <w:p w14:paraId="0EFEA275"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14.0</w:t>
            </w:r>
          </w:p>
        </w:tc>
        <w:tc>
          <w:tcPr>
            <w:tcW w:w="1132" w:type="dxa"/>
          </w:tcPr>
          <w:p w14:paraId="59AB1B00"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909</w:t>
            </w:r>
          </w:p>
        </w:tc>
        <w:tc>
          <w:tcPr>
            <w:tcW w:w="1105" w:type="dxa"/>
          </w:tcPr>
          <w:p w14:paraId="1437A732"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8.6</w:t>
            </w:r>
          </w:p>
        </w:tc>
        <w:tc>
          <w:tcPr>
            <w:tcW w:w="930" w:type="dxa"/>
          </w:tcPr>
          <w:p w14:paraId="3615D4A0" w14:textId="77777777" w:rsidR="004B757B" w:rsidRPr="00EB5D55" w:rsidRDefault="0059547C" w:rsidP="008F2513">
            <w:pPr>
              <w:jc w:val="center"/>
              <w:rPr>
                <w:rFonts w:ascii="Calibri" w:hAnsi="Calibri"/>
                <w:sz w:val="20"/>
                <w:szCs w:val="20"/>
              </w:rPr>
            </w:pPr>
            <w:r>
              <w:rPr>
                <w:rFonts w:ascii="Calibri" w:hAnsi="Calibri"/>
                <w:sz w:val="20"/>
                <w:szCs w:val="20"/>
              </w:rPr>
              <w:t>477</w:t>
            </w:r>
          </w:p>
        </w:tc>
        <w:tc>
          <w:tcPr>
            <w:tcW w:w="979" w:type="dxa"/>
          </w:tcPr>
          <w:p w14:paraId="7E8ABF16" w14:textId="77777777" w:rsidR="004B757B" w:rsidRPr="00EB5D55" w:rsidRDefault="0059547C" w:rsidP="008F2513">
            <w:pPr>
              <w:jc w:val="center"/>
              <w:rPr>
                <w:rFonts w:ascii="Calibri" w:hAnsi="Calibri"/>
                <w:sz w:val="20"/>
                <w:szCs w:val="20"/>
              </w:rPr>
            </w:pPr>
            <w:r>
              <w:rPr>
                <w:rFonts w:ascii="Calibri" w:hAnsi="Calibri"/>
                <w:sz w:val="20"/>
                <w:szCs w:val="20"/>
              </w:rPr>
              <w:t>4.6</w:t>
            </w:r>
          </w:p>
        </w:tc>
        <w:tc>
          <w:tcPr>
            <w:tcW w:w="1021" w:type="dxa"/>
            <w:shd w:val="clear" w:color="auto" w:fill="auto"/>
          </w:tcPr>
          <w:p w14:paraId="2BD19B57" w14:textId="76C2B842" w:rsidR="004B757B" w:rsidRPr="00EB5D55" w:rsidRDefault="00B46885" w:rsidP="008F2513">
            <w:pPr>
              <w:jc w:val="center"/>
              <w:rPr>
                <w:rFonts w:ascii="Calibri" w:hAnsi="Calibri"/>
                <w:sz w:val="20"/>
                <w:szCs w:val="20"/>
              </w:rPr>
            </w:pPr>
            <w:r>
              <w:rPr>
                <w:rFonts w:ascii="Calibri" w:hAnsi="Calibri"/>
                <w:sz w:val="20"/>
                <w:szCs w:val="20"/>
              </w:rPr>
              <w:t>476</w:t>
            </w:r>
          </w:p>
        </w:tc>
        <w:tc>
          <w:tcPr>
            <w:tcW w:w="1007" w:type="dxa"/>
            <w:shd w:val="clear" w:color="auto" w:fill="auto"/>
          </w:tcPr>
          <w:p w14:paraId="23412542" w14:textId="74EE76B9" w:rsidR="004B757B" w:rsidRPr="00EB5D55" w:rsidRDefault="00B46885" w:rsidP="008F2513">
            <w:pPr>
              <w:jc w:val="center"/>
              <w:rPr>
                <w:rFonts w:ascii="Calibri" w:hAnsi="Calibri"/>
                <w:sz w:val="20"/>
                <w:szCs w:val="20"/>
              </w:rPr>
            </w:pPr>
            <w:r>
              <w:rPr>
                <w:rFonts w:ascii="Calibri" w:hAnsi="Calibri"/>
                <w:sz w:val="20"/>
                <w:szCs w:val="20"/>
              </w:rPr>
              <w:t>4.4</w:t>
            </w:r>
          </w:p>
        </w:tc>
      </w:tr>
      <w:tr w:rsidR="004B757B" w:rsidRPr="00EB5D55" w14:paraId="026E8BFE" w14:textId="77777777" w:rsidTr="009C0561">
        <w:trPr>
          <w:cantSplit/>
        </w:trPr>
        <w:tc>
          <w:tcPr>
            <w:tcW w:w="1697" w:type="dxa"/>
          </w:tcPr>
          <w:p w14:paraId="32E885A0" w14:textId="77777777" w:rsidR="004B757B" w:rsidRPr="00EB5D55" w:rsidRDefault="009C0561" w:rsidP="008F2513">
            <w:pPr>
              <w:pStyle w:val="BodyText"/>
              <w:spacing w:after="0"/>
              <w:ind w:right="-720"/>
              <w:rPr>
                <w:rFonts w:ascii="Calibri" w:hAnsi="Calibri"/>
                <w:sz w:val="20"/>
                <w:szCs w:val="20"/>
              </w:rPr>
            </w:pPr>
            <w:r>
              <w:rPr>
                <w:rFonts w:ascii="Calibri" w:hAnsi="Calibri"/>
                <w:sz w:val="20"/>
                <w:szCs w:val="20"/>
              </w:rPr>
              <w:t>$</w:t>
            </w:r>
            <w:r w:rsidR="004B757B" w:rsidRPr="00EB5D55">
              <w:rPr>
                <w:rFonts w:ascii="Calibri" w:hAnsi="Calibri"/>
                <w:sz w:val="20"/>
                <w:szCs w:val="20"/>
              </w:rPr>
              <w:t>50,000-74,999</w:t>
            </w:r>
          </w:p>
        </w:tc>
        <w:tc>
          <w:tcPr>
            <w:tcW w:w="875" w:type="dxa"/>
          </w:tcPr>
          <w:p w14:paraId="1D5B2424"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2,350</w:t>
            </w:r>
          </w:p>
        </w:tc>
        <w:tc>
          <w:tcPr>
            <w:tcW w:w="902" w:type="dxa"/>
          </w:tcPr>
          <w:p w14:paraId="4C864AD3"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22.9</w:t>
            </w:r>
          </w:p>
        </w:tc>
        <w:tc>
          <w:tcPr>
            <w:tcW w:w="1132" w:type="dxa"/>
          </w:tcPr>
          <w:p w14:paraId="56F16102" w14:textId="77777777" w:rsidR="004B757B" w:rsidRPr="00EB5D55" w:rsidRDefault="004B757B" w:rsidP="008F2513">
            <w:pPr>
              <w:pStyle w:val="BodyTextIndent"/>
              <w:spacing w:after="0"/>
              <w:ind w:left="0"/>
              <w:jc w:val="center"/>
              <w:rPr>
                <w:rFonts w:ascii="Calibri" w:hAnsi="Calibri"/>
                <w:sz w:val="20"/>
                <w:szCs w:val="20"/>
              </w:rPr>
            </w:pPr>
            <w:r w:rsidRPr="00EB5D55">
              <w:rPr>
                <w:rFonts w:ascii="Calibri" w:hAnsi="Calibri"/>
                <w:sz w:val="20"/>
                <w:szCs w:val="20"/>
              </w:rPr>
              <w:t>1,668</w:t>
            </w:r>
          </w:p>
        </w:tc>
        <w:tc>
          <w:tcPr>
            <w:tcW w:w="1105" w:type="dxa"/>
          </w:tcPr>
          <w:p w14:paraId="05237A33"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15.7</w:t>
            </w:r>
          </w:p>
        </w:tc>
        <w:tc>
          <w:tcPr>
            <w:tcW w:w="930" w:type="dxa"/>
          </w:tcPr>
          <w:p w14:paraId="3D139C4B" w14:textId="77777777" w:rsidR="004B757B" w:rsidRPr="00EB5D55" w:rsidRDefault="0059547C" w:rsidP="008F2513">
            <w:pPr>
              <w:jc w:val="center"/>
              <w:rPr>
                <w:rFonts w:ascii="Calibri" w:hAnsi="Calibri"/>
                <w:sz w:val="20"/>
                <w:szCs w:val="20"/>
              </w:rPr>
            </w:pPr>
            <w:r>
              <w:rPr>
                <w:rFonts w:ascii="Calibri" w:hAnsi="Calibri"/>
                <w:sz w:val="20"/>
                <w:szCs w:val="20"/>
              </w:rPr>
              <w:t>1,329</w:t>
            </w:r>
          </w:p>
        </w:tc>
        <w:tc>
          <w:tcPr>
            <w:tcW w:w="979" w:type="dxa"/>
          </w:tcPr>
          <w:p w14:paraId="345FB1B4" w14:textId="77777777" w:rsidR="004B757B" w:rsidRPr="00EB5D55" w:rsidRDefault="0059547C" w:rsidP="008F2513">
            <w:pPr>
              <w:jc w:val="center"/>
              <w:rPr>
                <w:rFonts w:ascii="Calibri" w:hAnsi="Calibri"/>
                <w:sz w:val="20"/>
                <w:szCs w:val="20"/>
              </w:rPr>
            </w:pPr>
            <w:r>
              <w:rPr>
                <w:rFonts w:ascii="Calibri" w:hAnsi="Calibri"/>
                <w:sz w:val="20"/>
                <w:szCs w:val="20"/>
              </w:rPr>
              <w:t>12.8</w:t>
            </w:r>
          </w:p>
        </w:tc>
        <w:tc>
          <w:tcPr>
            <w:tcW w:w="1021" w:type="dxa"/>
            <w:shd w:val="clear" w:color="auto" w:fill="auto"/>
          </w:tcPr>
          <w:p w14:paraId="563112AB" w14:textId="3084F198" w:rsidR="004B757B" w:rsidRPr="00EB5D55" w:rsidRDefault="00B46885" w:rsidP="008F2513">
            <w:pPr>
              <w:jc w:val="center"/>
              <w:rPr>
                <w:rFonts w:ascii="Calibri" w:hAnsi="Calibri"/>
                <w:sz w:val="20"/>
                <w:szCs w:val="20"/>
              </w:rPr>
            </w:pPr>
            <w:r>
              <w:rPr>
                <w:rFonts w:ascii="Calibri" w:hAnsi="Calibri"/>
                <w:sz w:val="20"/>
                <w:szCs w:val="20"/>
              </w:rPr>
              <w:t>815</w:t>
            </w:r>
          </w:p>
        </w:tc>
        <w:tc>
          <w:tcPr>
            <w:tcW w:w="1007" w:type="dxa"/>
            <w:shd w:val="clear" w:color="auto" w:fill="auto"/>
          </w:tcPr>
          <w:p w14:paraId="33A60084" w14:textId="4E3F543C" w:rsidR="004B757B" w:rsidRPr="00EB5D55" w:rsidRDefault="00B46885" w:rsidP="008F2513">
            <w:pPr>
              <w:jc w:val="center"/>
              <w:rPr>
                <w:rFonts w:ascii="Calibri" w:hAnsi="Calibri"/>
                <w:sz w:val="20"/>
                <w:szCs w:val="20"/>
              </w:rPr>
            </w:pPr>
            <w:r>
              <w:rPr>
                <w:rFonts w:ascii="Calibri" w:hAnsi="Calibri"/>
                <w:sz w:val="20"/>
                <w:szCs w:val="20"/>
              </w:rPr>
              <w:t>7.6</w:t>
            </w:r>
          </w:p>
        </w:tc>
      </w:tr>
      <w:tr w:rsidR="004B757B" w:rsidRPr="00EB5D55" w14:paraId="49F3CD9C" w14:textId="77777777" w:rsidTr="009C0561">
        <w:trPr>
          <w:cantSplit/>
        </w:trPr>
        <w:tc>
          <w:tcPr>
            <w:tcW w:w="1697" w:type="dxa"/>
          </w:tcPr>
          <w:p w14:paraId="65FD400D" w14:textId="77777777" w:rsidR="004B757B" w:rsidRPr="00EB5D55" w:rsidRDefault="009C0561" w:rsidP="008F2513">
            <w:pPr>
              <w:pStyle w:val="BodyText"/>
              <w:spacing w:after="0"/>
              <w:ind w:right="-720"/>
              <w:rPr>
                <w:rFonts w:ascii="Calibri" w:hAnsi="Calibri"/>
                <w:sz w:val="20"/>
                <w:szCs w:val="20"/>
              </w:rPr>
            </w:pPr>
            <w:r>
              <w:rPr>
                <w:rFonts w:ascii="Calibri" w:hAnsi="Calibri"/>
                <w:sz w:val="20"/>
                <w:szCs w:val="20"/>
              </w:rPr>
              <w:t>$</w:t>
            </w:r>
            <w:r w:rsidR="004B757B" w:rsidRPr="00EB5D55">
              <w:rPr>
                <w:rFonts w:ascii="Calibri" w:hAnsi="Calibri"/>
                <w:sz w:val="20"/>
                <w:szCs w:val="20"/>
              </w:rPr>
              <w:t>75,000-99,999</w:t>
            </w:r>
          </w:p>
        </w:tc>
        <w:tc>
          <w:tcPr>
            <w:tcW w:w="875" w:type="dxa"/>
          </w:tcPr>
          <w:p w14:paraId="3F8F1615"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1,618</w:t>
            </w:r>
          </w:p>
        </w:tc>
        <w:tc>
          <w:tcPr>
            <w:tcW w:w="902" w:type="dxa"/>
          </w:tcPr>
          <w:p w14:paraId="6F4EE88F"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15.8</w:t>
            </w:r>
          </w:p>
        </w:tc>
        <w:tc>
          <w:tcPr>
            <w:tcW w:w="1132" w:type="dxa"/>
          </w:tcPr>
          <w:p w14:paraId="413CBA59"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1,389</w:t>
            </w:r>
          </w:p>
        </w:tc>
        <w:tc>
          <w:tcPr>
            <w:tcW w:w="1105" w:type="dxa"/>
          </w:tcPr>
          <w:p w14:paraId="51C5C0AC"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13.1</w:t>
            </w:r>
          </w:p>
        </w:tc>
        <w:tc>
          <w:tcPr>
            <w:tcW w:w="930" w:type="dxa"/>
          </w:tcPr>
          <w:p w14:paraId="2A7D663F" w14:textId="77777777" w:rsidR="004B757B" w:rsidRPr="00EB5D55" w:rsidRDefault="0059547C" w:rsidP="008F2513">
            <w:pPr>
              <w:jc w:val="center"/>
              <w:rPr>
                <w:rFonts w:ascii="Calibri" w:hAnsi="Calibri"/>
                <w:sz w:val="20"/>
                <w:szCs w:val="20"/>
              </w:rPr>
            </w:pPr>
            <w:r>
              <w:rPr>
                <w:rFonts w:ascii="Calibri" w:hAnsi="Calibri"/>
                <w:sz w:val="20"/>
                <w:szCs w:val="20"/>
              </w:rPr>
              <w:t>971</w:t>
            </w:r>
          </w:p>
        </w:tc>
        <w:tc>
          <w:tcPr>
            <w:tcW w:w="979" w:type="dxa"/>
          </w:tcPr>
          <w:p w14:paraId="27C8379C" w14:textId="77777777" w:rsidR="004B757B" w:rsidRPr="00EB5D55" w:rsidRDefault="0059547C" w:rsidP="008F2513">
            <w:pPr>
              <w:jc w:val="center"/>
              <w:rPr>
                <w:rFonts w:ascii="Calibri" w:hAnsi="Calibri"/>
                <w:sz w:val="20"/>
                <w:szCs w:val="20"/>
              </w:rPr>
            </w:pPr>
            <w:r>
              <w:rPr>
                <w:rFonts w:ascii="Calibri" w:hAnsi="Calibri"/>
                <w:sz w:val="20"/>
                <w:szCs w:val="20"/>
              </w:rPr>
              <w:t>9.4</w:t>
            </w:r>
          </w:p>
        </w:tc>
        <w:tc>
          <w:tcPr>
            <w:tcW w:w="1021" w:type="dxa"/>
            <w:shd w:val="clear" w:color="auto" w:fill="auto"/>
          </w:tcPr>
          <w:p w14:paraId="470A2267" w14:textId="3397764C" w:rsidR="004B757B" w:rsidRPr="00EB5D55" w:rsidRDefault="00B46885" w:rsidP="008F2513">
            <w:pPr>
              <w:jc w:val="center"/>
              <w:rPr>
                <w:rFonts w:ascii="Calibri" w:hAnsi="Calibri"/>
                <w:sz w:val="20"/>
                <w:szCs w:val="20"/>
              </w:rPr>
            </w:pPr>
            <w:r>
              <w:rPr>
                <w:rFonts w:ascii="Calibri" w:hAnsi="Calibri"/>
                <w:sz w:val="20"/>
                <w:szCs w:val="20"/>
              </w:rPr>
              <w:t>833</w:t>
            </w:r>
          </w:p>
        </w:tc>
        <w:tc>
          <w:tcPr>
            <w:tcW w:w="1007" w:type="dxa"/>
            <w:shd w:val="clear" w:color="auto" w:fill="auto"/>
          </w:tcPr>
          <w:p w14:paraId="6AD6B53D" w14:textId="3925E8BE" w:rsidR="004B757B" w:rsidRPr="00EB5D55" w:rsidRDefault="00B46885" w:rsidP="008F2513">
            <w:pPr>
              <w:jc w:val="center"/>
              <w:rPr>
                <w:rFonts w:ascii="Calibri" w:hAnsi="Calibri"/>
                <w:sz w:val="20"/>
                <w:szCs w:val="20"/>
              </w:rPr>
            </w:pPr>
            <w:r>
              <w:rPr>
                <w:rFonts w:ascii="Calibri" w:hAnsi="Calibri"/>
                <w:sz w:val="20"/>
                <w:szCs w:val="20"/>
              </w:rPr>
              <w:t>7.7</w:t>
            </w:r>
          </w:p>
        </w:tc>
      </w:tr>
      <w:tr w:rsidR="004B757B" w:rsidRPr="00EB5D55" w14:paraId="3C8F9445" w14:textId="77777777" w:rsidTr="009C0561">
        <w:trPr>
          <w:cantSplit/>
        </w:trPr>
        <w:tc>
          <w:tcPr>
            <w:tcW w:w="1697" w:type="dxa"/>
          </w:tcPr>
          <w:p w14:paraId="2923BB9B" w14:textId="77777777" w:rsidR="004B757B" w:rsidRPr="00EB5D55" w:rsidRDefault="009C0561" w:rsidP="008F2513">
            <w:pPr>
              <w:pStyle w:val="BodyTextIndent"/>
              <w:spacing w:after="0"/>
              <w:ind w:left="0" w:right="-720"/>
              <w:rPr>
                <w:rFonts w:ascii="Calibri" w:hAnsi="Calibri"/>
                <w:sz w:val="20"/>
                <w:szCs w:val="20"/>
              </w:rPr>
            </w:pPr>
            <w:r>
              <w:rPr>
                <w:rFonts w:ascii="Calibri" w:hAnsi="Calibri"/>
                <w:sz w:val="20"/>
                <w:szCs w:val="20"/>
              </w:rPr>
              <w:t>$</w:t>
            </w:r>
            <w:r w:rsidR="004B757B" w:rsidRPr="00EB5D55">
              <w:rPr>
                <w:rFonts w:ascii="Calibri" w:hAnsi="Calibri"/>
                <w:sz w:val="20"/>
                <w:szCs w:val="20"/>
              </w:rPr>
              <w:t>100,000-149,999</w:t>
            </w:r>
          </w:p>
        </w:tc>
        <w:tc>
          <w:tcPr>
            <w:tcW w:w="875" w:type="dxa"/>
          </w:tcPr>
          <w:p w14:paraId="5AE0EC4B"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1,271</w:t>
            </w:r>
          </w:p>
        </w:tc>
        <w:tc>
          <w:tcPr>
            <w:tcW w:w="902" w:type="dxa"/>
          </w:tcPr>
          <w:p w14:paraId="01D5E1ED"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12.4</w:t>
            </w:r>
          </w:p>
        </w:tc>
        <w:tc>
          <w:tcPr>
            <w:tcW w:w="1132" w:type="dxa"/>
          </w:tcPr>
          <w:p w14:paraId="0548EB10"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2,158</w:t>
            </w:r>
          </w:p>
        </w:tc>
        <w:tc>
          <w:tcPr>
            <w:tcW w:w="1105" w:type="dxa"/>
          </w:tcPr>
          <w:p w14:paraId="596E6D80" w14:textId="77777777" w:rsidR="004B757B" w:rsidRPr="00EB5D55" w:rsidRDefault="004B757B" w:rsidP="008F2513">
            <w:pPr>
              <w:pStyle w:val="Footer"/>
              <w:jc w:val="center"/>
              <w:rPr>
                <w:rFonts w:ascii="Calibri" w:hAnsi="Calibri"/>
                <w:sz w:val="20"/>
                <w:szCs w:val="20"/>
              </w:rPr>
            </w:pPr>
            <w:r w:rsidRPr="00EB5D55">
              <w:rPr>
                <w:rFonts w:ascii="Calibri" w:hAnsi="Calibri"/>
                <w:sz w:val="20"/>
                <w:szCs w:val="20"/>
              </w:rPr>
              <w:t>20.4</w:t>
            </w:r>
          </w:p>
        </w:tc>
        <w:tc>
          <w:tcPr>
            <w:tcW w:w="930" w:type="dxa"/>
          </w:tcPr>
          <w:p w14:paraId="7C6BAA2B" w14:textId="77777777" w:rsidR="004B757B" w:rsidRPr="00EB5D55" w:rsidRDefault="0059547C" w:rsidP="008F2513">
            <w:pPr>
              <w:jc w:val="center"/>
              <w:rPr>
                <w:rFonts w:ascii="Calibri" w:hAnsi="Calibri"/>
                <w:sz w:val="20"/>
                <w:szCs w:val="20"/>
              </w:rPr>
            </w:pPr>
            <w:r>
              <w:rPr>
                <w:rFonts w:ascii="Calibri" w:hAnsi="Calibri"/>
                <w:sz w:val="20"/>
                <w:szCs w:val="20"/>
              </w:rPr>
              <w:t>2,027</w:t>
            </w:r>
          </w:p>
        </w:tc>
        <w:tc>
          <w:tcPr>
            <w:tcW w:w="979" w:type="dxa"/>
          </w:tcPr>
          <w:p w14:paraId="496C2D01" w14:textId="77777777" w:rsidR="004B757B" w:rsidRPr="00EB5D55" w:rsidRDefault="0059547C" w:rsidP="008F2513">
            <w:pPr>
              <w:jc w:val="center"/>
              <w:rPr>
                <w:rFonts w:ascii="Calibri" w:hAnsi="Calibri"/>
                <w:sz w:val="20"/>
                <w:szCs w:val="20"/>
              </w:rPr>
            </w:pPr>
            <w:r>
              <w:rPr>
                <w:rFonts w:ascii="Calibri" w:hAnsi="Calibri"/>
                <w:sz w:val="20"/>
                <w:szCs w:val="20"/>
              </w:rPr>
              <w:t>19.5</w:t>
            </w:r>
          </w:p>
        </w:tc>
        <w:tc>
          <w:tcPr>
            <w:tcW w:w="1021" w:type="dxa"/>
            <w:shd w:val="clear" w:color="auto" w:fill="auto"/>
          </w:tcPr>
          <w:p w14:paraId="56076318" w14:textId="021577C4" w:rsidR="004B757B" w:rsidRPr="00EB5D55" w:rsidRDefault="00B46885" w:rsidP="008F2513">
            <w:pPr>
              <w:jc w:val="center"/>
              <w:rPr>
                <w:rFonts w:ascii="Calibri" w:hAnsi="Calibri"/>
                <w:sz w:val="20"/>
                <w:szCs w:val="20"/>
              </w:rPr>
            </w:pPr>
            <w:r>
              <w:rPr>
                <w:rFonts w:ascii="Calibri" w:hAnsi="Calibri"/>
                <w:sz w:val="20"/>
                <w:szCs w:val="20"/>
              </w:rPr>
              <w:t>1,541</w:t>
            </w:r>
          </w:p>
        </w:tc>
        <w:tc>
          <w:tcPr>
            <w:tcW w:w="1007" w:type="dxa"/>
            <w:shd w:val="clear" w:color="auto" w:fill="auto"/>
          </w:tcPr>
          <w:p w14:paraId="7471607D" w14:textId="0C7F4D28" w:rsidR="004B757B" w:rsidRPr="00EB5D55" w:rsidRDefault="00B46885" w:rsidP="008F2513">
            <w:pPr>
              <w:jc w:val="center"/>
              <w:rPr>
                <w:rFonts w:ascii="Calibri" w:hAnsi="Calibri"/>
                <w:sz w:val="20"/>
                <w:szCs w:val="20"/>
              </w:rPr>
            </w:pPr>
            <w:r>
              <w:rPr>
                <w:rFonts w:ascii="Calibri" w:hAnsi="Calibri"/>
                <w:sz w:val="20"/>
                <w:szCs w:val="20"/>
              </w:rPr>
              <w:t>14.3</w:t>
            </w:r>
          </w:p>
        </w:tc>
      </w:tr>
      <w:tr w:rsidR="009C0561" w:rsidRPr="00EB5D55" w14:paraId="10E78286" w14:textId="77777777" w:rsidTr="009C0561">
        <w:trPr>
          <w:cantSplit/>
        </w:trPr>
        <w:tc>
          <w:tcPr>
            <w:tcW w:w="1697" w:type="dxa"/>
          </w:tcPr>
          <w:p w14:paraId="6B37F474" w14:textId="77777777" w:rsidR="009C0561" w:rsidRPr="00EB5D55" w:rsidRDefault="009C0561" w:rsidP="008F2513">
            <w:pPr>
              <w:pStyle w:val="BodyTextIndent"/>
              <w:spacing w:after="0"/>
              <w:ind w:left="0" w:right="-720"/>
              <w:rPr>
                <w:rFonts w:ascii="Calibri" w:hAnsi="Calibri"/>
                <w:sz w:val="20"/>
                <w:szCs w:val="20"/>
              </w:rPr>
            </w:pPr>
            <w:r>
              <w:rPr>
                <w:rFonts w:ascii="Calibri" w:hAnsi="Calibri"/>
                <w:sz w:val="20"/>
                <w:szCs w:val="20"/>
              </w:rPr>
              <w:t>$</w:t>
            </w:r>
            <w:r w:rsidRPr="00EB5D55">
              <w:rPr>
                <w:rFonts w:ascii="Calibri" w:hAnsi="Calibri"/>
                <w:sz w:val="20"/>
                <w:szCs w:val="20"/>
              </w:rPr>
              <w:t>150,000 +</w:t>
            </w:r>
          </w:p>
        </w:tc>
        <w:tc>
          <w:tcPr>
            <w:tcW w:w="875" w:type="dxa"/>
          </w:tcPr>
          <w:p w14:paraId="5CA9FABA"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948</w:t>
            </w:r>
          </w:p>
        </w:tc>
        <w:tc>
          <w:tcPr>
            <w:tcW w:w="902" w:type="dxa"/>
          </w:tcPr>
          <w:p w14:paraId="0004A3B1"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9.2</w:t>
            </w:r>
          </w:p>
        </w:tc>
        <w:tc>
          <w:tcPr>
            <w:tcW w:w="1132" w:type="dxa"/>
          </w:tcPr>
          <w:p w14:paraId="4D0862EA"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2,570</w:t>
            </w:r>
          </w:p>
        </w:tc>
        <w:tc>
          <w:tcPr>
            <w:tcW w:w="1105" w:type="dxa"/>
          </w:tcPr>
          <w:p w14:paraId="55C78BE4"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24.3</w:t>
            </w:r>
          </w:p>
        </w:tc>
        <w:tc>
          <w:tcPr>
            <w:tcW w:w="930" w:type="dxa"/>
          </w:tcPr>
          <w:p w14:paraId="634E8C35" w14:textId="77777777" w:rsidR="009C0561" w:rsidRPr="00EB5D55" w:rsidRDefault="009C0561" w:rsidP="008F2513">
            <w:pPr>
              <w:jc w:val="center"/>
              <w:rPr>
                <w:rFonts w:ascii="Calibri" w:hAnsi="Calibri"/>
                <w:sz w:val="20"/>
                <w:szCs w:val="20"/>
              </w:rPr>
            </w:pPr>
            <w:r>
              <w:rPr>
                <w:rFonts w:ascii="Calibri" w:hAnsi="Calibri"/>
                <w:sz w:val="20"/>
                <w:szCs w:val="20"/>
              </w:rPr>
              <w:t>4,030</w:t>
            </w:r>
          </w:p>
        </w:tc>
        <w:tc>
          <w:tcPr>
            <w:tcW w:w="979" w:type="dxa"/>
          </w:tcPr>
          <w:p w14:paraId="5765BA0C" w14:textId="77777777" w:rsidR="009C0561" w:rsidRPr="00EB5D55" w:rsidRDefault="009C0561" w:rsidP="008F2513">
            <w:pPr>
              <w:jc w:val="center"/>
              <w:rPr>
                <w:rFonts w:ascii="Calibri" w:hAnsi="Calibri"/>
                <w:sz w:val="20"/>
                <w:szCs w:val="20"/>
              </w:rPr>
            </w:pPr>
            <w:r>
              <w:rPr>
                <w:rFonts w:ascii="Calibri" w:hAnsi="Calibri"/>
                <w:sz w:val="20"/>
                <w:szCs w:val="20"/>
              </w:rPr>
              <w:t>38.9</w:t>
            </w:r>
          </w:p>
        </w:tc>
        <w:tc>
          <w:tcPr>
            <w:tcW w:w="1021" w:type="dxa"/>
            <w:shd w:val="clear" w:color="auto" w:fill="auto"/>
          </w:tcPr>
          <w:p w14:paraId="749F54AB" w14:textId="28729CFA" w:rsidR="009C0561" w:rsidRPr="00EB5D55" w:rsidRDefault="00B46885" w:rsidP="00880F3D">
            <w:pPr>
              <w:jc w:val="center"/>
              <w:rPr>
                <w:rFonts w:ascii="Calibri" w:hAnsi="Calibri"/>
                <w:sz w:val="20"/>
                <w:szCs w:val="20"/>
              </w:rPr>
            </w:pPr>
            <w:r>
              <w:rPr>
                <w:rFonts w:ascii="Calibri" w:hAnsi="Calibri"/>
                <w:sz w:val="20"/>
                <w:szCs w:val="20"/>
              </w:rPr>
              <w:t>5,943</w:t>
            </w:r>
          </w:p>
        </w:tc>
        <w:tc>
          <w:tcPr>
            <w:tcW w:w="1007" w:type="dxa"/>
            <w:shd w:val="clear" w:color="auto" w:fill="auto"/>
          </w:tcPr>
          <w:p w14:paraId="1F801D0F" w14:textId="65500710" w:rsidR="009C0561" w:rsidRPr="00EB5D55" w:rsidRDefault="00B46885" w:rsidP="00880F3D">
            <w:pPr>
              <w:jc w:val="center"/>
              <w:rPr>
                <w:rFonts w:ascii="Calibri" w:hAnsi="Calibri"/>
                <w:sz w:val="20"/>
                <w:szCs w:val="20"/>
              </w:rPr>
            </w:pPr>
            <w:r>
              <w:rPr>
                <w:rFonts w:ascii="Calibri" w:hAnsi="Calibri"/>
                <w:sz w:val="20"/>
                <w:szCs w:val="20"/>
              </w:rPr>
              <w:t>55.2</w:t>
            </w:r>
          </w:p>
        </w:tc>
      </w:tr>
      <w:tr w:rsidR="009C0561" w:rsidRPr="00EB5D55" w14:paraId="32FA152A" w14:textId="77777777" w:rsidTr="009C0561">
        <w:tc>
          <w:tcPr>
            <w:tcW w:w="1697" w:type="dxa"/>
          </w:tcPr>
          <w:p w14:paraId="1C86F964" w14:textId="77777777" w:rsidR="009C0561" w:rsidRPr="00EB5D55" w:rsidRDefault="009C0561" w:rsidP="008F2513">
            <w:pPr>
              <w:pStyle w:val="BodyTextIndent"/>
              <w:spacing w:after="0"/>
              <w:ind w:left="0" w:right="-720"/>
              <w:rPr>
                <w:rFonts w:ascii="Calibri" w:hAnsi="Calibri"/>
                <w:sz w:val="20"/>
                <w:szCs w:val="20"/>
              </w:rPr>
            </w:pPr>
            <w:r w:rsidRPr="00EB5D55">
              <w:rPr>
                <w:rFonts w:ascii="Calibri" w:hAnsi="Calibri"/>
                <w:sz w:val="20"/>
                <w:szCs w:val="20"/>
              </w:rPr>
              <w:t>Total</w:t>
            </w:r>
          </w:p>
        </w:tc>
        <w:tc>
          <w:tcPr>
            <w:tcW w:w="875" w:type="dxa"/>
          </w:tcPr>
          <w:p w14:paraId="011A3957"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10,266</w:t>
            </w:r>
          </w:p>
        </w:tc>
        <w:tc>
          <w:tcPr>
            <w:tcW w:w="902" w:type="dxa"/>
          </w:tcPr>
          <w:p w14:paraId="66166112"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100.0</w:t>
            </w:r>
          </w:p>
        </w:tc>
        <w:tc>
          <w:tcPr>
            <w:tcW w:w="1132" w:type="dxa"/>
          </w:tcPr>
          <w:p w14:paraId="0396DEAA"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10,595</w:t>
            </w:r>
          </w:p>
        </w:tc>
        <w:tc>
          <w:tcPr>
            <w:tcW w:w="1105" w:type="dxa"/>
          </w:tcPr>
          <w:p w14:paraId="4DE8C6A5" w14:textId="77777777" w:rsidR="009C0561" w:rsidRPr="00EB5D55" w:rsidRDefault="009C0561" w:rsidP="008F2513">
            <w:pPr>
              <w:pStyle w:val="Footer"/>
              <w:jc w:val="center"/>
              <w:rPr>
                <w:rFonts w:ascii="Calibri" w:hAnsi="Calibri"/>
                <w:sz w:val="20"/>
                <w:szCs w:val="20"/>
              </w:rPr>
            </w:pPr>
            <w:r w:rsidRPr="00EB5D55">
              <w:rPr>
                <w:rFonts w:ascii="Calibri" w:hAnsi="Calibri"/>
                <w:sz w:val="20"/>
                <w:szCs w:val="20"/>
              </w:rPr>
              <w:t>100.0</w:t>
            </w:r>
          </w:p>
        </w:tc>
        <w:tc>
          <w:tcPr>
            <w:tcW w:w="930" w:type="dxa"/>
          </w:tcPr>
          <w:p w14:paraId="76198C31" w14:textId="77777777" w:rsidR="009C0561" w:rsidRPr="00EB5D55" w:rsidRDefault="009C0561" w:rsidP="008F2513">
            <w:pPr>
              <w:jc w:val="center"/>
              <w:rPr>
                <w:rFonts w:ascii="Calibri" w:hAnsi="Calibri"/>
                <w:sz w:val="20"/>
                <w:szCs w:val="20"/>
              </w:rPr>
            </w:pPr>
            <w:r>
              <w:rPr>
                <w:rFonts w:ascii="Calibri" w:hAnsi="Calibri"/>
                <w:sz w:val="20"/>
                <w:szCs w:val="20"/>
              </w:rPr>
              <w:t>10,373</w:t>
            </w:r>
          </w:p>
        </w:tc>
        <w:tc>
          <w:tcPr>
            <w:tcW w:w="979" w:type="dxa"/>
          </w:tcPr>
          <w:p w14:paraId="4D24355A" w14:textId="77777777" w:rsidR="009C0561" w:rsidRPr="00EB5D55" w:rsidRDefault="009C0561" w:rsidP="008F2513">
            <w:pPr>
              <w:jc w:val="center"/>
              <w:rPr>
                <w:rFonts w:ascii="Calibri" w:hAnsi="Calibri"/>
                <w:sz w:val="20"/>
                <w:szCs w:val="20"/>
              </w:rPr>
            </w:pPr>
            <w:r>
              <w:rPr>
                <w:rFonts w:ascii="Calibri" w:hAnsi="Calibri"/>
                <w:sz w:val="20"/>
                <w:szCs w:val="20"/>
              </w:rPr>
              <w:t>100.0</w:t>
            </w:r>
          </w:p>
        </w:tc>
        <w:tc>
          <w:tcPr>
            <w:tcW w:w="1021" w:type="dxa"/>
            <w:shd w:val="clear" w:color="auto" w:fill="auto"/>
          </w:tcPr>
          <w:p w14:paraId="011F99C9" w14:textId="3333AF5E" w:rsidR="009C0561" w:rsidRPr="00EB5D55" w:rsidRDefault="00B46885" w:rsidP="008F2513">
            <w:pPr>
              <w:jc w:val="center"/>
              <w:rPr>
                <w:rFonts w:ascii="Calibri" w:hAnsi="Calibri"/>
                <w:sz w:val="20"/>
                <w:szCs w:val="20"/>
              </w:rPr>
            </w:pPr>
            <w:r>
              <w:rPr>
                <w:rFonts w:ascii="Calibri" w:hAnsi="Calibri"/>
                <w:sz w:val="20"/>
                <w:szCs w:val="20"/>
              </w:rPr>
              <w:t>10,765</w:t>
            </w:r>
          </w:p>
        </w:tc>
        <w:tc>
          <w:tcPr>
            <w:tcW w:w="1007" w:type="dxa"/>
            <w:shd w:val="clear" w:color="auto" w:fill="auto"/>
          </w:tcPr>
          <w:p w14:paraId="345B7090" w14:textId="675D8A52" w:rsidR="009C0561" w:rsidRPr="00EB5D55" w:rsidRDefault="00B46885" w:rsidP="008F2513">
            <w:pPr>
              <w:jc w:val="center"/>
              <w:rPr>
                <w:rFonts w:ascii="Calibri" w:hAnsi="Calibri"/>
                <w:sz w:val="20"/>
                <w:szCs w:val="20"/>
              </w:rPr>
            </w:pPr>
            <w:r>
              <w:rPr>
                <w:rFonts w:ascii="Calibri" w:hAnsi="Calibri"/>
                <w:sz w:val="20"/>
                <w:szCs w:val="20"/>
              </w:rPr>
              <w:t>100.0</w:t>
            </w:r>
          </w:p>
        </w:tc>
      </w:tr>
      <w:tr w:rsidR="009C0561" w:rsidRPr="00EB5D55" w14:paraId="1642BDB5" w14:textId="77777777" w:rsidTr="009C0561">
        <w:trPr>
          <w:cantSplit/>
        </w:trPr>
        <w:tc>
          <w:tcPr>
            <w:tcW w:w="1697" w:type="dxa"/>
          </w:tcPr>
          <w:p w14:paraId="3F0AAADC" w14:textId="77777777" w:rsidR="009C0561" w:rsidRPr="00EB5D55" w:rsidRDefault="009C0561" w:rsidP="008F2513">
            <w:pPr>
              <w:pStyle w:val="BodyTextIndent"/>
              <w:spacing w:after="0"/>
              <w:ind w:left="0" w:right="-720"/>
              <w:rPr>
                <w:rFonts w:ascii="Calibri" w:hAnsi="Calibri"/>
                <w:sz w:val="20"/>
                <w:szCs w:val="20"/>
              </w:rPr>
            </w:pPr>
            <w:r w:rsidRPr="00EB5D55">
              <w:rPr>
                <w:rFonts w:ascii="Calibri" w:hAnsi="Calibri"/>
                <w:sz w:val="20"/>
                <w:szCs w:val="20"/>
              </w:rPr>
              <w:t>Median income</w:t>
            </w:r>
          </w:p>
        </w:tc>
        <w:tc>
          <w:tcPr>
            <w:tcW w:w="1777" w:type="dxa"/>
            <w:gridSpan w:val="2"/>
          </w:tcPr>
          <w:p w14:paraId="17499DC4" w14:textId="77777777" w:rsidR="009C0561" w:rsidRPr="00EB5D55" w:rsidRDefault="009C0561" w:rsidP="008F2513">
            <w:pPr>
              <w:jc w:val="center"/>
              <w:rPr>
                <w:rFonts w:ascii="Calibri" w:hAnsi="Calibri"/>
                <w:sz w:val="20"/>
                <w:szCs w:val="20"/>
              </w:rPr>
            </w:pPr>
            <w:r w:rsidRPr="00EB5D55">
              <w:rPr>
                <w:rFonts w:ascii="Calibri" w:hAnsi="Calibri"/>
                <w:sz w:val="20"/>
                <w:szCs w:val="20"/>
              </w:rPr>
              <w:t>$60,357</w:t>
            </w:r>
          </w:p>
        </w:tc>
        <w:tc>
          <w:tcPr>
            <w:tcW w:w="2237" w:type="dxa"/>
            <w:gridSpan w:val="2"/>
            <w:tcBorders>
              <w:top w:val="nil"/>
            </w:tcBorders>
          </w:tcPr>
          <w:p w14:paraId="7E363048" w14:textId="77777777" w:rsidR="009C0561" w:rsidRPr="00EB5D55" w:rsidRDefault="009C0561" w:rsidP="008F2513">
            <w:pPr>
              <w:jc w:val="center"/>
              <w:rPr>
                <w:rFonts w:ascii="Calibri" w:hAnsi="Calibri"/>
                <w:sz w:val="20"/>
                <w:szCs w:val="20"/>
              </w:rPr>
            </w:pPr>
            <w:r w:rsidRPr="00EB5D55">
              <w:rPr>
                <w:rFonts w:ascii="Calibri" w:hAnsi="Calibri"/>
                <w:sz w:val="20"/>
                <w:szCs w:val="20"/>
              </w:rPr>
              <w:t>$88,079</w:t>
            </w:r>
          </w:p>
        </w:tc>
        <w:tc>
          <w:tcPr>
            <w:tcW w:w="1909" w:type="dxa"/>
            <w:gridSpan w:val="2"/>
          </w:tcPr>
          <w:p w14:paraId="7FE73051" w14:textId="77777777" w:rsidR="009C0561" w:rsidRPr="00EB5D55" w:rsidRDefault="009C0561" w:rsidP="008F2513">
            <w:pPr>
              <w:jc w:val="center"/>
              <w:rPr>
                <w:rFonts w:ascii="Calibri" w:hAnsi="Calibri"/>
                <w:sz w:val="20"/>
                <w:szCs w:val="20"/>
              </w:rPr>
            </w:pPr>
            <w:r>
              <w:rPr>
                <w:rFonts w:ascii="Calibri" w:hAnsi="Calibri"/>
                <w:sz w:val="20"/>
                <w:szCs w:val="20"/>
              </w:rPr>
              <w:t>$114,365</w:t>
            </w:r>
          </w:p>
        </w:tc>
        <w:tc>
          <w:tcPr>
            <w:tcW w:w="2028" w:type="dxa"/>
            <w:gridSpan w:val="2"/>
            <w:shd w:val="clear" w:color="auto" w:fill="auto"/>
          </w:tcPr>
          <w:p w14:paraId="63357E7F" w14:textId="4436A901" w:rsidR="009C0561" w:rsidRPr="00EB5D55" w:rsidRDefault="00B46885" w:rsidP="008F2513">
            <w:pPr>
              <w:jc w:val="center"/>
              <w:rPr>
                <w:rFonts w:ascii="Calibri" w:hAnsi="Calibri"/>
                <w:sz w:val="20"/>
                <w:szCs w:val="20"/>
              </w:rPr>
            </w:pPr>
            <w:r>
              <w:rPr>
                <w:rFonts w:ascii="Calibri" w:hAnsi="Calibri"/>
                <w:sz w:val="20"/>
                <w:szCs w:val="20"/>
              </w:rPr>
              <w:t>$174,707</w:t>
            </w:r>
          </w:p>
        </w:tc>
      </w:tr>
    </w:tbl>
    <w:p w14:paraId="19748DFE" w14:textId="77777777" w:rsidR="00A52FAA" w:rsidRDefault="008772FC" w:rsidP="008772FC">
      <w:pPr>
        <w:ind w:right="-720"/>
        <w:jc w:val="both"/>
        <w:rPr>
          <w:rFonts w:ascii="Calibri" w:hAnsi="Calibri"/>
          <w:sz w:val="20"/>
          <w:szCs w:val="20"/>
        </w:rPr>
      </w:pPr>
      <w:r w:rsidRPr="00EB5D55">
        <w:rPr>
          <w:rFonts w:ascii="Calibri" w:hAnsi="Calibri"/>
          <w:sz w:val="20"/>
          <w:szCs w:val="20"/>
        </w:rPr>
        <w:t>Source:  U.S. Census Bureau, Census 1990 and 2000 Summary File 3, and American Community Survey 200</w:t>
      </w:r>
      <w:r w:rsidR="00A52FAA">
        <w:rPr>
          <w:rFonts w:ascii="Calibri" w:hAnsi="Calibri"/>
          <w:sz w:val="20"/>
          <w:szCs w:val="20"/>
        </w:rPr>
        <w:t>6</w:t>
      </w:r>
      <w:r w:rsidRPr="00EB5D55">
        <w:rPr>
          <w:rFonts w:ascii="Calibri" w:hAnsi="Calibri"/>
          <w:sz w:val="20"/>
          <w:szCs w:val="20"/>
        </w:rPr>
        <w:t>-201</w:t>
      </w:r>
      <w:r w:rsidR="00A52FAA">
        <w:rPr>
          <w:rFonts w:ascii="Calibri" w:hAnsi="Calibri"/>
          <w:sz w:val="20"/>
          <w:szCs w:val="20"/>
        </w:rPr>
        <w:t>0</w:t>
      </w:r>
    </w:p>
    <w:p w14:paraId="2777F675" w14:textId="674E2AE0" w:rsidR="008772FC" w:rsidRPr="00EB5D55" w:rsidRDefault="009B525B" w:rsidP="008772FC">
      <w:pPr>
        <w:ind w:right="-720"/>
        <w:jc w:val="both"/>
        <w:rPr>
          <w:rFonts w:ascii="Calibri" w:hAnsi="Calibri"/>
          <w:sz w:val="20"/>
          <w:szCs w:val="20"/>
        </w:rPr>
      </w:pPr>
      <w:r>
        <w:rPr>
          <w:rFonts w:ascii="Calibri" w:hAnsi="Calibri"/>
          <w:sz w:val="20"/>
          <w:szCs w:val="20"/>
        </w:rPr>
        <w:t>a</w:t>
      </w:r>
      <w:r w:rsidR="00A52FAA">
        <w:rPr>
          <w:rFonts w:ascii="Calibri" w:hAnsi="Calibri"/>
          <w:sz w:val="20"/>
          <w:szCs w:val="20"/>
        </w:rPr>
        <w:t>nd 201</w:t>
      </w:r>
      <w:r w:rsidR="006A6C86">
        <w:rPr>
          <w:rFonts w:ascii="Calibri" w:hAnsi="Calibri"/>
          <w:sz w:val="20"/>
          <w:szCs w:val="20"/>
        </w:rPr>
        <w:t>6</w:t>
      </w:r>
      <w:r w:rsidR="00A52FAA">
        <w:rPr>
          <w:rFonts w:ascii="Calibri" w:hAnsi="Calibri"/>
          <w:sz w:val="20"/>
          <w:szCs w:val="20"/>
        </w:rPr>
        <w:t>-20</w:t>
      </w:r>
      <w:r w:rsidR="006A6C86">
        <w:rPr>
          <w:rFonts w:ascii="Calibri" w:hAnsi="Calibri"/>
          <w:sz w:val="20"/>
          <w:szCs w:val="20"/>
        </w:rPr>
        <w:t>20</w:t>
      </w:r>
      <w:r w:rsidR="00A52FAA">
        <w:rPr>
          <w:rFonts w:ascii="Calibri" w:hAnsi="Calibri"/>
          <w:sz w:val="20"/>
          <w:szCs w:val="20"/>
        </w:rPr>
        <w:t xml:space="preserve"> 5-Year Estimates.</w:t>
      </w:r>
    </w:p>
    <w:p w14:paraId="4036AE49" w14:textId="77777777" w:rsidR="008772FC" w:rsidRPr="00EB5D55" w:rsidRDefault="008772FC" w:rsidP="008772FC">
      <w:pPr>
        <w:pStyle w:val="BodyTextIndent"/>
        <w:spacing w:after="0"/>
        <w:ind w:left="0" w:right="-720"/>
        <w:jc w:val="center"/>
        <w:rPr>
          <w:rFonts w:ascii="Calibri" w:hAnsi="Calibri"/>
          <w:b/>
          <w:sz w:val="22"/>
          <w:szCs w:val="22"/>
        </w:rPr>
      </w:pPr>
    </w:p>
    <w:p w14:paraId="0CC900D0" w14:textId="4150287C" w:rsidR="00587433" w:rsidRPr="004E50E7" w:rsidRDefault="00B46885" w:rsidP="00587433">
      <w:pPr>
        <w:pStyle w:val="BodyTextIndent"/>
        <w:pBdr>
          <w:top w:val="single" w:sz="4" w:space="1" w:color="auto"/>
          <w:left w:val="single" w:sz="4" w:space="4" w:color="auto"/>
          <w:bottom w:val="single" w:sz="4" w:space="1" w:color="auto"/>
          <w:right w:val="single" w:sz="4" w:space="4" w:color="auto"/>
        </w:pBdr>
        <w:shd w:val="clear" w:color="auto" w:fill="B6DDE8" w:themeFill="accent5" w:themeFillTint="66"/>
        <w:ind w:left="0" w:right="90"/>
        <w:jc w:val="center"/>
        <w:rPr>
          <w:rFonts w:ascii="Calibri" w:hAnsi="Calibri"/>
        </w:rPr>
      </w:pPr>
      <w:r>
        <w:rPr>
          <w:rFonts w:ascii="Calibri" w:hAnsi="Calibri"/>
        </w:rPr>
        <w:t>44</w:t>
      </w:r>
      <w:r w:rsidR="00BF62F3">
        <w:rPr>
          <w:rFonts w:ascii="Calibri" w:hAnsi="Calibri"/>
        </w:rPr>
        <w:t>%</w:t>
      </w:r>
      <w:r w:rsidR="008772FC" w:rsidRPr="004E50E7">
        <w:rPr>
          <w:rFonts w:ascii="Calibri" w:hAnsi="Calibri"/>
        </w:rPr>
        <w:t xml:space="preserve"> of all households</w:t>
      </w:r>
      <w:r w:rsidR="005F0EB5">
        <w:rPr>
          <w:rFonts w:ascii="Calibri" w:hAnsi="Calibri"/>
        </w:rPr>
        <w:t xml:space="preserve"> </w:t>
      </w:r>
      <w:r w:rsidR="008772FC" w:rsidRPr="004E50E7">
        <w:rPr>
          <w:rFonts w:ascii="Calibri" w:hAnsi="Calibri"/>
        </w:rPr>
        <w:t xml:space="preserve">earned more than $200,000 </w:t>
      </w:r>
      <w:r>
        <w:rPr>
          <w:rFonts w:ascii="Calibri" w:hAnsi="Calibri"/>
        </w:rPr>
        <w:t>according to</w:t>
      </w:r>
      <w:r w:rsidR="008772FC" w:rsidRPr="004E50E7">
        <w:rPr>
          <w:rFonts w:ascii="Calibri" w:hAnsi="Calibri"/>
        </w:rPr>
        <w:t xml:space="preserve"> 20</w:t>
      </w:r>
      <w:r>
        <w:rPr>
          <w:rFonts w:ascii="Calibri" w:hAnsi="Calibri"/>
        </w:rPr>
        <w:t xml:space="preserve">20 </w:t>
      </w:r>
      <w:r w:rsidR="00BF62F3">
        <w:rPr>
          <w:rFonts w:ascii="Calibri" w:hAnsi="Calibri"/>
        </w:rPr>
        <w:t>census estimates</w:t>
      </w:r>
      <w:r w:rsidR="008772FC" w:rsidRPr="004E50E7">
        <w:rPr>
          <w:rFonts w:ascii="Calibri" w:hAnsi="Calibri"/>
        </w:rPr>
        <w:t>.</w:t>
      </w:r>
    </w:p>
    <w:p w14:paraId="15C8BCFB" w14:textId="30D3A009" w:rsidR="00B23B62" w:rsidRPr="00EB5D55" w:rsidRDefault="00B23B62" w:rsidP="00B23B62">
      <w:pPr>
        <w:pStyle w:val="BodyTextIndent"/>
        <w:spacing w:after="0"/>
        <w:ind w:left="0"/>
        <w:jc w:val="both"/>
        <w:rPr>
          <w:rFonts w:ascii="Calibri" w:hAnsi="Calibri"/>
          <w:sz w:val="22"/>
          <w:szCs w:val="22"/>
        </w:rPr>
      </w:pPr>
      <w:r w:rsidRPr="00EB5D55">
        <w:rPr>
          <w:rFonts w:ascii="Calibri" w:hAnsi="Calibri"/>
          <w:iCs/>
          <w:sz w:val="22"/>
          <w:szCs w:val="22"/>
        </w:rPr>
        <w:t>The income distribution of families shows even higher income levels with a median of $</w:t>
      </w:r>
      <w:r w:rsidR="00C67633">
        <w:rPr>
          <w:rFonts w:ascii="Calibri" w:hAnsi="Calibri"/>
          <w:iCs/>
          <w:sz w:val="22"/>
          <w:szCs w:val="22"/>
        </w:rPr>
        <w:t>213,438</w:t>
      </w:r>
      <w:r w:rsidRPr="00EB5D55">
        <w:rPr>
          <w:rFonts w:ascii="Calibri" w:hAnsi="Calibri"/>
          <w:iCs/>
          <w:sz w:val="22"/>
          <w:szCs w:val="22"/>
        </w:rPr>
        <w:t xml:space="preserve"> </w:t>
      </w:r>
      <w:r>
        <w:rPr>
          <w:rFonts w:ascii="Calibri" w:hAnsi="Calibri"/>
          <w:iCs/>
          <w:sz w:val="22"/>
          <w:szCs w:val="22"/>
        </w:rPr>
        <w:t xml:space="preserve">and </w:t>
      </w:r>
      <w:r w:rsidR="00C67633">
        <w:rPr>
          <w:rFonts w:ascii="Calibri" w:hAnsi="Calibri"/>
          <w:iCs/>
          <w:sz w:val="22"/>
          <w:szCs w:val="22"/>
        </w:rPr>
        <w:t>78.2</w:t>
      </w:r>
      <w:r>
        <w:rPr>
          <w:rFonts w:ascii="Calibri" w:hAnsi="Calibri"/>
          <w:iCs/>
          <w:sz w:val="22"/>
          <w:szCs w:val="22"/>
        </w:rPr>
        <w:t>%</w:t>
      </w:r>
      <w:r w:rsidRPr="00EB5D55">
        <w:rPr>
          <w:rFonts w:ascii="Calibri" w:hAnsi="Calibri"/>
          <w:iCs/>
          <w:sz w:val="22"/>
          <w:szCs w:val="22"/>
        </w:rPr>
        <w:t xml:space="preserve"> earning more than $100,000 </w:t>
      </w:r>
      <w:r w:rsidR="00B851A4">
        <w:rPr>
          <w:rFonts w:ascii="Calibri" w:hAnsi="Calibri"/>
          <w:iCs/>
          <w:sz w:val="22"/>
          <w:szCs w:val="22"/>
        </w:rPr>
        <w:t>including</w:t>
      </w:r>
      <w:r w:rsidRPr="00EB5D55">
        <w:rPr>
          <w:rFonts w:ascii="Calibri" w:hAnsi="Calibri"/>
          <w:iCs/>
          <w:sz w:val="22"/>
          <w:szCs w:val="22"/>
        </w:rPr>
        <w:t xml:space="preserve"> </w:t>
      </w:r>
      <w:r w:rsidR="00C67633">
        <w:rPr>
          <w:rFonts w:ascii="Calibri" w:hAnsi="Calibri"/>
          <w:iCs/>
          <w:sz w:val="22"/>
          <w:szCs w:val="22"/>
        </w:rPr>
        <w:t>52.6</w:t>
      </w:r>
      <w:r w:rsidRPr="00EB5D55">
        <w:rPr>
          <w:rFonts w:ascii="Calibri" w:hAnsi="Calibri"/>
          <w:iCs/>
          <w:sz w:val="22"/>
          <w:szCs w:val="22"/>
        </w:rPr>
        <w:t xml:space="preserve">% </w:t>
      </w:r>
      <w:r>
        <w:rPr>
          <w:rFonts w:ascii="Calibri" w:hAnsi="Calibri"/>
          <w:iCs/>
          <w:sz w:val="22"/>
          <w:szCs w:val="22"/>
        </w:rPr>
        <w:t>with incomes of</w:t>
      </w:r>
      <w:r w:rsidRPr="00EB5D55">
        <w:rPr>
          <w:rFonts w:ascii="Calibri" w:hAnsi="Calibri"/>
          <w:iCs/>
          <w:sz w:val="22"/>
          <w:szCs w:val="22"/>
        </w:rPr>
        <w:t xml:space="preserve"> more than $200,000,</w:t>
      </w:r>
      <w:r w:rsidRPr="00EB5D55">
        <w:rPr>
          <w:rFonts w:ascii="Calibri" w:hAnsi="Calibri"/>
          <w:bCs/>
          <w:iCs/>
          <w:sz w:val="22"/>
          <w:szCs w:val="22"/>
        </w:rPr>
        <w:t xml:space="preserve"> a finding highly correlated with the greater prevalence of two-worker families</w:t>
      </w:r>
      <w:r w:rsidRPr="00EB5D55">
        <w:rPr>
          <w:rFonts w:ascii="Calibri" w:hAnsi="Calibri"/>
          <w:bCs/>
          <w:sz w:val="22"/>
          <w:szCs w:val="22"/>
        </w:rPr>
        <w:t xml:space="preserve">. </w:t>
      </w:r>
      <w:r w:rsidRPr="00EB5D55">
        <w:rPr>
          <w:rFonts w:ascii="Calibri" w:hAnsi="Calibri"/>
          <w:sz w:val="22"/>
          <w:szCs w:val="22"/>
        </w:rPr>
        <w:t xml:space="preserve"> </w:t>
      </w:r>
    </w:p>
    <w:p w14:paraId="5106B0D0" w14:textId="77777777" w:rsidR="00B23B62" w:rsidRDefault="00B23B62" w:rsidP="00B23B62">
      <w:pPr>
        <w:pStyle w:val="BodyTextIndent"/>
        <w:spacing w:after="0"/>
        <w:ind w:left="0" w:right="-720"/>
        <w:rPr>
          <w:rFonts w:ascii="Calibri" w:hAnsi="Calibri"/>
          <w:i/>
          <w:sz w:val="22"/>
          <w:szCs w:val="22"/>
        </w:rPr>
      </w:pPr>
    </w:p>
    <w:p w14:paraId="3B1D4550" w14:textId="200E86A9" w:rsidR="00462BEE" w:rsidRPr="004E50E7" w:rsidRDefault="00462BEE" w:rsidP="00462BEE">
      <w:pPr>
        <w:pStyle w:val="BodyText"/>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rPr>
      </w:pPr>
      <w:r w:rsidRPr="004E50E7">
        <w:rPr>
          <w:rFonts w:ascii="Calibri" w:hAnsi="Calibri"/>
        </w:rPr>
        <w:t xml:space="preserve">Despite </w:t>
      </w:r>
      <w:r>
        <w:rPr>
          <w:rFonts w:ascii="Calibri" w:hAnsi="Calibri"/>
        </w:rPr>
        <w:t xml:space="preserve">generally </w:t>
      </w:r>
      <w:r w:rsidRPr="004E50E7">
        <w:rPr>
          <w:rFonts w:ascii="Calibri" w:hAnsi="Calibri"/>
        </w:rPr>
        <w:t xml:space="preserve">growing prosperity, </w:t>
      </w:r>
      <w:r w:rsidRPr="004E50E7">
        <w:rPr>
          <w:rFonts w:ascii="Calibri" w:hAnsi="Calibri"/>
          <w:bCs/>
        </w:rPr>
        <w:t xml:space="preserve">there remains a vulnerable population living in </w:t>
      </w:r>
      <w:r w:rsidRPr="004E50E7">
        <w:rPr>
          <w:rFonts w:ascii="Calibri" w:hAnsi="Calibri"/>
        </w:rPr>
        <w:t>Needham with very limited financial means</w:t>
      </w:r>
      <w:r>
        <w:rPr>
          <w:rFonts w:ascii="Calibri" w:hAnsi="Calibri"/>
        </w:rPr>
        <w:t xml:space="preserve"> as 1,157 households or </w:t>
      </w:r>
      <w:r w:rsidR="00DF1624">
        <w:rPr>
          <w:rFonts w:ascii="Calibri" w:hAnsi="Calibri"/>
        </w:rPr>
        <w:t>10.8</w:t>
      </w:r>
      <w:r>
        <w:rPr>
          <w:rFonts w:ascii="Calibri" w:hAnsi="Calibri"/>
        </w:rPr>
        <w:t xml:space="preserve">% of all households </w:t>
      </w:r>
      <w:r w:rsidR="00DF1624">
        <w:rPr>
          <w:rFonts w:ascii="Calibri" w:hAnsi="Calibri"/>
        </w:rPr>
        <w:t>were estimated to have</w:t>
      </w:r>
      <w:r>
        <w:rPr>
          <w:rFonts w:ascii="Calibri" w:hAnsi="Calibri"/>
        </w:rPr>
        <w:t xml:space="preserve"> incomes of less than $35,000</w:t>
      </w:r>
      <w:r w:rsidR="00B851A4">
        <w:rPr>
          <w:rFonts w:ascii="Calibri" w:hAnsi="Calibri"/>
        </w:rPr>
        <w:t xml:space="preserve"> in 2020</w:t>
      </w:r>
      <w:r>
        <w:rPr>
          <w:rFonts w:ascii="Calibri" w:hAnsi="Calibri"/>
        </w:rPr>
        <w:t xml:space="preserve">, including </w:t>
      </w:r>
      <w:r w:rsidR="00DF1624">
        <w:rPr>
          <w:rFonts w:ascii="Calibri" w:hAnsi="Calibri"/>
        </w:rPr>
        <w:t>625</w:t>
      </w:r>
      <w:r>
        <w:rPr>
          <w:rFonts w:ascii="Calibri" w:hAnsi="Calibri"/>
        </w:rPr>
        <w:t xml:space="preserve"> or </w:t>
      </w:r>
      <w:r w:rsidR="00DF1624">
        <w:rPr>
          <w:rFonts w:ascii="Calibri" w:hAnsi="Calibri"/>
        </w:rPr>
        <w:t>5.8</w:t>
      </w:r>
      <w:r>
        <w:rPr>
          <w:rFonts w:ascii="Calibri" w:hAnsi="Calibri"/>
        </w:rPr>
        <w:t>% earning less than $25,000</w:t>
      </w:r>
      <w:r w:rsidRPr="004E50E7">
        <w:rPr>
          <w:rFonts w:ascii="Calibri" w:hAnsi="Calibri"/>
        </w:rPr>
        <w:t>.</w:t>
      </w:r>
    </w:p>
    <w:p w14:paraId="6CF8E0DB" w14:textId="2A02DD20" w:rsidR="00462BEE" w:rsidRDefault="00462BEE" w:rsidP="00462BEE">
      <w:pPr>
        <w:pStyle w:val="BodyText"/>
        <w:spacing w:after="0"/>
        <w:jc w:val="both"/>
        <w:rPr>
          <w:rFonts w:ascii="Calibri" w:hAnsi="Calibri"/>
          <w:sz w:val="22"/>
          <w:szCs w:val="22"/>
        </w:rPr>
      </w:pPr>
      <w:r w:rsidRPr="004D5DBC">
        <w:rPr>
          <w:rFonts w:ascii="Calibri" w:hAnsi="Calibri"/>
          <w:sz w:val="22"/>
          <w:szCs w:val="22"/>
        </w:rPr>
        <w:lastRenderedPageBreak/>
        <w:t xml:space="preserve">Some of </w:t>
      </w:r>
      <w:r w:rsidR="00DF1624">
        <w:rPr>
          <w:rFonts w:ascii="Calibri" w:hAnsi="Calibri"/>
          <w:sz w:val="22"/>
          <w:szCs w:val="22"/>
        </w:rPr>
        <w:t>Needham’s</w:t>
      </w:r>
      <w:r>
        <w:rPr>
          <w:rFonts w:ascii="Calibri" w:hAnsi="Calibri"/>
          <w:sz w:val="22"/>
          <w:szCs w:val="22"/>
        </w:rPr>
        <w:t xml:space="preserve"> lower income</w:t>
      </w:r>
      <w:r w:rsidRPr="004D5DBC">
        <w:rPr>
          <w:rFonts w:ascii="Calibri" w:hAnsi="Calibri"/>
          <w:sz w:val="22"/>
          <w:szCs w:val="22"/>
        </w:rPr>
        <w:t xml:space="preserve"> households </w:t>
      </w:r>
      <w:r w:rsidR="00DF1624">
        <w:rPr>
          <w:rFonts w:ascii="Calibri" w:hAnsi="Calibri"/>
          <w:sz w:val="22"/>
          <w:szCs w:val="22"/>
        </w:rPr>
        <w:t xml:space="preserve">likely </w:t>
      </w:r>
      <w:r w:rsidRPr="004D5DBC">
        <w:rPr>
          <w:rFonts w:ascii="Calibri" w:hAnsi="Calibri"/>
          <w:sz w:val="22"/>
          <w:szCs w:val="22"/>
        </w:rPr>
        <w:t xml:space="preserve">live in subsidized housing, while others might be retired and/or disabled, living on fixed incomes.  Others may </w:t>
      </w:r>
      <w:r>
        <w:rPr>
          <w:rFonts w:ascii="Calibri" w:hAnsi="Calibri"/>
          <w:sz w:val="22"/>
          <w:szCs w:val="22"/>
        </w:rPr>
        <w:t>need to</w:t>
      </w:r>
      <w:r w:rsidRPr="004D5DBC">
        <w:rPr>
          <w:rFonts w:ascii="Calibri" w:hAnsi="Calibri"/>
          <w:sz w:val="22"/>
          <w:szCs w:val="22"/>
        </w:rPr>
        <w:t xml:space="preserve"> leave the community entirely </w:t>
      </w:r>
      <w:r>
        <w:rPr>
          <w:rFonts w:ascii="Calibri" w:hAnsi="Calibri"/>
          <w:sz w:val="22"/>
          <w:szCs w:val="22"/>
        </w:rPr>
        <w:t xml:space="preserve">at some point </w:t>
      </w:r>
      <w:r w:rsidRPr="004D5DBC">
        <w:rPr>
          <w:rFonts w:ascii="Calibri" w:hAnsi="Calibri"/>
          <w:sz w:val="22"/>
          <w:szCs w:val="22"/>
        </w:rPr>
        <w:t xml:space="preserve">because </w:t>
      </w:r>
      <w:r>
        <w:rPr>
          <w:rFonts w:ascii="Calibri" w:hAnsi="Calibri"/>
          <w:sz w:val="22"/>
          <w:szCs w:val="22"/>
        </w:rPr>
        <w:t>of rising housing costs</w:t>
      </w:r>
      <w:r w:rsidRPr="004D5DBC">
        <w:rPr>
          <w:rFonts w:ascii="Calibri" w:hAnsi="Calibri"/>
          <w:sz w:val="22"/>
          <w:szCs w:val="22"/>
        </w:rPr>
        <w:t xml:space="preserve">.  </w:t>
      </w:r>
    </w:p>
    <w:p w14:paraId="6B343C73" w14:textId="4F0D8DF9" w:rsidR="008772FC" w:rsidRDefault="00C67633" w:rsidP="008772FC">
      <w:pPr>
        <w:pStyle w:val="BodyTextIndent"/>
        <w:ind w:left="0" w:right="-720"/>
        <w:jc w:val="center"/>
        <w:rPr>
          <w:rFonts w:ascii="Calibri" w:hAnsi="Calibri"/>
          <w:bCs/>
        </w:rPr>
      </w:pPr>
      <w:r>
        <w:rPr>
          <w:noProof/>
        </w:rPr>
        <w:drawing>
          <wp:inline distT="0" distB="0" distL="0" distR="0" wp14:anchorId="560C6FA8" wp14:editId="0A56AC4A">
            <wp:extent cx="4198620" cy="2945130"/>
            <wp:effectExtent l="0" t="0" r="11430" b="762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8606A4" w14:textId="2E74A137" w:rsidR="008324CB" w:rsidRDefault="008324CB" w:rsidP="002E7CC9">
      <w:pPr>
        <w:pStyle w:val="BodyTextIndent"/>
        <w:ind w:left="0"/>
        <w:jc w:val="both"/>
        <w:rPr>
          <w:rFonts w:ascii="Calibri" w:hAnsi="Calibri"/>
          <w:bCs/>
          <w:sz w:val="22"/>
        </w:rPr>
      </w:pPr>
      <w:r>
        <w:rPr>
          <w:rFonts w:ascii="Calibri" w:hAnsi="Calibri"/>
          <w:sz w:val="22"/>
        </w:rPr>
        <w:t xml:space="preserve">Table </w:t>
      </w:r>
      <w:r w:rsidR="00B23B62">
        <w:rPr>
          <w:rFonts w:ascii="Calibri" w:hAnsi="Calibri"/>
          <w:sz w:val="22"/>
        </w:rPr>
        <w:t>III-13</w:t>
      </w:r>
      <w:r>
        <w:rPr>
          <w:rFonts w:ascii="Calibri" w:hAnsi="Calibri"/>
          <w:sz w:val="22"/>
        </w:rPr>
        <w:t xml:space="preserve"> provides</w:t>
      </w:r>
      <w:r w:rsidR="0064089C">
        <w:rPr>
          <w:rFonts w:ascii="Calibri" w:hAnsi="Calibri"/>
          <w:sz w:val="22"/>
        </w:rPr>
        <w:t xml:space="preserve"> comparative</w:t>
      </w:r>
      <w:r>
        <w:rPr>
          <w:rFonts w:ascii="Calibri" w:hAnsi="Calibri"/>
          <w:sz w:val="22"/>
        </w:rPr>
        <w:t xml:space="preserve"> median income levels for various types of households in 20</w:t>
      </w:r>
      <w:r w:rsidR="0061352F">
        <w:rPr>
          <w:rFonts w:ascii="Calibri" w:hAnsi="Calibri"/>
          <w:sz w:val="22"/>
        </w:rPr>
        <w:t>20</w:t>
      </w:r>
      <w:r>
        <w:rPr>
          <w:rFonts w:ascii="Calibri" w:hAnsi="Calibri"/>
          <w:sz w:val="22"/>
        </w:rPr>
        <w:t xml:space="preserve">.  </w:t>
      </w:r>
      <w:r w:rsidRPr="009A77B9">
        <w:rPr>
          <w:rFonts w:ascii="Calibri" w:hAnsi="Calibri"/>
          <w:bCs/>
          <w:sz w:val="22"/>
        </w:rPr>
        <w:t>Not surprisingly, incomes were highest for families, households</w:t>
      </w:r>
      <w:r w:rsidR="00587433" w:rsidRPr="009A77B9">
        <w:rPr>
          <w:rFonts w:ascii="Calibri" w:hAnsi="Calibri"/>
          <w:bCs/>
          <w:sz w:val="22"/>
        </w:rPr>
        <w:t xml:space="preserve"> in the prime of their working lives</w:t>
      </w:r>
      <w:r w:rsidRPr="009A77B9">
        <w:rPr>
          <w:rFonts w:ascii="Calibri" w:hAnsi="Calibri"/>
          <w:bCs/>
          <w:sz w:val="22"/>
        </w:rPr>
        <w:t xml:space="preserve">, </w:t>
      </w:r>
      <w:r w:rsidR="00587433" w:rsidRPr="009A77B9">
        <w:rPr>
          <w:rFonts w:ascii="Calibri" w:hAnsi="Calibri"/>
          <w:bCs/>
          <w:sz w:val="22"/>
        </w:rPr>
        <w:t xml:space="preserve">men, </w:t>
      </w:r>
      <w:r w:rsidRPr="009A77B9">
        <w:rPr>
          <w:rFonts w:ascii="Calibri" w:hAnsi="Calibri"/>
          <w:bCs/>
          <w:sz w:val="22"/>
        </w:rPr>
        <w:t>and homeowners.</w:t>
      </w:r>
      <w:r>
        <w:rPr>
          <w:rFonts w:ascii="Calibri" w:hAnsi="Calibri"/>
          <w:b/>
          <w:bCs/>
          <w:sz w:val="22"/>
        </w:rPr>
        <w:t xml:space="preserve"> </w:t>
      </w:r>
      <w:r>
        <w:rPr>
          <w:rFonts w:ascii="Calibri" w:hAnsi="Calibri"/>
          <w:sz w:val="22"/>
        </w:rPr>
        <w:t xml:space="preserve">The </w:t>
      </w:r>
      <w:r w:rsidR="00587433">
        <w:rPr>
          <w:rFonts w:ascii="Calibri" w:hAnsi="Calibri"/>
          <w:sz w:val="22"/>
        </w:rPr>
        <w:t>Town’s</w:t>
      </w:r>
      <w:r>
        <w:rPr>
          <w:rFonts w:ascii="Calibri" w:hAnsi="Calibri"/>
          <w:sz w:val="22"/>
        </w:rPr>
        <w:t xml:space="preserve"> per capita income was $</w:t>
      </w:r>
      <w:r w:rsidR="00587433">
        <w:rPr>
          <w:rFonts w:ascii="Calibri" w:hAnsi="Calibri"/>
          <w:sz w:val="22"/>
        </w:rPr>
        <w:t>57,716</w:t>
      </w:r>
      <w:r>
        <w:rPr>
          <w:rFonts w:ascii="Calibri" w:hAnsi="Calibri"/>
          <w:sz w:val="22"/>
        </w:rPr>
        <w:t xml:space="preserve"> in 20</w:t>
      </w:r>
      <w:r w:rsidR="00587433">
        <w:rPr>
          <w:rFonts w:ascii="Calibri" w:hAnsi="Calibri"/>
          <w:sz w:val="22"/>
        </w:rPr>
        <w:t>1</w:t>
      </w:r>
      <w:r>
        <w:rPr>
          <w:rFonts w:ascii="Calibri" w:hAnsi="Calibri"/>
          <w:sz w:val="22"/>
        </w:rPr>
        <w:t>0</w:t>
      </w:r>
      <w:r w:rsidR="00787F87">
        <w:rPr>
          <w:rFonts w:ascii="Calibri" w:hAnsi="Calibri"/>
          <w:sz w:val="22"/>
        </w:rPr>
        <w:t>,</w:t>
      </w:r>
      <w:r>
        <w:rPr>
          <w:rFonts w:ascii="Calibri" w:hAnsi="Calibri"/>
          <w:sz w:val="22"/>
        </w:rPr>
        <w:t xml:space="preserve"> increas</w:t>
      </w:r>
      <w:r w:rsidR="00587433">
        <w:rPr>
          <w:rFonts w:ascii="Calibri" w:hAnsi="Calibri"/>
          <w:sz w:val="22"/>
        </w:rPr>
        <w:t>ing</w:t>
      </w:r>
      <w:r>
        <w:rPr>
          <w:rFonts w:ascii="Calibri" w:hAnsi="Calibri"/>
          <w:sz w:val="22"/>
        </w:rPr>
        <w:t xml:space="preserve"> to $</w:t>
      </w:r>
      <w:r w:rsidR="0061352F">
        <w:rPr>
          <w:rFonts w:ascii="Calibri" w:hAnsi="Calibri"/>
          <w:sz w:val="22"/>
        </w:rPr>
        <w:t>80,532</w:t>
      </w:r>
      <w:r>
        <w:rPr>
          <w:rFonts w:ascii="Calibri" w:hAnsi="Calibri"/>
          <w:sz w:val="22"/>
        </w:rPr>
        <w:t xml:space="preserve"> by 20</w:t>
      </w:r>
      <w:r w:rsidR="0061352F">
        <w:rPr>
          <w:rFonts w:ascii="Calibri" w:hAnsi="Calibri"/>
          <w:sz w:val="22"/>
        </w:rPr>
        <w:t>20</w:t>
      </w:r>
      <w:r>
        <w:rPr>
          <w:rFonts w:ascii="Calibri" w:hAnsi="Calibri"/>
          <w:sz w:val="22"/>
        </w:rPr>
        <w:t xml:space="preserve">, </w:t>
      </w:r>
      <w:r w:rsidR="00587433">
        <w:rPr>
          <w:rFonts w:ascii="Calibri" w:hAnsi="Calibri"/>
          <w:sz w:val="22"/>
        </w:rPr>
        <w:t>considerably higher</w:t>
      </w:r>
      <w:r>
        <w:rPr>
          <w:rFonts w:ascii="Calibri" w:hAnsi="Calibri"/>
          <w:sz w:val="22"/>
        </w:rPr>
        <w:t xml:space="preserve"> than the county and state</w:t>
      </w:r>
      <w:r w:rsidR="00587433">
        <w:rPr>
          <w:rFonts w:ascii="Calibri" w:hAnsi="Calibri"/>
          <w:sz w:val="22"/>
        </w:rPr>
        <w:t xml:space="preserve"> medians</w:t>
      </w:r>
      <w:r>
        <w:rPr>
          <w:rFonts w:ascii="Calibri" w:hAnsi="Calibri"/>
          <w:sz w:val="22"/>
        </w:rPr>
        <w:t xml:space="preserve"> of $</w:t>
      </w:r>
      <w:r w:rsidR="002338B9">
        <w:rPr>
          <w:rFonts w:ascii="Calibri" w:hAnsi="Calibri"/>
          <w:sz w:val="22"/>
        </w:rPr>
        <w:t>55,860</w:t>
      </w:r>
      <w:r>
        <w:rPr>
          <w:rFonts w:ascii="Calibri" w:hAnsi="Calibri"/>
          <w:sz w:val="22"/>
        </w:rPr>
        <w:t xml:space="preserve"> and $</w:t>
      </w:r>
      <w:r w:rsidR="002338B9">
        <w:rPr>
          <w:rFonts w:ascii="Calibri" w:hAnsi="Calibri"/>
          <w:sz w:val="22"/>
        </w:rPr>
        <w:t>45,555</w:t>
      </w:r>
      <w:r>
        <w:rPr>
          <w:rFonts w:ascii="Calibri" w:hAnsi="Calibri"/>
          <w:sz w:val="22"/>
        </w:rPr>
        <w:t xml:space="preserve">, respectively.  </w:t>
      </w:r>
      <w:r w:rsidR="00DF6C47" w:rsidRPr="004D5DBC">
        <w:rPr>
          <w:rFonts w:ascii="Calibri" w:hAnsi="Calibri"/>
          <w:sz w:val="22"/>
          <w:szCs w:val="22"/>
        </w:rPr>
        <w:t xml:space="preserve">The median for </w:t>
      </w:r>
      <w:r w:rsidR="00DF6C47">
        <w:rPr>
          <w:rFonts w:ascii="Calibri" w:hAnsi="Calibri"/>
          <w:sz w:val="22"/>
          <w:szCs w:val="22"/>
        </w:rPr>
        <w:t>non-family</w:t>
      </w:r>
      <w:r w:rsidR="00DF6C47" w:rsidRPr="004D5DBC">
        <w:rPr>
          <w:rFonts w:ascii="Calibri" w:hAnsi="Calibri"/>
          <w:sz w:val="22"/>
          <w:szCs w:val="22"/>
        </w:rPr>
        <w:t xml:space="preserve"> households was </w:t>
      </w:r>
      <w:r w:rsidR="0061352F">
        <w:rPr>
          <w:rFonts w:ascii="Calibri" w:hAnsi="Calibri"/>
          <w:sz w:val="22"/>
          <w:szCs w:val="22"/>
        </w:rPr>
        <w:t>35%</w:t>
      </w:r>
      <w:r w:rsidR="00DF6C47" w:rsidRPr="004D5DBC">
        <w:rPr>
          <w:rFonts w:ascii="Calibri" w:hAnsi="Calibri"/>
          <w:sz w:val="22"/>
          <w:szCs w:val="22"/>
        </w:rPr>
        <w:t xml:space="preserve"> of </w:t>
      </w:r>
      <w:r w:rsidR="00DF6C47">
        <w:rPr>
          <w:rFonts w:ascii="Calibri" w:hAnsi="Calibri"/>
          <w:sz w:val="22"/>
          <w:szCs w:val="22"/>
        </w:rPr>
        <w:t>median household income</w:t>
      </w:r>
      <w:r w:rsidR="00DF6C47" w:rsidRPr="004D5DBC">
        <w:rPr>
          <w:rFonts w:ascii="Calibri" w:hAnsi="Calibri"/>
          <w:sz w:val="22"/>
          <w:szCs w:val="22"/>
        </w:rPr>
        <w:t xml:space="preserve"> at $</w:t>
      </w:r>
      <w:r w:rsidR="0061352F">
        <w:rPr>
          <w:rFonts w:ascii="Calibri" w:hAnsi="Calibri"/>
          <w:sz w:val="22"/>
          <w:szCs w:val="22"/>
        </w:rPr>
        <w:t>61,506</w:t>
      </w:r>
      <w:r w:rsidR="00DF6C47">
        <w:rPr>
          <w:rFonts w:ascii="Calibri" w:hAnsi="Calibri"/>
          <w:sz w:val="22"/>
          <w:szCs w:val="22"/>
        </w:rPr>
        <w:t xml:space="preserve"> and 29% of median family income</w:t>
      </w:r>
      <w:r w:rsidR="00DF6C47" w:rsidRPr="004D5DBC">
        <w:rPr>
          <w:rFonts w:ascii="Calibri" w:hAnsi="Calibri"/>
          <w:sz w:val="22"/>
          <w:szCs w:val="22"/>
        </w:rPr>
        <w:t>.</w:t>
      </w:r>
      <w:r w:rsidR="00E704A6">
        <w:rPr>
          <w:rFonts w:ascii="Calibri" w:hAnsi="Calibri"/>
          <w:sz w:val="22"/>
          <w:szCs w:val="22"/>
        </w:rPr>
        <w:t xml:space="preserve"> </w:t>
      </w:r>
    </w:p>
    <w:p w14:paraId="50B983BD" w14:textId="477C446B" w:rsidR="008324CB" w:rsidRDefault="00E704A6" w:rsidP="009A77B9">
      <w:pPr>
        <w:pStyle w:val="BodyTextIndent"/>
        <w:ind w:left="0"/>
        <w:jc w:val="both"/>
        <w:rPr>
          <w:rFonts w:ascii="Calibri" w:hAnsi="Calibri"/>
          <w:bCs/>
          <w:sz w:val="22"/>
        </w:rPr>
      </w:pPr>
      <w:r>
        <w:rPr>
          <w:rFonts w:ascii="Calibri" w:hAnsi="Calibri"/>
          <w:bCs/>
          <w:sz w:val="22"/>
        </w:rPr>
        <w:t>The</w:t>
      </w:r>
      <w:r w:rsidR="008324CB">
        <w:rPr>
          <w:rFonts w:ascii="Calibri" w:hAnsi="Calibri"/>
          <w:bCs/>
          <w:sz w:val="22"/>
        </w:rPr>
        <w:t xml:space="preserve"> median income of </w:t>
      </w:r>
      <w:r w:rsidR="0061352F">
        <w:rPr>
          <w:rFonts w:ascii="Calibri" w:hAnsi="Calibri"/>
          <w:bCs/>
          <w:sz w:val="22"/>
        </w:rPr>
        <w:t>those</w:t>
      </w:r>
      <w:r w:rsidR="008324CB">
        <w:rPr>
          <w:rFonts w:ascii="Calibri" w:hAnsi="Calibri"/>
          <w:bCs/>
          <w:sz w:val="22"/>
        </w:rPr>
        <w:t xml:space="preserve"> 65 years of age or older was $</w:t>
      </w:r>
      <w:r w:rsidR="0061352F">
        <w:rPr>
          <w:rFonts w:ascii="Calibri" w:hAnsi="Calibri"/>
          <w:bCs/>
          <w:sz w:val="22"/>
        </w:rPr>
        <w:t>88,239</w:t>
      </w:r>
      <w:r w:rsidR="008324CB">
        <w:rPr>
          <w:rFonts w:ascii="Calibri" w:hAnsi="Calibri"/>
          <w:bCs/>
          <w:sz w:val="22"/>
        </w:rPr>
        <w:t xml:space="preserve">, </w:t>
      </w:r>
      <w:r w:rsidR="0090324F">
        <w:rPr>
          <w:rFonts w:ascii="Calibri" w:hAnsi="Calibri"/>
          <w:bCs/>
          <w:sz w:val="22"/>
        </w:rPr>
        <w:t xml:space="preserve">less than </w:t>
      </w:r>
      <w:r w:rsidR="00D82294">
        <w:rPr>
          <w:rFonts w:ascii="Calibri" w:hAnsi="Calibri"/>
          <w:bCs/>
          <w:sz w:val="22"/>
        </w:rPr>
        <w:t>40%</w:t>
      </w:r>
      <w:r w:rsidR="008324CB">
        <w:rPr>
          <w:rFonts w:ascii="Calibri" w:hAnsi="Calibri"/>
          <w:bCs/>
          <w:sz w:val="22"/>
        </w:rPr>
        <w:t xml:space="preserve"> the median for households with heads in the </w:t>
      </w:r>
      <w:r w:rsidR="0090324F">
        <w:rPr>
          <w:rFonts w:ascii="Calibri" w:hAnsi="Calibri"/>
          <w:bCs/>
          <w:sz w:val="22"/>
        </w:rPr>
        <w:t>2</w:t>
      </w:r>
      <w:r w:rsidR="008324CB">
        <w:rPr>
          <w:rFonts w:ascii="Calibri" w:hAnsi="Calibri"/>
          <w:bCs/>
          <w:sz w:val="22"/>
        </w:rPr>
        <w:t>5 to 64 age range.</w:t>
      </w:r>
      <w:r w:rsidR="00787F87">
        <w:rPr>
          <w:rFonts w:ascii="Calibri" w:hAnsi="Calibri"/>
          <w:bCs/>
          <w:sz w:val="22"/>
        </w:rPr>
        <w:t xml:space="preserve">  It is interesting to note that the median income of households in the 25 to 44 age range, and earlier into their careers, was higher than for those age 45 to 64.  It may be that some of these younger households are newer residents who </w:t>
      </w:r>
      <w:r w:rsidR="00B851A4">
        <w:rPr>
          <w:rFonts w:ascii="Calibri" w:hAnsi="Calibri"/>
          <w:bCs/>
          <w:sz w:val="22"/>
        </w:rPr>
        <w:t>we</w:t>
      </w:r>
      <w:r w:rsidR="00787F87">
        <w:rPr>
          <w:rFonts w:ascii="Calibri" w:hAnsi="Calibri"/>
          <w:bCs/>
          <w:sz w:val="22"/>
        </w:rPr>
        <w:t>re attracted to the community as a place to raise their families and have incomes that can accommodate Needham’s high and rising home values</w:t>
      </w:r>
      <w:r w:rsidR="000F2567">
        <w:rPr>
          <w:rFonts w:ascii="Calibri" w:hAnsi="Calibri"/>
          <w:bCs/>
          <w:sz w:val="22"/>
        </w:rPr>
        <w:t>, including the larger homes that are being built through teardown activity</w:t>
      </w:r>
      <w:r w:rsidR="00787F87">
        <w:rPr>
          <w:rFonts w:ascii="Calibri" w:hAnsi="Calibri"/>
          <w:bCs/>
          <w:sz w:val="22"/>
        </w:rPr>
        <w:t>.</w:t>
      </w:r>
    </w:p>
    <w:p w14:paraId="77FFD268" w14:textId="65551216" w:rsidR="008324CB" w:rsidRPr="00EA73C6" w:rsidRDefault="008324CB" w:rsidP="008324CB">
      <w:pPr>
        <w:pStyle w:val="BodyTextIndent"/>
        <w:tabs>
          <w:tab w:val="left" w:pos="0"/>
        </w:tabs>
        <w:spacing w:after="0"/>
        <w:jc w:val="center"/>
        <w:rPr>
          <w:rFonts w:ascii="Calibri" w:hAnsi="Calibri"/>
          <w:b/>
          <w:sz w:val="22"/>
          <w:szCs w:val="22"/>
        </w:rPr>
      </w:pPr>
      <w:r w:rsidRPr="00EA73C6">
        <w:rPr>
          <w:rFonts w:ascii="Calibri" w:hAnsi="Calibri"/>
          <w:b/>
          <w:sz w:val="22"/>
          <w:szCs w:val="22"/>
        </w:rPr>
        <w:t xml:space="preserve">Table </w:t>
      </w:r>
      <w:r w:rsidR="00182CAF">
        <w:rPr>
          <w:rFonts w:ascii="Calibri" w:hAnsi="Calibri"/>
          <w:b/>
          <w:sz w:val="22"/>
          <w:szCs w:val="22"/>
        </w:rPr>
        <w:t>III-13</w:t>
      </w:r>
      <w:r w:rsidRPr="00EA73C6">
        <w:rPr>
          <w:rFonts w:ascii="Calibri" w:hAnsi="Calibri"/>
          <w:b/>
          <w:sz w:val="22"/>
          <w:szCs w:val="22"/>
        </w:rPr>
        <w:t>: Median Income by Household Type, 20</w:t>
      </w:r>
      <w:r w:rsidR="006A6C86">
        <w:rPr>
          <w:rFonts w:ascii="Calibri" w:hAnsi="Calibri"/>
          <w:b/>
          <w:sz w:val="22"/>
          <w:szCs w:val="22"/>
        </w:rPr>
        <w:t>20</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3145"/>
      </w:tblGrid>
      <w:tr w:rsidR="008324CB" w:rsidRPr="009522EA" w14:paraId="31BD4553" w14:textId="77777777" w:rsidTr="00880F3D">
        <w:tc>
          <w:tcPr>
            <w:tcW w:w="4765" w:type="dxa"/>
            <w:shd w:val="clear" w:color="auto" w:fill="auto"/>
          </w:tcPr>
          <w:p w14:paraId="2C37DD70" w14:textId="77777777" w:rsidR="008324CB" w:rsidRPr="005C1A91" w:rsidRDefault="008324CB" w:rsidP="009A77B9">
            <w:pPr>
              <w:pStyle w:val="BodyTextIndent"/>
              <w:tabs>
                <w:tab w:val="left" w:pos="0"/>
              </w:tabs>
              <w:spacing w:after="0"/>
              <w:ind w:left="0"/>
              <w:jc w:val="center"/>
              <w:rPr>
                <w:rFonts w:ascii="Calibri" w:hAnsi="Calibri"/>
                <w:b/>
              </w:rPr>
            </w:pPr>
            <w:r w:rsidRPr="005C1A91">
              <w:rPr>
                <w:rFonts w:ascii="Calibri" w:hAnsi="Calibri"/>
                <w:b/>
                <w:sz w:val="22"/>
                <w:szCs w:val="22"/>
              </w:rPr>
              <w:t>Type of Household/Householder</w:t>
            </w:r>
          </w:p>
        </w:tc>
        <w:tc>
          <w:tcPr>
            <w:tcW w:w="3145" w:type="dxa"/>
            <w:shd w:val="clear" w:color="auto" w:fill="auto"/>
          </w:tcPr>
          <w:p w14:paraId="7636DCB0" w14:textId="4E263052" w:rsidR="008324CB" w:rsidRPr="005C1A91" w:rsidRDefault="006A6C86" w:rsidP="009A77B9">
            <w:pPr>
              <w:pStyle w:val="BodyTextIndent"/>
              <w:tabs>
                <w:tab w:val="left" w:pos="0"/>
              </w:tabs>
              <w:spacing w:after="0"/>
              <w:ind w:left="0"/>
              <w:jc w:val="center"/>
              <w:rPr>
                <w:rFonts w:ascii="Calibri" w:hAnsi="Calibri"/>
                <w:b/>
              </w:rPr>
            </w:pPr>
            <w:r>
              <w:rPr>
                <w:rFonts w:ascii="Calibri" w:hAnsi="Calibri"/>
                <w:b/>
                <w:sz w:val="22"/>
                <w:szCs w:val="22"/>
              </w:rPr>
              <w:t>Median Income</w:t>
            </w:r>
          </w:p>
        </w:tc>
      </w:tr>
      <w:tr w:rsidR="008324CB" w14:paraId="77E755D9" w14:textId="77777777" w:rsidTr="00880F3D">
        <w:tc>
          <w:tcPr>
            <w:tcW w:w="4765" w:type="dxa"/>
            <w:shd w:val="clear" w:color="auto" w:fill="auto"/>
          </w:tcPr>
          <w:p w14:paraId="45193E85"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Individual/Per capita</w:t>
            </w:r>
          </w:p>
        </w:tc>
        <w:tc>
          <w:tcPr>
            <w:tcW w:w="3145" w:type="dxa"/>
            <w:shd w:val="clear" w:color="auto" w:fill="auto"/>
          </w:tcPr>
          <w:p w14:paraId="74804516" w14:textId="30803818"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$80,532</w:t>
            </w:r>
          </w:p>
        </w:tc>
      </w:tr>
      <w:tr w:rsidR="008324CB" w14:paraId="41C9B378" w14:textId="77777777" w:rsidTr="00880F3D">
        <w:tc>
          <w:tcPr>
            <w:tcW w:w="4765" w:type="dxa"/>
            <w:shd w:val="clear" w:color="auto" w:fill="auto"/>
          </w:tcPr>
          <w:p w14:paraId="00D56597"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Households</w:t>
            </w:r>
          </w:p>
        </w:tc>
        <w:tc>
          <w:tcPr>
            <w:tcW w:w="3145" w:type="dxa"/>
            <w:shd w:val="clear" w:color="auto" w:fill="auto"/>
          </w:tcPr>
          <w:p w14:paraId="15A6F9CC" w14:textId="6608E36B"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$174,707</w:t>
            </w:r>
          </w:p>
        </w:tc>
      </w:tr>
      <w:tr w:rsidR="008324CB" w14:paraId="706D3B91" w14:textId="77777777" w:rsidTr="00880F3D">
        <w:tc>
          <w:tcPr>
            <w:tcW w:w="4765" w:type="dxa"/>
            <w:shd w:val="clear" w:color="auto" w:fill="auto"/>
          </w:tcPr>
          <w:p w14:paraId="71F6D5F3"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Families</w:t>
            </w:r>
          </w:p>
        </w:tc>
        <w:tc>
          <w:tcPr>
            <w:tcW w:w="3145" w:type="dxa"/>
            <w:shd w:val="clear" w:color="auto" w:fill="auto"/>
          </w:tcPr>
          <w:p w14:paraId="257ABB39" w14:textId="23994EF3"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$213,438</w:t>
            </w:r>
          </w:p>
        </w:tc>
      </w:tr>
      <w:tr w:rsidR="008324CB" w14:paraId="3E9ABC31" w14:textId="77777777" w:rsidTr="00880F3D">
        <w:tc>
          <w:tcPr>
            <w:tcW w:w="4765" w:type="dxa"/>
            <w:shd w:val="clear" w:color="auto" w:fill="auto"/>
          </w:tcPr>
          <w:p w14:paraId="29931CEB" w14:textId="5604BD8B" w:rsidR="008324CB" w:rsidRPr="005C1A91" w:rsidRDefault="008324CB" w:rsidP="009A77B9">
            <w:pPr>
              <w:pStyle w:val="BodyTextIndent"/>
              <w:tabs>
                <w:tab w:val="left" w:pos="0"/>
              </w:tabs>
              <w:spacing w:after="0"/>
              <w:ind w:left="0"/>
              <w:jc w:val="center"/>
              <w:rPr>
                <w:rFonts w:ascii="Calibri" w:hAnsi="Calibri"/>
                <w:sz w:val="20"/>
              </w:rPr>
            </w:pPr>
            <w:r w:rsidRPr="005C1A91">
              <w:rPr>
                <w:rFonts w:ascii="Calibri" w:hAnsi="Calibri"/>
                <w:sz w:val="20"/>
              </w:rPr>
              <w:t>Non</w:t>
            </w:r>
            <w:r w:rsidR="0061352F">
              <w:rPr>
                <w:rFonts w:ascii="Calibri" w:hAnsi="Calibri"/>
                <w:sz w:val="20"/>
              </w:rPr>
              <w:t>-</w:t>
            </w:r>
            <w:r w:rsidRPr="005C1A91">
              <w:rPr>
                <w:rFonts w:ascii="Calibri" w:hAnsi="Calibri"/>
                <w:sz w:val="20"/>
              </w:rPr>
              <w:t>families</w:t>
            </w:r>
          </w:p>
        </w:tc>
        <w:tc>
          <w:tcPr>
            <w:tcW w:w="3145" w:type="dxa"/>
            <w:shd w:val="clear" w:color="auto" w:fill="auto"/>
          </w:tcPr>
          <w:p w14:paraId="0BC924F0" w14:textId="1110252D"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$61,506</w:t>
            </w:r>
          </w:p>
        </w:tc>
      </w:tr>
      <w:tr w:rsidR="008324CB" w14:paraId="256F6E3B" w14:textId="77777777" w:rsidTr="00880F3D">
        <w:tc>
          <w:tcPr>
            <w:tcW w:w="4765" w:type="dxa"/>
            <w:shd w:val="clear" w:color="auto" w:fill="auto"/>
          </w:tcPr>
          <w:p w14:paraId="513275B2"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Male full-time workers</w:t>
            </w:r>
          </w:p>
        </w:tc>
        <w:tc>
          <w:tcPr>
            <w:tcW w:w="3145" w:type="dxa"/>
            <w:shd w:val="clear" w:color="auto" w:fill="auto"/>
          </w:tcPr>
          <w:p w14:paraId="17DA1BF6" w14:textId="34BF9118"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$151,788</w:t>
            </w:r>
          </w:p>
        </w:tc>
      </w:tr>
      <w:tr w:rsidR="008324CB" w14:paraId="2C7F01C0" w14:textId="77777777" w:rsidTr="00880F3D">
        <w:tc>
          <w:tcPr>
            <w:tcW w:w="4765" w:type="dxa"/>
            <w:shd w:val="clear" w:color="auto" w:fill="auto"/>
          </w:tcPr>
          <w:p w14:paraId="3EE49A4F"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Female full-time workers</w:t>
            </w:r>
          </w:p>
        </w:tc>
        <w:tc>
          <w:tcPr>
            <w:tcW w:w="3145" w:type="dxa"/>
            <w:shd w:val="clear" w:color="auto" w:fill="auto"/>
          </w:tcPr>
          <w:p w14:paraId="6300B079" w14:textId="4CB232AD" w:rsidR="008324CB" w:rsidRPr="005C1A91" w:rsidRDefault="00864B62" w:rsidP="005F0EB5">
            <w:pPr>
              <w:pStyle w:val="BodyTextIndent"/>
              <w:tabs>
                <w:tab w:val="left" w:pos="0"/>
              </w:tabs>
              <w:spacing w:after="0"/>
              <w:ind w:left="0"/>
              <w:jc w:val="center"/>
              <w:rPr>
                <w:rFonts w:ascii="Calibri" w:hAnsi="Calibri"/>
                <w:sz w:val="20"/>
              </w:rPr>
            </w:pPr>
            <w:r>
              <w:rPr>
                <w:rFonts w:ascii="Calibri" w:hAnsi="Calibri"/>
                <w:sz w:val="20"/>
              </w:rPr>
              <w:t>$104,449</w:t>
            </w:r>
          </w:p>
        </w:tc>
      </w:tr>
      <w:tr w:rsidR="008324CB" w14:paraId="0C5B0200" w14:textId="77777777" w:rsidTr="00880F3D">
        <w:tc>
          <w:tcPr>
            <w:tcW w:w="4765" w:type="dxa"/>
            <w:shd w:val="clear" w:color="auto" w:fill="auto"/>
          </w:tcPr>
          <w:p w14:paraId="1F72FCE4"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Renters</w:t>
            </w:r>
          </w:p>
        </w:tc>
        <w:tc>
          <w:tcPr>
            <w:tcW w:w="3145" w:type="dxa"/>
            <w:shd w:val="clear" w:color="auto" w:fill="auto"/>
          </w:tcPr>
          <w:p w14:paraId="195C7E03" w14:textId="192C184E" w:rsidR="008324CB" w:rsidRPr="005C1A91" w:rsidRDefault="00032EB4" w:rsidP="005F0EB5">
            <w:pPr>
              <w:pStyle w:val="BodyTextIndent"/>
              <w:tabs>
                <w:tab w:val="left" w:pos="0"/>
              </w:tabs>
              <w:spacing w:after="0"/>
              <w:ind w:left="0"/>
              <w:jc w:val="center"/>
              <w:rPr>
                <w:rFonts w:ascii="Calibri" w:hAnsi="Calibri"/>
                <w:sz w:val="20"/>
              </w:rPr>
            </w:pPr>
            <w:r>
              <w:rPr>
                <w:rFonts w:ascii="Calibri" w:hAnsi="Calibri"/>
                <w:sz w:val="20"/>
              </w:rPr>
              <w:t>$44,361</w:t>
            </w:r>
          </w:p>
        </w:tc>
      </w:tr>
      <w:tr w:rsidR="008324CB" w14:paraId="1389BC6D" w14:textId="77777777" w:rsidTr="00880F3D">
        <w:tc>
          <w:tcPr>
            <w:tcW w:w="4765" w:type="dxa"/>
            <w:shd w:val="clear" w:color="auto" w:fill="auto"/>
          </w:tcPr>
          <w:p w14:paraId="1A68635D"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Homeowners</w:t>
            </w:r>
          </w:p>
        </w:tc>
        <w:tc>
          <w:tcPr>
            <w:tcW w:w="3145" w:type="dxa"/>
            <w:shd w:val="clear" w:color="auto" w:fill="auto"/>
          </w:tcPr>
          <w:p w14:paraId="31B8A474" w14:textId="2BD0B573" w:rsidR="008324CB" w:rsidRPr="005C1A91" w:rsidRDefault="00032EB4" w:rsidP="005F0EB5">
            <w:pPr>
              <w:pStyle w:val="BodyTextIndent"/>
              <w:tabs>
                <w:tab w:val="left" w:pos="0"/>
              </w:tabs>
              <w:spacing w:after="0"/>
              <w:ind w:left="0"/>
              <w:jc w:val="center"/>
              <w:rPr>
                <w:rFonts w:ascii="Calibri" w:hAnsi="Calibri"/>
                <w:sz w:val="20"/>
              </w:rPr>
            </w:pPr>
            <w:r>
              <w:rPr>
                <w:rFonts w:ascii="Calibri" w:hAnsi="Calibri"/>
                <w:sz w:val="20"/>
              </w:rPr>
              <w:t>$203,690</w:t>
            </w:r>
          </w:p>
        </w:tc>
      </w:tr>
      <w:tr w:rsidR="008324CB" w14:paraId="356D9E95" w14:textId="77777777" w:rsidTr="00880F3D">
        <w:tc>
          <w:tcPr>
            <w:tcW w:w="4765" w:type="dxa"/>
            <w:shd w:val="clear" w:color="auto" w:fill="auto"/>
          </w:tcPr>
          <w:p w14:paraId="260E639D" w14:textId="7FF2D943"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Householder age</w:t>
            </w:r>
            <w:r w:rsidR="00827A3A">
              <w:rPr>
                <w:rFonts w:ascii="Calibri" w:hAnsi="Calibri"/>
                <w:sz w:val="20"/>
              </w:rPr>
              <w:t xml:space="preserve"> 15 to</w:t>
            </w:r>
            <w:r w:rsidRPr="005C1A91">
              <w:rPr>
                <w:rFonts w:ascii="Calibri" w:hAnsi="Calibri"/>
                <w:sz w:val="20"/>
              </w:rPr>
              <w:t xml:space="preserve"> 25</w:t>
            </w:r>
          </w:p>
        </w:tc>
        <w:tc>
          <w:tcPr>
            <w:tcW w:w="3145" w:type="dxa"/>
            <w:shd w:val="clear" w:color="auto" w:fill="auto"/>
          </w:tcPr>
          <w:p w14:paraId="1110327D" w14:textId="26A097F6" w:rsidR="008324CB" w:rsidRPr="005C1A91" w:rsidRDefault="00827A3A" w:rsidP="005F0EB5">
            <w:pPr>
              <w:pStyle w:val="BodyTextIndent"/>
              <w:tabs>
                <w:tab w:val="left" w:pos="0"/>
              </w:tabs>
              <w:spacing w:after="0"/>
              <w:ind w:left="0"/>
              <w:jc w:val="center"/>
              <w:rPr>
                <w:rFonts w:ascii="Calibri" w:hAnsi="Calibri"/>
                <w:sz w:val="20"/>
              </w:rPr>
            </w:pPr>
            <w:r>
              <w:rPr>
                <w:rFonts w:ascii="Calibri" w:hAnsi="Calibri"/>
                <w:sz w:val="20"/>
                <w:szCs w:val="20"/>
              </w:rPr>
              <w:t xml:space="preserve">Sample size too small.  </w:t>
            </w:r>
          </w:p>
        </w:tc>
      </w:tr>
      <w:tr w:rsidR="008324CB" w14:paraId="22835F72" w14:textId="77777777" w:rsidTr="00880F3D">
        <w:tc>
          <w:tcPr>
            <w:tcW w:w="4765" w:type="dxa"/>
            <w:shd w:val="clear" w:color="auto" w:fill="auto"/>
          </w:tcPr>
          <w:p w14:paraId="4969844F"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Householder age 25 to 44</w:t>
            </w:r>
          </w:p>
        </w:tc>
        <w:tc>
          <w:tcPr>
            <w:tcW w:w="3145" w:type="dxa"/>
            <w:shd w:val="clear" w:color="auto" w:fill="auto"/>
          </w:tcPr>
          <w:p w14:paraId="70059DCB" w14:textId="4AC02A04" w:rsidR="008324CB" w:rsidRPr="005C1A91" w:rsidRDefault="00032EB4" w:rsidP="005F0EB5">
            <w:pPr>
              <w:pStyle w:val="BodyTextIndent"/>
              <w:tabs>
                <w:tab w:val="left" w:pos="0"/>
              </w:tabs>
              <w:spacing w:after="0"/>
              <w:ind w:left="0"/>
              <w:jc w:val="center"/>
              <w:rPr>
                <w:rFonts w:ascii="Calibri" w:hAnsi="Calibri"/>
                <w:sz w:val="20"/>
              </w:rPr>
            </w:pPr>
            <w:r>
              <w:rPr>
                <w:rFonts w:ascii="Calibri" w:hAnsi="Calibri"/>
                <w:sz w:val="20"/>
              </w:rPr>
              <w:t>$242,885</w:t>
            </w:r>
          </w:p>
        </w:tc>
      </w:tr>
      <w:tr w:rsidR="008324CB" w14:paraId="4BD77227" w14:textId="77777777" w:rsidTr="00880F3D">
        <w:tc>
          <w:tcPr>
            <w:tcW w:w="4765" w:type="dxa"/>
            <w:shd w:val="clear" w:color="auto" w:fill="auto"/>
          </w:tcPr>
          <w:p w14:paraId="24F16511"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Householder age 45 to 64</w:t>
            </w:r>
          </w:p>
        </w:tc>
        <w:tc>
          <w:tcPr>
            <w:tcW w:w="3145" w:type="dxa"/>
            <w:shd w:val="clear" w:color="auto" w:fill="auto"/>
          </w:tcPr>
          <w:p w14:paraId="5BBF100C" w14:textId="7CF408A6" w:rsidR="008324CB" w:rsidRPr="005C1A91" w:rsidRDefault="00032EB4" w:rsidP="005F0EB5">
            <w:pPr>
              <w:pStyle w:val="BodyTextIndent"/>
              <w:tabs>
                <w:tab w:val="left" w:pos="0"/>
              </w:tabs>
              <w:spacing w:after="0"/>
              <w:ind w:left="0"/>
              <w:jc w:val="center"/>
              <w:rPr>
                <w:rFonts w:ascii="Calibri" w:hAnsi="Calibri"/>
                <w:sz w:val="20"/>
              </w:rPr>
            </w:pPr>
            <w:r>
              <w:rPr>
                <w:rFonts w:ascii="Calibri" w:hAnsi="Calibri"/>
                <w:sz w:val="20"/>
              </w:rPr>
              <w:t>$</w:t>
            </w:r>
            <w:r w:rsidR="0061352F">
              <w:rPr>
                <w:rFonts w:ascii="Calibri" w:hAnsi="Calibri"/>
                <w:sz w:val="20"/>
              </w:rPr>
              <w:t>228,281</w:t>
            </w:r>
          </w:p>
        </w:tc>
      </w:tr>
      <w:tr w:rsidR="008324CB" w14:paraId="43AA77A6" w14:textId="77777777" w:rsidTr="00880F3D">
        <w:tc>
          <w:tcPr>
            <w:tcW w:w="4765" w:type="dxa"/>
            <w:shd w:val="clear" w:color="auto" w:fill="auto"/>
          </w:tcPr>
          <w:p w14:paraId="23431B2F" w14:textId="77777777" w:rsidR="008324CB" w:rsidRPr="005C1A91" w:rsidRDefault="008324CB" w:rsidP="005F0EB5">
            <w:pPr>
              <w:pStyle w:val="BodyTextIndent"/>
              <w:tabs>
                <w:tab w:val="left" w:pos="0"/>
              </w:tabs>
              <w:spacing w:after="0"/>
              <w:ind w:left="0"/>
              <w:jc w:val="center"/>
              <w:rPr>
                <w:rFonts w:ascii="Calibri" w:hAnsi="Calibri"/>
                <w:sz w:val="20"/>
              </w:rPr>
            </w:pPr>
            <w:r w:rsidRPr="005C1A91">
              <w:rPr>
                <w:rFonts w:ascii="Calibri" w:hAnsi="Calibri"/>
                <w:sz w:val="20"/>
              </w:rPr>
              <w:t>Householder age 65 or more</w:t>
            </w:r>
          </w:p>
        </w:tc>
        <w:tc>
          <w:tcPr>
            <w:tcW w:w="3145" w:type="dxa"/>
            <w:shd w:val="clear" w:color="auto" w:fill="auto"/>
          </w:tcPr>
          <w:p w14:paraId="6076ABD2" w14:textId="79FC53C6" w:rsidR="008324CB" w:rsidRPr="005C1A91" w:rsidRDefault="0061352F" w:rsidP="005F0EB5">
            <w:pPr>
              <w:pStyle w:val="BodyTextIndent"/>
              <w:tabs>
                <w:tab w:val="left" w:pos="0"/>
              </w:tabs>
              <w:spacing w:after="0"/>
              <w:ind w:left="0"/>
              <w:jc w:val="center"/>
              <w:rPr>
                <w:rFonts w:ascii="Calibri" w:hAnsi="Calibri"/>
                <w:sz w:val="20"/>
              </w:rPr>
            </w:pPr>
            <w:r>
              <w:rPr>
                <w:rFonts w:ascii="Calibri" w:hAnsi="Calibri"/>
                <w:sz w:val="20"/>
              </w:rPr>
              <w:t>$88,239</w:t>
            </w:r>
          </w:p>
        </w:tc>
      </w:tr>
    </w:tbl>
    <w:p w14:paraId="7F4822BD" w14:textId="79F26ED6" w:rsidR="008324CB" w:rsidRDefault="008324CB" w:rsidP="008324CB">
      <w:pPr>
        <w:pStyle w:val="BodyTextIndent"/>
        <w:tabs>
          <w:tab w:val="left" w:pos="0"/>
        </w:tabs>
        <w:spacing w:after="0"/>
        <w:ind w:left="0"/>
        <w:jc w:val="both"/>
        <w:rPr>
          <w:rFonts w:ascii="Calibri" w:hAnsi="Calibri"/>
          <w:sz w:val="20"/>
          <w:szCs w:val="20"/>
        </w:rPr>
      </w:pPr>
      <w:r w:rsidRPr="000A75BC">
        <w:rPr>
          <w:rFonts w:ascii="Calibri" w:hAnsi="Calibri"/>
          <w:sz w:val="20"/>
          <w:szCs w:val="20"/>
        </w:rPr>
        <w:t>Source: U.S. Census Bureau, American Community Survey 5-Year Estimates for 201</w:t>
      </w:r>
      <w:r w:rsidR="006A6C86">
        <w:rPr>
          <w:rFonts w:ascii="Calibri" w:hAnsi="Calibri"/>
          <w:sz w:val="20"/>
          <w:szCs w:val="20"/>
        </w:rPr>
        <w:t>6</w:t>
      </w:r>
      <w:r w:rsidRPr="000A75BC">
        <w:rPr>
          <w:rFonts w:ascii="Calibri" w:hAnsi="Calibri"/>
          <w:sz w:val="20"/>
          <w:szCs w:val="20"/>
        </w:rPr>
        <w:t>-20</w:t>
      </w:r>
      <w:r w:rsidR="006A6C86">
        <w:rPr>
          <w:rFonts w:ascii="Calibri" w:hAnsi="Calibri"/>
          <w:sz w:val="20"/>
          <w:szCs w:val="20"/>
        </w:rPr>
        <w:t>20</w:t>
      </w:r>
      <w:r w:rsidRPr="000A75BC">
        <w:rPr>
          <w:rFonts w:ascii="Calibri" w:hAnsi="Calibri"/>
          <w:sz w:val="20"/>
          <w:szCs w:val="20"/>
        </w:rPr>
        <w:t>.</w:t>
      </w:r>
    </w:p>
    <w:p w14:paraId="18FFF91A" w14:textId="694C13CD" w:rsidR="00356AAA" w:rsidRPr="000A75BC" w:rsidRDefault="00356AAA" w:rsidP="00356AAA">
      <w:pPr>
        <w:pStyle w:val="BodyTextIndent"/>
        <w:tabs>
          <w:tab w:val="left" w:pos="0"/>
        </w:tabs>
        <w:spacing w:after="0"/>
        <w:ind w:left="0"/>
        <w:jc w:val="both"/>
        <w:rPr>
          <w:rFonts w:ascii="Calibri" w:hAnsi="Calibri"/>
          <w:sz w:val="20"/>
          <w:szCs w:val="20"/>
        </w:rPr>
      </w:pPr>
      <w:r>
        <w:rPr>
          <w:rFonts w:ascii="Calibri" w:hAnsi="Calibri"/>
          <w:sz w:val="20"/>
          <w:szCs w:val="20"/>
        </w:rPr>
        <w:lastRenderedPageBreak/>
        <w:tab/>
        <w:t xml:space="preserve"> </w:t>
      </w:r>
      <w:r w:rsidR="00C72C42">
        <w:rPr>
          <w:rFonts w:ascii="Calibri" w:hAnsi="Calibri"/>
          <w:sz w:val="20"/>
          <w:szCs w:val="20"/>
        </w:rPr>
        <w:t>Householder is a member of the household.</w:t>
      </w:r>
    </w:p>
    <w:p w14:paraId="7D01ADA1" w14:textId="77777777" w:rsidR="000A75BC" w:rsidRDefault="000A75BC" w:rsidP="009C0561">
      <w:pPr>
        <w:tabs>
          <w:tab w:val="left" w:pos="0"/>
        </w:tabs>
        <w:jc w:val="both"/>
        <w:rPr>
          <w:rFonts w:ascii="Calibri" w:hAnsi="Calibri"/>
          <w:sz w:val="22"/>
          <w:szCs w:val="22"/>
        </w:rPr>
      </w:pPr>
    </w:p>
    <w:p w14:paraId="0D69A96B" w14:textId="5D33FC49" w:rsidR="008324CB" w:rsidRDefault="00B851A4" w:rsidP="009C0561">
      <w:pPr>
        <w:tabs>
          <w:tab w:val="left" w:pos="0"/>
        </w:tabs>
        <w:jc w:val="both"/>
        <w:rPr>
          <w:rFonts w:ascii="Calibri" w:hAnsi="Calibri"/>
          <w:sz w:val="22"/>
          <w:szCs w:val="22"/>
        </w:rPr>
      </w:pPr>
      <w:r>
        <w:rPr>
          <w:rFonts w:ascii="Calibri" w:hAnsi="Calibri"/>
          <w:sz w:val="22"/>
          <w:szCs w:val="22"/>
        </w:rPr>
        <w:t>Other 2020 census data indicates that</w:t>
      </w:r>
      <w:r w:rsidR="008324CB">
        <w:rPr>
          <w:rFonts w:ascii="Calibri" w:hAnsi="Calibri"/>
          <w:sz w:val="22"/>
          <w:szCs w:val="22"/>
        </w:rPr>
        <w:t xml:space="preserve"> </w:t>
      </w:r>
      <w:r w:rsidR="00ED02A3">
        <w:rPr>
          <w:rFonts w:ascii="Calibri" w:hAnsi="Calibri"/>
          <w:sz w:val="22"/>
          <w:szCs w:val="22"/>
        </w:rPr>
        <w:t>3,</w:t>
      </w:r>
      <w:r w:rsidR="009B07FC">
        <w:rPr>
          <w:rFonts w:ascii="Calibri" w:hAnsi="Calibri"/>
          <w:sz w:val="22"/>
          <w:szCs w:val="22"/>
        </w:rPr>
        <w:t>5</w:t>
      </w:r>
      <w:r w:rsidR="00AA2066">
        <w:rPr>
          <w:rFonts w:ascii="Calibri" w:hAnsi="Calibri"/>
          <w:sz w:val="22"/>
          <w:szCs w:val="22"/>
        </w:rPr>
        <w:t>12</w:t>
      </w:r>
      <w:r w:rsidR="008324CB">
        <w:rPr>
          <w:rFonts w:ascii="Calibri" w:hAnsi="Calibri"/>
          <w:sz w:val="22"/>
          <w:szCs w:val="22"/>
        </w:rPr>
        <w:t xml:space="preserve"> or 3</w:t>
      </w:r>
      <w:r w:rsidR="00ED02A3">
        <w:rPr>
          <w:rFonts w:ascii="Calibri" w:hAnsi="Calibri"/>
          <w:sz w:val="22"/>
          <w:szCs w:val="22"/>
        </w:rPr>
        <w:t>2</w:t>
      </w:r>
      <w:r w:rsidR="009B07FC">
        <w:rPr>
          <w:rFonts w:ascii="Calibri" w:hAnsi="Calibri"/>
          <w:sz w:val="22"/>
          <w:szCs w:val="22"/>
        </w:rPr>
        <w:t>.</w:t>
      </w:r>
      <w:r w:rsidR="00AA2066">
        <w:rPr>
          <w:rFonts w:ascii="Calibri" w:hAnsi="Calibri"/>
          <w:sz w:val="22"/>
          <w:szCs w:val="22"/>
        </w:rPr>
        <w:t>6</w:t>
      </w:r>
      <w:r w:rsidR="008324CB">
        <w:rPr>
          <w:rFonts w:ascii="Calibri" w:hAnsi="Calibri"/>
          <w:sz w:val="22"/>
          <w:szCs w:val="22"/>
        </w:rPr>
        <w:t>% of households were obtaining Social Security benefits with an average benefit of $</w:t>
      </w:r>
      <w:r w:rsidR="00AA2066">
        <w:rPr>
          <w:rFonts w:ascii="Calibri" w:hAnsi="Calibri"/>
          <w:sz w:val="22"/>
          <w:szCs w:val="22"/>
        </w:rPr>
        <w:t>26,019</w:t>
      </w:r>
      <w:r w:rsidR="008324CB">
        <w:rPr>
          <w:rFonts w:ascii="Calibri" w:hAnsi="Calibri"/>
          <w:sz w:val="22"/>
          <w:szCs w:val="22"/>
        </w:rPr>
        <w:t>.  A</w:t>
      </w:r>
      <w:r w:rsidR="00ED02A3">
        <w:rPr>
          <w:rFonts w:ascii="Calibri" w:hAnsi="Calibri"/>
          <w:sz w:val="22"/>
          <w:szCs w:val="22"/>
        </w:rPr>
        <w:t xml:space="preserve"> total of </w:t>
      </w:r>
      <w:r w:rsidR="00AA2066">
        <w:rPr>
          <w:rFonts w:ascii="Calibri" w:hAnsi="Calibri"/>
          <w:sz w:val="22"/>
          <w:szCs w:val="22"/>
        </w:rPr>
        <w:t>2,406</w:t>
      </w:r>
      <w:r w:rsidR="008324CB">
        <w:rPr>
          <w:rFonts w:ascii="Calibri" w:hAnsi="Calibri"/>
          <w:sz w:val="22"/>
          <w:szCs w:val="22"/>
        </w:rPr>
        <w:t xml:space="preserve"> households received some other retirement income</w:t>
      </w:r>
      <w:r>
        <w:rPr>
          <w:rFonts w:ascii="Calibri" w:hAnsi="Calibri"/>
          <w:sz w:val="22"/>
          <w:szCs w:val="22"/>
        </w:rPr>
        <w:t>,</w:t>
      </w:r>
      <w:r w:rsidR="008324CB">
        <w:rPr>
          <w:rFonts w:ascii="Calibri" w:hAnsi="Calibri"/>
          <w:sz w:val="22"/>
          <w:szCs w:val="22"/>
        </w:rPr>
        <w:t xml:space="preserve"> representing an average of $</w:t>
      </w:r>
      <w:r w:rsidR="00AA2066">
        <w:rPr>
          <w:rFonts w:ascii="Calibri" w:hAnsi="Calibri"/>
          <w:sz w:val="22"/>
          <w:szCs w:val="22"/>
        </w:rPr>
        <w:t>51,976</w:t>
      </w:r>
      <w:r w:rsidR="008324CB">
        <w:rPr>
          <w:rFonts w:ascii="Calibri" w:hAnsi="Calibri"/>
          <w:sz w:val="22"/>
          <w:szCs w:val="22"/>
        </w:rPr>
        <w:t xml:space="preserve"> in income.  There were </w:t>
      </w:r>
      <w:r w:rsidR="00AA2066">
        <w:rPr>
          <w:rFonts w:ascii="Calibri" w:hAnsi="Calibri"/>
          <w:sz w:val="22"/>
          <w:szCs w:val="22"/>
        </w:rPr>
        <w:t>205</w:t>
      </w:r>
      <w:r w:rsidR="008324CB">
        <w:rPr>
          <w:rFonts w:ascii="Calibri" w:hAnsi="Calibri"/>
          <w:sz w:val="22"/>
          <w:szCs w:val="22"/>
        </w:rPr>
        <w:t xml:space="preserve"> recipients of public assistanc</w:t>
      </w:r>
      <w:r w:rsidR="009565E0">
        <w:rPr>
          <w:rFonts w:ascii="Calibri" w:hAnsi="Calibri"/>
          <w:sz w:val="22"/>
          <w:szCs w:val="22"/>
        </w:rPr>
        <w:t>e, averaging only $</w:t>
      </w:r>
      <w:r w:rsidR="009B07FC">
        <w:rPr>
          <w:rFonts w:ascii="Calibri" w:hAnsi="Calibri"/>
          <w:sz w:val="22"/>
          <w:szCs w:val="22"/>
        </w:rPr>
        <w:t>7,</w:t>
      </w:r>
      <w:r w:rsidR="00AA2066">
        <w:rPr>
          <w:rFonts w:ascii="Calibri" w:hAnsi="Calibri"/>
          <w:sz w:val="22"/>
          <w:szCs w:val="22"/>
        </w:rPr>
        <w:t>21</w:t>
      </w:r>
      <w:r w:rsidR="009B07FC">
        <w:rPr>
          <w:rFonts w:ascii="Calibri" w:hAnsi="Calibri"/>
          <w:sz w:val="22"/>
          <w:szCs w:val="22"/>
        </w:rPr>
        <w:t>7</w:t>
      </w:r>
      <w:r w:rsidR="00AA2066">
        <w:rPr>
          <w:rFonts w:ascii="Calibri" w:hAnsi="Calibri"/>
          <w:sz w:val="22"/>
          <w:szCs w:val="22"/>
        </w:rPr>
        <w:t xml:space="preserve"> in benefits</w:t>
      </w:r>
      <w:r w:rsidR="009565E0">
        <w:rPr>
          <w:rFonts w:ascii="Calibri" w:hAnsi="Calibri"/>
          <w:sz w:val="22"/>
          <w:szCs w:val="22"/>
        </w:rPr>
        <w:t xml:space="preserve">, and </w:t>
      </w:r>
      <w:r w:rsidR="00AA2066">
        <w:rPr>
          <w:rFonts w:ascii="Calibri" w:hAnsi="Calibri"/>
          <w:sz w:val="22"/>
          <w:szCs w:val="22"/>
        </w:rPr>
        <w:t>289</w:t>
      </w:r>
      <w:r w:rsidR="00E84DD3">
        <w:rPr>
          <w:rFonts w:ascii="Calibri" w:hAnsi="Calibri"/>
          <w:sz w:val="22"/>
          <w:szCs w:val="22"/>
        </w:rPr>
        <w:t xml:space="preserve"> </w:t>
      </w:r>
      <w:r w:rsidR="008324CB">
        <w:rPr>
          <w:rFonts w:ascii="Calibri" w:hAnsi="Calibri"/>
          <w:sz w:val="22"/>
          <w:szCs w:val="22"/>
        </w:rPr>
        <w:t>households were receiving Food Stamps/SNAP benefits.</w:t>
      </w:r>
      <w:r w:rsidR="00E84DD3">
        <w:rPr>
          <w:rFonts w:ascii="Calibri" w:hAnsi="Calibri"/>
          <w:sz w:val="22"/>
          <w:szCs w:val="22"/>
        </w:rPr>
        <w:t xml:space="preserve">  </w:t>
      </w:r>
    </w:p>
    <w:p w14:paraId="299531FC" w14:textId="77777777" w:rsidR="008324CB" w:rsidRPr="0084412B" w:rsidRDefault="008324CB" w:rsidP="009C0561">
      <w:pPr>
        <w:tabs>
          <w:tab w:val="left" w:pos="0"/>
        </w:tabs>
        <w:jc w:val="both"/>
        <w:rPr>
          <w:rFonts w:ascii="Calibri" w:hAnsi="Calibri"/>
          <w:sz w:val="22"/>
          <w:szCs w:val="22"/>
        </w:rPr>
      </w:pPr>
    </w:p>
    <w:p w14:paraId="5BAB484B" w14:textId="2E627515" w:rsidR="008772FC" w:rsidRPr="00EB5D55" w:rsidRDefault="008772FC" w:rsidP="005F0EB5">
      <w:pPr>
        <w:pStyle w:val="BodyTextIndent"/>
        <w:spacing w:after="0"/>
        <w:ind w:left="0"/>
        <w:jc w:val="both"/>
        <w:rPr>
          <w:rFonts w:ascii="Calibri" w:hAnsi="Calibri"/>
          <w:sz w:val="22"/>
          <w:szCs w:val="22"/>
        </w:rPr>
      </w:pPr>
      <w:r w:rsidRPr="00EB5D55">
        <w:rPr>
          <w:rFonts w:ascii="Calibri" w:hAnsi="Calibri"/>
          <w:sz w:val="22"/>
          <w:szCs w:val="22"/>
        </w:rPr>
        <w:t xml:space="preserve">As shown in Table </w:t>
      </w:r>
      <w:r w:rsidR="00A9079E">
        <w:rPr>
          <w:rFonts w:ascii="Calibri" w:hAnsi="Calibri"/>
          <w:sz w:val="22"/>
          <w:szCs w:val="22"/>
        </w:rPr>
        <w:t>III-</w:t>
      </w:r>
      <w:r w:rsidRPr="00EB5D55">
        <w:rPr>
          <w:rFonts w:ascii="Calibri" w:hAnsi="Calibri"/>
          <w:sz w:val="22"/>
          <w:szCs w:val="22"/>
        </w:rPr>
        <w:t>1</w:t>
      </w:r>
      <w:r w:rsidR="00A9079E">
        <w:rPr>
          <w:rFonts w:ascii="Calibri" w:hAnsi="Calibri"/>
          <w:sz w:val="22"/>
          <w:szCs w:val="22"/>
        </w:rPr>
        <w:t>4</w:t>
      </w:r>
      <w:r w:rsidRPr="00EB5D55">
        <w:rPr>
          <w:rFonts w:ascii="Calibri" w:hAnsi="Calibri"/>
          <w:sz w:val="22"/>
          <w:szCs w:val="22"/>
        </w:rPr>
        <w:t>, median income levels</w:t>
      </w:r>
      <w:r w:rsidR="00587433">
        <w:rPr>
          <w:rFonts w:ascii="Calibri" w:hAnsi="Calibri"/>
          <w:sz w:val="22"/>
          <w:szCs w:val="22"/>
        </w:rPr>
        <w:t xml:space="preserve"> largely</w:t>
      </w:r>
      <w:r w:rsidRPr="00EB5D55">
        <w:rPr>
          <w:rFonts w:ascii="Calibri" w:hAnsi="Calibri"/>
          <w:sz w:val="22"/>
          <w:szCs w:val="22"/>
        </w:rPr>
        <w:t xml:space="preserve"> increase</w:t>
      </w:r>
      <w:r w:rsidR="009A77B9">
        <w:rPr>
          <w:rFonts w:ascii="Calibri" w:hAnsi="Calibri"/>
          <w:sz w:val="22"/>
          <w:szCs w:val="22"/>
        </w:rPr>
        <w:t>d</w:t>
      </w:r>
      <w:r w:rsidRPr="00EB5D55">
        <w:rPr>
          <w:rFonts w:ascii="Calibri" w:hAnsi="Calibri"/>
          <w:sz w:val="22"/>
          <w:szCs w:val="22"/>
        </w:rPr>
        <w:t xml:space="preserve"> </w:t>
      </w:r>
      <w:r w:rsidR="00587433">
        <w:rPr>
          <w:rFonts w:ascii="Calibri" w:hAnsi="Calibri"/>
          <w:sz w:val="22"/>
          <w:szCs w:val="22"/>
        </w:rPr>
        <w:t xml:space="preserve">with </w:t>
      </w:r>
      <w:r w:rsidR="009A77B9">
        <w:rPr>
          <w:rFonts w:ascii="Calibri" w:hAnsi="Calibri"/>
          <w:sz w:val="22"/>
          <w:szCs w:val="22"/>
        </w:rPr>
        <w:t>growin</w:t>
      </w:r>
      <w:r w:rsidR="00587433">
        <w:rPr>
          <w:rFonts w:ascii="Calibri" w:hAnsi="Calibri"/>
          <w:sz w:val="22"/>
          <w:szCs w:val="22"/>
        </w:rPr>
        <w:t>g</w:t>
      </w:r>
      <w:r w:rsidRPr="00EB5D55">
        <w:rPr>
          <w:rFonts w:ascii="Calibri" w:hAnsi="Calibri"/>
          <w:sz w:val="22"/>
          <w:szCs w:val="22"/>
        </w:rPr>
        <w:t xml:space="preserve"> number</w:t>
      </w:r>
      <w:r w:rsidR="00587433">
        <w:rPr>
          <w:rFonts w:ascii="Calibri" w:hAnsi="Calibri"/>
          <w:sz w:val="22"/>
          <w:szCs w:val="22"/>
        </w:rPr>
        <w:t>s of household members</w:t>
      </w:r>
      <w:r w:rsidRPr="00EB5D55">
        <w:rPr>
          <w:rFonts w:ascii="Calibri" w:hAnsi="Calibri"/>
          <w:sz w:val="22"/>
          <w:szCs w:val="22"/>
        </w:rPr>
        <w:t>, from $</w:t>
      </w:r>
      <w:r w:rsidR="00462BEE">
        <w:rPr>
          <w:rFonts w:ascii="Calibri" w:hAnsi="Calibri"/>
          <w:sz w:val="22"/>
          <w:szCs w:val="22"/>
        </w:rPr>
        <w:t>56,069</w:t>
      </w:r>
      <w:r w:rsidRPr="00EB5D55">
        <w:rPr>
          <w:rFonts w:ascii="Calibri" w:hAnsi="Calibri"/>
          <w:sz w:val="22"/>
          <w:szCs w:val="22"/>
        </w:rPr>
        <w:t xml:space="preserve"> for a single individual living alone to $</w:t>
      </w:r>
      <w:r w:rsidR="00462BEE">
        <w:rPr>
          <w:rFonts w:ascii="Calibri" w:hAnsi="Calibri"/>
          <w:sz w:val="22"/>
          <w:szCs w:val="22"/>
        </w:rPr>
        <w:t>239,531</w:t>
      </w:r>
      <w:r w:rsidRPr="00EB5D55">
        <w:rPr>
          <w:rFonts w:ascii="Calibri" w:hAnsi="Calibri"/>
          <w:sz w:val="22"/>
          <w:szCs w:val="22"/>
        </w:rPr>
        <w:t xml:space="preserve"> for three-person households</w:t>
      </w:r>
      <w:r w:rsidR="0064767F">
        <w:rPr>
          <w:rFonts w:ascii="Calibri" w:hAnsi="Calibri"/>
          <w:sz w:val="22"/>
          <w:szCs w:val="22"/>
        </w:rPr>
        <w:t xml:space="preserve">.  The </w:t>
      </w:r>
      <w:r w:rsidR="00F57315">
        <w:rPr>
          <w:rFonts w:ascii="Calibri" w:hAnsi="Calibri"/>
          <w:sz w:val="22"/>
          <w:szCs w:val="22"/>
        </w:rPr>
        <w:t xml:space="preserve">census data did not calculate the specific medians for both the </w:t>
      </w:r>
      <w:r w:rsidR="00462BEE">
        <w:rPr>
          <w:rFonts w:ascii="Calibri" w:hAnsi="Calibri"/>
          <w:sz w:val="22"/>
          <w:szCs w:val="22"/>
        </w:rPr>
        <w:t xml:space="preserve">four- and </w:t>
      </w:r>
      <w:r w:rsidR="000F2567">
        <w:rPr>
          <w:rFonts w:ascii="Calibri" w:hAnsi="Calibri"/>
          <w:sz w:val="22"/>
          <w:szCs w:val="22"/>
        </w:rPr>
        <w:t>five</w:t>
      </w:r>
      <w:r w:rsidR="00F57315">
        <w:rPr>
          <w:rFonts w:ascii="Calibri" w:hAnsi="Calibri"/>
          <w:sz w:val="22"/>
          <w:szCs w:val="22"/>
        </w:rPr>
        <w:t>-person household</w:t>
      </w:r>
      <w:r w:rsidR="00462BEE">
        <w:rPr>
          <w:rFonts w:ascii="Calibri" w:hAnsi="Calibri"/>
          <w:sz w:val="22"/>
          <w:szCs w:val="22"/>
        </w:rPr>
        <w:t>s</w:t>
      </w:r>
      <w:r w:rsidR="00F57315">
        <w:rPr>
          <w:rFonts w:ascii="Calibri" w:hAnsi="Calibri"/>
          <w:sz w:val="22"/>
          <w:szCs w:val="22"/>
        </w:rPr>
        <w:t xml:space="preserve"> as the categor</w:t>
      </w:r>
      <w:r w:rsidR="00462BEE">
        <w:rPr>
          <w:rFonts w:ascii="Calibri" w:hAnsi="Calibri"/>
          <w:sz w:val="22"/>
          <w:szCs w:val="22"/>
        </w:rPr>
        <w:t>ies were</w:t>
      </w:r>
      <w:r w:rsidR="00F57315">
        <w:rPr>
          <w:rFonts w:ascii="Calibri" w:hAnsi="Calibri"/>
          <w:sz w:val="22"/>
          <w:szCs w:val="22"/>
        </w:rPr>
        <w:t xml:space="preserve"> open-ended over the amount of $250,000.</w:t>
      </w:r>
    </w:p>
    <w:p w14:paraId="5501447B" w14:textId="77777777" w:rsidR="00A56556" w:rsidRDefault="00A56556" w:rsidP="008772FC">
      <w:pPr>
        <w:pStyle w:val="BodyTextIndent"/>
        <w:spacing w:after="0"/>
        <w:ind w:left="0" w:right="-720"/>
        <w:rPr>
          <w:rFonts w:ascii="Calibri" w:hAnsi="Calibri"/>
          <w:sz w:val="22"/>
          <w:szCs w:val="22"/>
        </w:rPr>
      </w:pPr>
    </w:p>
    <w:p w14:paraId="2CACF75B" w14:textId="5E18E04D" w:rsidR="008772FC" w:rsidRPr="00EB5D55" w:rsidRDefault="008772FC" w:rsidP="008772FC">
      <w:pPr>
        <w:pStyle w:val="BodyTextIndent"/>
        <w:spacing w:after="0"/>
        <w:ind w:left="0" w:right="-720"/>
        <w:jc w:val="center"/>
        <w:rPr>
          <w:rFonts w:ascii="Calibri" w:hAnsi="Calibri"/>
          <w:b/>
          <w:bCs/>
          <w:sz w:val="22"/>
          <w:szCs w:val="22"/>
        </w:rPr>
      </w:pPr>
      <w:r w:rsidRPr="00EB5D55">
        <w:rPr>
          <w:rFonts w:ascii="Calibri" w:hAnsi="Calibri"/>
          <w:b/>
          <w:bCs/>
          <w:sz w:val="22"/>
          <w:szCs w:val="22"/>
        </w:rPr>
        <w:t xml:space="preserve">Table </w:t>
      </w:r>
      <w:r w:rsidR="00182CAF">
        <w:rPr>
          <w:rFonts w:ascii="Calibri" w:hAnsi="Calibri"/>
          <w:b/>
          <w:bCs/>
          <w:sz w:val="22"/>
          <w:szCs w:val="22"/>
        </w:rPr>
        <w:t>III-14</w:t>
      </w:r>
      <w:r w:rsidRPr="00EB5D55">
        <w:rPr>
          <w:rFonts w:ascii="Calibri" w:hAnsi="Calibri"/>
          <w:b/>
          <w:bCs/>
          <w:sz w:val="22"/>
          <w:szCs w:val="22"/>
        </w:rPr>
        <w:t>: Median Household Income by Household Size, 20</w:t>
      </w:r>
      <w:r w:rsidR="00D82294">
        <w:rPr>
          <w:rFonts w:ascii="Calibri" w:hAnsi="Calibri"/>
          <w:b/>
          <w:bCs/>
          <w:sz w:val="22"/>
          <w:szCs w:val="22"/>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8772FC" w:rsidRPr="004E50E7" w14:paraId="61B73C3A" w14:textId="77777777" w:rsidTr="008F2513">
        <w:tc>
          <w:tcPr>
            <w:tcW w:w="2500" w:type="pct"/>
          </w:tcPr>
          <w:p w14:paraId="029A1B47" w14:textId="77777777" w:rsidR="008772FC" w:rsidRPr="004D5DBC" w:rsidRDefault="008772FC" w:rsidP="008F2513">
            <w:pPr>
              <w:pStyle w:val="BodyTextIndent"/>
              <w:spacing w:after="0"/>
              <w:ind w:left="0" w:right="-720"/>
              <w:jc w:val="center"/>
              <w:rPr>
                <w:rFonts w:ascii="Calibri" w:hAnsi="Calibri"/>
                <w:b/>
                <w:bCs/>
              </w:rPr>
            </w:pPr>
            <w:r w:rsidRPr="004D5DBC">
              <w:rPr>
                <w:rFonts w:ascii="Calibri" w:hAnsi="Calibri"/>
                <w:b/>
                <w:bCs/>
                <w:sz w:val="22"/>
                <w:szCs w:val="22"/>
              </w:rPr>
              <w:t xml:space="preserve">Size of Household </w:t>
            </w:r>
          </w:p>
        </w:tc>
        <w:tc>
          <w:tcPr>
            <w:tcW w:w="2500" w:type="pct"/>
          </w:tcPr>
          <w:p w14:paraId="6D1535A0" w14:textId="77777777" w:rsidR="008772FC" w:rsidRPr="004D5DBC" w:rsidRDefault="008772FC" w:rsidP="008F2513">
            <w:pPr>
              <w:pStyle w:val="BodyTextIndent"/>
              <w:spacing w:after="0"/>
              <w:ind w:left="0" w:right="-720"/>
              <w:jc w:val="center"/>
              <w:rPr>
                <w:rFonts w:ascii="Calibri" w:hAnsi="Calibri"/>
                <w:b/>
                <w:bCs/>
              </w:rPr>
            </w:pPr>
            <w:r w:rsidRPr="004D5DBC">
              <w:rPr>
                <w:rFonts w:ascii="Calibri" w:hAnsi="Calibri"/>
                <w:b/>
                <w:bCs/>
                <w:sz w:val="22"/>
                <w:szCs w:val="22"/>
              </w:rPr>
              <w:t>Median Household Income</w:t>
            </w:r>
          </w:p>
        </w:tc>
      </w:tr>
      <w:tr w:rsidR="008772FC" w:rsidRPr="004E50E7" w14:paraId="215BC31C" w14:textId="77777777" w:rsidTr="008F2513">
        <w:tc>
          <w:tcPr>
            <w:tcW w:w="2500" w:type="pct"/>
          </w:tcPr>
          <w:p w14:paraId="4D8E6CA3"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1-person households</w:t>
            </w:r>
          </w:p>
        </w:tc>
        <w:tc>
          <w:tcPr>
            <w:tcW w:w="2500" w:type="pct"/>
          </w:tcPr>
          <w:p w14:paraId="6BEA94CF" w14:textId="67FB9FD8"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D82294">
              <w:rPr>
                <w:rFonts w:ascii="Calibri" w:hAnsi="Calibri"/>
                <w:sz w:val="20"/>
              </w:rPr>
              <w:t>56,069</w:t>
            </w:r>
          </w:p>
        </w:tc>
      </w:tr>
      <w:tr w:rsidR="008772FC" w:rsidRPr="004E50E7" w14:paraId="5F71BB78" w14:textId="77777777" w:rsidTr="008F2513">
        <w:tc>
          <w:tcPr>
            <w:tcW w:w="2500" w:type="pct"/>
          </w:tcPr>
          <w:p w14:paraId="5858D107"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2-person households</w:t>
            </w:r>
          </w:p>
        </w:tc>
        <w:tc>
          <w:tcPr>
            <w:tcW w:w="2500" w:type="pct"/>
          </w:tcPr>
          <w:p w14:paraId="6257DACC" w14:textId="3D466D33"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D82294">
              <w:rPr>
                <w:rFonts w:ascii="Calibri" w:hAnsi="Calibri"/>
                <w:sz w:val="20"/>
              </w:rPr>
              <w:t>122,566</w:t>
            </w:r>
          </w:p>
        </w:tc>
      </w:tr>
      <w:tr w:rsidR="008772FC" w:rsidRPr="004E50E7" w14:paraId="1D87993D" w14:textId="77777777" w:rsidTr="008F2513">
        <w:tc>
          <w:tcPr>
            <w:tcW w:w="2500" w:type="pct"/>
          </w:tcPr>
          <w:p w14:paraId="2931D1FF"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3-person households</w:t>
            </w:r>
          </w:p>
        </w:tc>
        <w:tc>
          <w:tcPr>
            <w:tcW w:w="2500" w:type="pct"/>
          </w:tcPr>
          <w:p w14:paraId="7751F096" w14:textId="429B8FE4"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D82294">
              <w:rPr>
                <w:rFonts w:ascii="Calibri" w:hAnsi="Calibri"/>
                <w:sz w:val="20"/>
              </w:rPr>
              <w:t>239,531</w:t>
            </w:r>
          </w:p>
        </w:tc>
      </w:tr>
      <w:tr w:rsidR="008772FC" w:rsidRPr="004E50E7" w14:paraId="4BFC75C3" w14:textId="77777777" w:rsidTr="008F2513">
        <w:tc>
          <w:tcPr>
            <w:tcW w:w="2500" w:type="pct"/>
          </w:tcPr>
          <w:p w14:paraId="760E7E9E"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4-person households</w:t>
            </w:r>
          </w:p>
        </w:tc>
        <w:tc>
          <w:tcPr>
            <w:tcW w:w="2500" w:type="pct"/>
          </w:tcPr>
          <w:p w14:paraId="251C5BDA" w14:textId="4C58C11A"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D82294">
              <w:rPr>
                <w:rFonts w:ascii="Calibri" w:hAnsi="Calibri"/>
                <w:sz w:val="20"/>
              </w:rPr>
              <w:t>250,000+*</w:t>
            </w:r>
          </w:p>
        </w:tc>
      </w:tr>
      <w:tr w:rsidR="008772FC" w:rsidRPr="004E50E7" w14:paraId="60BF95DB" w14:textId="77777777" w:rsidTr="008F2513">
        <w:tc>
          <w:tcPr>
            <w:tcW w:w="2500" w:type="pct"/>
          </w:tcPr>
          <w:p w14:paraId="2F3EA331"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5-person households</w:t>
            </w:r>
          </w:p>
        </w:tc>
        <w:tc>
          <w:tcPr>
            <w:tcW w:w="2500" w:type="pct"/>
          </w:tcPr>
          <w:p w14:paraId="1107511E" w14:textId="63380EB7"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64767F">
              <w:rPr>
                <w:rFonts w:ascii="Calibri" w:hAnsi="Calibri"/>
                <w:sz w:val="20"/>
              </w:rPr>
              <w:t>250,000+ *</w:t>
            </w:r>
          </w:p>
        </w:tc>
      </w:tr>
      <w:tr w:rsidR="008772FC" w:rsidRPr="004E50E7" w14:paraId="27B28EBA" w14:textId="77777777" w:rsidTr="008F2513">
        <w:tc>
          <w:tcPr>
            <w:tcW w:w="2500" w:type="pct"/>
          </w:tcPr>
          <w:p w14:paraId="30E4E7F9" w14:textId="77777777"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6-person households</w:t>
            </w:r>
          </w:p>
        </w:tc>
        <w:tc>
          <w:tcPr>
            <w:tcW w:w="2500" w:type="pct"/>
          </w:tcPr>
          <w:p w14:paraId="58A40722" w14:textId="43A63894" w:rsidR="008772FC" w:rsidRPr="004E50E7" w:rsidRDefault="00A56556" w:rsidP="008F2513">
            <w:pPr>
              <w:pStyle w:val="BodyTextIndent"/>
              <w:spacing w:after="0"/>
              <w:ind w:left="0" w:right="-720"/>
              <w:jc w:val="center"/>
              <w:rPr>
                <w:rFonts w:ascii="Calibri" w:hAnsi="Calibri"/>
                <w:sz w:val="20"/>
              </w:rPr>
            </w:pPr>
            <w:r>
              <w:rPr>
                <w:rFonts w:ascii="Calibri" w:hAnsi="Calibri"/>
                <w:sz w:val="20"/>
              </w:rPr>
              <w:t>$</w:t>
            </w:r>
            <w:r w:rsidR="00A74B81">
              <w:rPr>
                <w:rFonts w:ascii="Calibri" w:hAnsi="Calibri"/>
                <w:sz w:val="20"/>
              </w:rPr>
              <w:t>190,069</w:t>
            </w:r>
          </w:p>
        </w:tc>
      </w:tr>
      <w:tr w:rsidR="008772FC" w:rsidRPr="004E50E7" w14:paraId="0D9C4502" w14:textId="77777777" w:rsidTr="008F2513">
        <w:tc>
          <w:tcPr>
            <w:tcW w:w="2500" w:type="pct"/>
          </w:tcPr>
          <w:p w14:paraId="081A3437" w14:textId="53AA042B" w:rsidR="008772FC" w:rsidRPr="004E50E7" w:rsidRDefault="008772FC" w:rsidP="008F2513">
            <w:pPr>
              <w:pStyle w:val="BodyTextIndent"/>
              <w:spacing w:after="0"/>
              <w:ind w:left="0" w:right="-720"/>
              <w:jc w:val="center"/>
              <w:rPr>
                <w:rFonts w:ascii="Calibri" w:hAnsi="Calibri"/>
                <w:sz w:val="20"/>
              </w:rPr>
            </w:pPr>
            <w:r w:rsidRPr="004E50E7">
              <w:rPr>
                <w:rFonts w:ascii="Calibri" w:hAnsi="Calibri"/>
                <w:sz w:val="20"/>
              </w:rPr>
              <w:t>7</w:t>
            </w:r>
            <w:r w:rsidR="0064767F">
              <w:rPr>
                <w:rFonts w:ascii="Calibri" w:hAnsi="Calibri"/>
                <w:sz w:val="20"/>
              </w:rPr>
              <w:t>+</w:t>
            </w:r>
            <w:r w:rsidRPr="004E50E7">
              <w:rPr>
                <w:rFonts w:ascii="Calibri" w:hAnsi="Calibri"/>
                <w:sz w:val="20"/>
              </w:rPr>
              <w:t xml:space="preserve"> person households</w:t>
            </w:r>
          </w:p>
        </w:tc>
        <w:tc>
          <w:tcPr>
            <w:tcW w:w="2500" w:type="pct"/>
          </w:tcPr>
          <w:p w14:paraId="7051CFC2" w14:textId="79D4FFA8" w:rsidR="008772FC" w:rsidRPr="004E50E7" w:rsidRDefault="00A56556" w:rsidP="009A77B9">
            <w:pPr>
              <w:pStyle w:val="BodyTextIndent"/>
              <w:spacing w:after="0"/>
              <w:ind w:left="0" w:right="-720"/>
              <w:jc w:val="center"/>
              <w:rPr>
                <w:rFonts w:ascii="Calibri" w:hAnsi="Calibri"/>
                <w:sz w:val="20"/>
              </w:rPr>
            </w:pPr>
            <w:r>
              <w:rPr>
                <w:rFonts w:ascii="Calibri" w:hAnsi="Calibri"/>
                <w:sz w:val="20"/>
              </w:rPr>
              <w:t>$</w:t>
            </w:r>
            <w:r w:rsidR="00A74B81">
              <w:rPr>
                <w:rFonts w:ascii="Calibri" w:hAnsi="Calibri"/>
                <w:sz w:val="20"/>
              </w:rPr>
              <w:t>239,010</w:t>
            </w:r>
          </w:p>
        </w:tc>
      </w:tr>
    </w:tbl>
    <w:p w14:paraId="3F101732" w14:textId="25B45F99" w:rsidR="008772FC" w:rsidRDefault="008772FC" w:rsidP="008772FC">
      <w:pPr>
        <w:ind w:right="-720"/>
        <w:jc w:val="both"/>
        <w:rPr>
          <w:rFonts w:ascii="Calibri" w:hAnsi="Calibri"/>
          <w:sz w:val="20"/>
        </w:rPr>
      </w:pPr>
      <w:r w:rsidRPr="004E50E7">
        <w:rPr>
          <w:rFonts w:ascii="Calibri" w:hAnsi="Calibri"/>
          <w:sz w:val="20"/>
        </w:rPr>
        <w:t>Source:  U.S. Census Bureau, American Community Survey 20</w:t>
      </w:r>
      <w:r>
        <w:rPr>
          <w:rFonts w:ascii="Calibri" w:hAnsi="Calibri"/>
          <w:sz w:val="20"/>
        </w:rPr>
        <w:t>1</w:t>
      </w:r>
      <w:r w:rsidR="00D82294">
        <w:rPr>
          <w:rFonts w:ascii="Calibri" w:hAnsi="Calibri"/>
          <w:sz w:val="20"/>
        </w:rPr>
        <w:t>6</w:t>
      </w:r>
      <w:r w:rsidRPr="004E50E7">
        <w:rPr>
          <w:rFonts w:ascii="Calibri" w:hAnsi="Calibri"/>
          <w:sz w:val="20"/>
        </w:rPr>
        <w:t>-20</w:t>
      </w:r>
      <w:r w:rsidR="00D82294">
        <w:rPr>
          <w:rFonts w:ascii="Calibri" w:hAnsi="Calibri"/>
          <w:sz w:val="20"/>
        </w:rPr>
        <w:t>20</w:t>
      </w:r>
      <w:r w:rsidR="0044066F">
        <w:rPr>
          <w:rFonts w:ascii="Calibri" w:hAnsi="Calibri"/>
          <w:sz w:val="20"/>
        </w:rPr>
        <w:t xml:space="preserve"> 5-</w:t>
      </w:r>
      <w:r w:rsidR="00A52FAA">
        <w:rPr>
          <w:rFonts w:ascii="Calibri" w:hAnsi="Calibri"/>
          <w:sz w:val="20"/>
        </w:rPr>
        <w:t>Y</w:t>
      </w:r>
      <w:r w:rsidR="0044066F">
        <w:rPr>
          <w:rFonts w:ascii="Calibri" w:hAnsi="Calibri"/>
          <w:sz w:val="20"/>
        </w:rPr>
        <w:t>ear Estimates</w:t>
      </w:r>
    </w:p>
    <w:p w14:paraId="6756BF37" w14:textId="7B60B6D4" w:rsidR="00587433" w:rsidRPr="00587433" w:rsidRDefault="00587433" w:rsidP="00587433">
      <w:pPr>
        <w:ind w:right="-720"/>
        <w:jc w:val="both"/>
        <w:rPr>
          <w:rFonts w:ascii="Calibri" w:hAnsi="Calibri"/>
          <w:sz w:val="20"/>
        </w:rPr>
      </w:pPr>
      <w:r w:rsidRPr="00587433">
        <w:rPr>
          <w:rFonts w:ascii="Calibri" w:hAnsi="Calibri"/>
          <w:sz w:val="20"/>
        </w:rPr>
        <w:t>*</w:t>
      </w:r>
      <w:r>
        <w:rPr>
          <w:rFonts w:ascii="Calibri" w:hAnsi="Calibri"/>
          <w:sz w:val="20"/>
        </w:rPr>
        <w:t xml:space="preserve"> Indicates that median falls in the upper interval of an open</w:t>
      </w:r>
      <w:r w:rsidR="00B23B62">
        <w:rPr>
          <w:rFonts w:ascii="Calibri" w:hAnsi="Calibri"/>
          <w:sz w:val="20"/>
        </w:rPr>
        <w:t>-</w:t>
      </w:r>
      <w:r>
        <w:rPr>
          <w:rFonts w:ascii="Calibri" w:hAnsi="Calibri"/>
          <w:sz w:val="20"/>
        </w:rPr>
        <w:t>ended distribution.</w:t>
      </w:r>
    </w:p>
    <w:p w14:paraId="5E76AC85" w14:textId="77777777" w:rsidR="008772FC" w:rsidRPr="004D5DBC" w:rsidRDefault="008772FC" w:rsidP="00303F30">
      <w:pPr>
        <w:pStyle w:val="BodyText"/>
        <w:spacing w:after="0"/>
        <w:jc w:val="both"/>
        <w:rPr>
          <w:rFonts w:ascii="Calibri" w:hAnsi="Calibri"/>
          <w:sz w:val="22"/>
          <w:szCs w:val="22"/>
        </w:rPr>
      </w:pPr>
    </w:p>
    <w:p w14:paraId="4C95C1A2" w14:textId="4AB15BD2" w:rsidR="00250F6D" w:rsidRDefault="008772FC" w:rsidP="00303F30">
      <w:pPr>
        <w:pStyle w:val="BodyTextIndent"/>
        <w:spacing w:after="0"/>
        <w:ind w:left="0"/>
        <w:jc w:val="both"/>
        <w:rPr>
          <w:rFonts w:ascii="Calibri" w:hAnsi="Calibri"/>
          <w:bCs/>
          <w:sz w:val="22"/>
          <w:szCs w:val="22"/>
        </w:rPr>
      </w:pPr>
      <w:r w:rsidRPr="004D5DBC">
        <w:rPr>
          <w:rFonts w:ascii="Calibri" w:hAnsi="Calibri"/>
          <w:bCs/>
          <w:sz w:val="22"/>
          <w:szCs w:val="22"/>
        </w:rPr>
        <w:t xml:space="preserve">Another perspective on income levels examines </w:t>
      </w:r>
      <w:r w:rsidRPr="004D5DBC">
        <w:rPr>
          <w:rFonts w:ascii="Calibri" w:hAnsi="Calibri"/>
          <w:bCs/>
          <w:i/>
          <w:iCs/>
          <w:sz w:val="22"/>
          <w:szCs w:val="22"/>
        </w:rPr>
        <w:t xml:space="preserve">income by the age of the primary household earner </w:t>
      </w:r>
      <w:r w:rsidRPr="004D5DBC">
        <w:rPr>
          <w:rFonts w:ascii="Calibri" w:hAnsi="Calibri"/>
          <w:bCs/>
          <w:sz w:val="22"/>
          <w:szCs w:val="22"/>
        </w:rPr>
        <w:t xml:space="preserve">or householder as summarized in Table </w:t>
      </w:r>
      <w:r w:rsidR="00250F6D">
        <w:rPr>
          <w:rFonts w:ascii="Calibri" w:hAnsi="Calibri"/>
          <w:bCs/>
          <w:sz w:val="22"/>
          <w:szCs w:val="22"/>
        </w:rPr>
        <w:t>III-15</w:t>
      </w:r>
      <w:r w:rsidRPr="004D5DBC">
        <w:rPr>
          <w:rFonts w:ascii="Calibri" w:hAnsi="Calibri"/>
          <w:bCs/>
          <w:sz w:val="22"/>
          <w:szCs w:val="22"/>
        </w:rPr>
        <w:t>.  Few householders were less than 25 years of age and all</w:t>
      </w:r>
      <w:r w:rsidR="00250F6D">
        <w:rPr>
          <w:rFonts w:ascii="Calibri" w:hAnsi="Calibri"/>
          <w:bCs/>
          <w:sz w:val="22"/>
          <w:szCs w:val="22"/>
        </w:rPr>
        <w:t xml:space="preserve"> had incomes of</w:t>
      </w:r>
      <w:r w:rsidRPr="004D5DBC">
        <w:rPr>
          <w:rFonts w:ascii="Calibri" w:hAnsi="Calibri"/>
          <w:bCs/>
          <w:sz w:val="22"/>
          <w:szCs w:val="22"/>
        </w:rPr>
        <w:t xml:space="preserve"> less than $</w:t>
      </w:r>
      <w:r w:rsidR="006D428B">
        <w:rPr>
          <w:rFonts w:ascii="Calibri" w:hAnsi="Calibri"/>
          <w:bCs/>
          <w:sz w:val="22"/>
          <w:szCs w:val="22"/>
        </w:rPr>
        <w:t>2</w:t>
      </w:r>
      <w:r w:rsidRPr="004D5DBC">
        <w:rPr>
          <w:rFonts w:ascii="Calibri" w:hAnsi="Calibri"/>
          <w:bCs/>
          <w:sz w:val="22"/>
          <w:szCs w:val="22"/>
        </w:rPr>
        <w:t>5,000 according to</w:t>
      </w:r>
      <w:r w:rsidR="009A77B9">
        <w:rPr>
          <w:rFonts w:ascii="Calibri" w:hAnsi="Calibri"/>
          <w:bCs/>
          <w:sz w:val="22"/>
          <w:szCs w:val="22"/>
        </w:rPr>
        <w:t xml:space="preserve"> 20</w:t>
      </w:r>
      <w:r w:rsidR="006D428B">
        <w:rPr>
          <w:rFonts w:ascii="Calibri" w:hAnsi="Calibri"/>
          <w:bCs/>
          <w:sz w:val="22"/>
          <w:szCs w:val="22"/>
        </w:rPr>
        <w:t>20</w:t>
      </w:r>
      <w:r w:rsidRPr="004D5DBC">
        <w:rPr>
          <w:rFonts w:ascii="Calibri" w:hAnsi="Calibri"/>
          <w:bCs/>
          <w:sz w:val="22"/>
          <w:szCs w:val="22"/>
        </w:rPr>
        <w:t xml:space="preserve"> census estimates. </w:t>
      </w:r>
      <w:r w:rsidR="00250F6D">
        <w:rPr>
          <w:rFonts w:ascii="Calibri" w:hAnsi="Calibri"/>
          <w:bCs/>
          <w:sz w:val="22"/>
          <w:szCs w:val="22"/>
        </w:rPr>
        <w:t>Some of these households may have been attending local colleges or working part-time.</w:t>
      </w:r>
      <w:r w:rsidRPr="004D5DBC">
        <w:rPr>
          <w:rFonts w:ascii="Calibri" w:hAnsi="Calibri"/>
          <w:bCs/>
          <w:sz w:val="22"/>
          <w:szCs w:val="22"/>
        </w:rPr>
        <w:t xml:space="preserve"> </w:t>
      </w:r>
    </w:p>
    <w:p w14:paraId="29B7C983" w14:textId="77777777" w:rsidR="00250F6D" w:rsidRDefault="00250F6D" w:rsidP="00303F30">
      <w:pPr>
        <w:pStyle w:val="BodyTextIndent"/>
        <w:spacing w:after="0"/>
        <w:ind w:left="0"/>
        <w:jc w:val="both"/>
        <w:rPr>
          <w:rFonts w:ascii="Calibri" w:hAnsi="Calibri"/>
          <w:bCs/>
          <w:sz w:val="22"/>
          <w:szCs w:val="22"/>
        </w:rPr>
      </w:pPr>
    </w:p>
    <w:p w14:paraId="09C545F5" w14:textId="0AAFAAAE" w:rsidR="008772FC" w:rsidRDefault="006525EA" w:rsidP="00303F30">
      <w:pPr>
        <w:pStyle w:val="BodyTextIndent"/>
        <w:spacing w:after="0"/>
        <w:ind w:left="0"/>
        <w:jc w:val="both"/>
        <w:rPr>
          <w:rFonts w:ascii="Calibri" w:hAnsi="Calibri"/>
          <w:bCs/>
          <w:sz w:val="22"/>
          <w:szCs w:val="22"/>
        </w:rPr>
      </w:pPr>
      <w:r>
        <w:rPr>
          <w:rFonts w:ascii="Calibri" w:hAnsi="Calibri"/>
          <w:bCs/>
          <w:sz w:val="22"/>
          <w:szCs w:val="22"/>
        </w:rPr>
        <w:t>Of the 2,</w:t>
      </w:r>
      <w:r w:rsidR="00250F6D">
        <w:rPr>
          <w:rFonts w:ascii="Calibri" w:hAnsi="Calibri"/>
          <w:bCs/>
          <w:sz w:val="22"/>
          <w:szCs w:val="22"/>
        </w:rPr>
        <w:t>5</w:t>
      </w:r>
      <w:r w:rsidR="006D428B">
        <w:rPr>
          <w:rFonts w:ascii="Calibri" w:hAnsi="Calibri"/>
          <w:bCs/>
          <w:sz w:val="22"/>
          <w:szCs w:val="22"/>
        </w:rPr>
        <w:t>24</w:t>
      </w:r>
      <w:r>
        <w:rPr>
          <w:rFonts w:ascii="Calibri" w:hAnsi="Calibri"/>
          <w:bCs/>
          <w:sz w:val="22"/>
          <w:szCs w:val="22"/>
        </w:rPr>
        <w:t xml:space="preserve"> household</w:t>
      </w:r>
      <w:r w:rsidR="001A0DF6">
        <w:rPr>
          <w:rFonts w:ascii="Calibri" w:hAnsi="Calibri"/>
          <w:bCs/>
          <w:sz w:val="22"/>
          <w:szCs w:val="22"/>
        </w:rPr>
        <w:t>er</w:t>
      </w:r>
      <w:r>
        <w:rPr>
          <w:rFonts w:ascii="Calibri" w:hAnsi="Calibri"/>
          <w:bCs/>
          <w:sz w:val="22"/>
          <w:szCs w:val="22"/>
        </w:rPr>
        <w:t xml:space="preserve">s age 25 to 44, only </w:t>
      </w:r>
      <w:r w:rsidR="006D428B">
        <w:rPr>
          <w:rFonts w:ascii="Calibri" w:hAnsi="Calibri"/>
          <w:bCs/>
          <w:sz w:val="22"/>
          <w:szCs w:val="22"/>
        </w:rPr>
        <w:t>13.3</w:t>
      </w:r>
      <w:r w:rsidR="00975FC3">
        <w:rPr>
          <w:rFonts w:ascii="Calibri" w:hAnsi="Calibri"/>
          <w:bCs/>
          <w:sz w:val="22"/>
          <w:szCs w:val="22"/>
        </w:rPr>
        <w:t xml:space="preserve">% </w:t>
      </w:r>
      <w:r w:rsidR="00250F6D">
        <w:rPr>
          <w:rFonts w:ascii="Calibri" w:hAnsi="Calibri"/>
          <w:bCs/>
          <w:sz w:val="22"/>
          <w:szCs w:val="22"/>
        </w:rPr>
        <w:t>had incomes of l</w:t>
      </w:r>
      <w:r w:rsidR="00975FC3">
        <w:rPr>
          <w:rFonts w:ascii="Calibri" w:hAnsi="Calibri"/>
          <w:bCs/>
          <w:sz w:val="22"/>
          <w:szCs w:val="22"/>
        </w:rPr>
        <w:t xml:space="preserve">ess than $50,000 while </w:t>
      </w:r>
      <w:r w:rsidR="007C35F8">
        <w:rPr>
          <w:rFonts w:ascii="Calibri" w:hAnsi="Calibri"/>
          <w:bCs/>
          <w:sz w:val="22"/>
          <w:szCs w:val="22"/>
        </w:rPr>
        <w:t>7</w:t>
      </w:r>
      <w:r w:rsidR="00975FC3">
        <w:rPr>
          <w:rFonts w:ascii="Calibri" w:hAnsi="Calibri"/>
          <w:bCs/>
          <w:sz w:val="22"/>
          <w:szCs w:val="22"/>
        </w:rPr>
        <w:t>0</w:t>
      </w:r>
      <w:r w:rsidR="006D428B">
        <w:rPr>
          <w:rFonts w:ascii="Calibri" w:hAnsi="Calibri"/>
          <w:bCs/>
          <w:sz w:val="22"/>
          <w:szCs w:val="22"/>
        </w:rPr>
        <w:t>.5</w:t>
      </w:r>
      <w:r w:rsidR="00975FC3">
        <w:rPr>
          <w:rFonts w:ascii="Calibri" w:hAnsi="Calibri"/>
          <w:bCs/>
          <w:sz w:val="22"/>
          <w:szCs w:val="22"/>
        </w:rPr>
        <w:t xml:space="preserve">% had incomes of more than $150,000.  </w:t>
      </w:r>
      <w:r w:rsidR="007C35F8">
        <w:rPr>
          <w:rFonts w:ascii="Calibri" w:hAnsi="Calibri"/>
          <w:bCs/>
          <w:sz w:val="22"/>
          <w:szCs w:val="22"/>
        </w:rPr>
        <w:t>This age group had the highest median income level of $</w:t>
      </w:r>
      <w:r w:rsidR="006D428B">
        <w:rPr>
          <w:rFonts w:ascii="Calibri" w:hAnsi="Calibri"/>
          <w:bCs/>
          <w:sz w:val="22"/>
          <w:szCs w:val="22"/>
        </w:rPr>
        <w:t>242,885</w:t>
      </w:r>
      <w:r w:rsidR="007C35F8">
        <w:rPr>
          <w:rFonts w:ascii="Calibri" w:hAnsi="Calibri"/>
          <w:bCs/>
          <w:sz w:val="22"/>
          <w:szCs w:val="22"/>
        </w:rPr>
        <w:t>.</w:t>
      </w:r>
    </w:p>
    <w:p w14:paraId="70198119" w14:textId="77777777" w:rsidR="00975FC3" w:rsidRPr="004D5DBC" w:rsidRDefault="00975FC3" w:rsidP="00303F30">
      <w:pPr>
        <w:pStyle w:val="BodyTextIndent"/>
        <w:spacing w:after="0"/>
        <w:ind w:left="0"/>
        <w:jc w:val="both"/>
        <w:rPr>
          <w:rFonts w:ascii="Calibri" w:hAnsi="Calibri"/>
          <w:bCs/>
          <w:sz w:val="22"/>
          <w:szCs w:val="22"/>
        </w:rPr>
      </w:pPr>
    </w:p>
    <w:p w14:paraId="1D7A85A9" w14:textId="6D01CBF6" w:rsidR="00975FC3" w:rsidRDefault="008772FC" w:rsidP="00303F30">
      <w:pPr>
        <w:pStyle w:val="BodyTextIndent"/>
        <w:spacing w:after="0"/>
        <w:ind w:left="0"/>
        <w:jc w:val="both"/>
        <w:rPr>
          <w:rFonts w:ascii="Calibri" w:hAnsi="Calibri"/>
          <w:bCs/>
          <w:sz w:val="22"/>
          <w:szCs w:val="22"/>
        </w:rPr>
      </w:pPr>
      <w:r w:rsidRPr="004D5DBC">
        <w:rPr>
          <w:rFonts w:ascii="Calibri" w:hAnsi="Calibri"/>
          <w:bCs/>
          <w:sz w:val="22"/>
          <w:szCs w:val="22"/>
        </w:rPr>
        <w:t xml:space="preserve">The largest age group included those in the 45 to 64 age range </w:t>
      </w:r>
      <w:r w:rsidR="001A0DF6">
        <w:rPr>
          <w:rFonts w:ascii="Calibri" w:hAnsi="Calibri"/>
          <w:bCs/>
          <w:sz w:val="22"/>
          <w:szCs w:val="22"/>
        </w:rPr>
        <w:t>involving</w:t>
      </w:r>
      <w:r w:rsidRPr="004D5DBC">
        <w:rPr>
          <w:rFonts w:ascii="Calibri" w:hAnsi="Calibri"/>
          <w:bCs/>
          <w:sz w:val="22"/>
          <w:szCs w:val="22"/>
        </w:rPr>
        <w:t xml:space="preserve"> </w:t>
      </w:r>
      <w:r w:rsidR="006D428B">
        <w:rPr>
          <w:rFonts w:ascii="Calibri" w:hAnsi="Calibri"/>
          <w:bCs/>
          <w:sz w:val="22"/>
          <w:szCs w:val="22"/>
        </w:rPr>
        <w:t>4,617</w:t>
      </w:r>
      <w:r w:rsidRPr="004D5DBC">
        <w:rPr>
          <w:rFonts w:ascii="Calibri" w:hAnsi="Calibri"/>
          <w:bCs/>
          <w:sz w:val="22"/>
          <w:szCs w:val="22"/>
        </w:rPr>
        <w:t xml:space="preserve"> households </w:t>
      </w:r>
      <w:r w:rsidR="009A77B9">
        <w:rPr>
          <w:rFonts w:ascii="Calibri" w:hAnsi="Calibri"/>
          <w:bCs/>
          <w:sz w:val="22"/>
          <w:szCs w:val="22"/>
        </w:rPr>
        <w:t xml:space="preserve">or </w:t>
      </w:r>
      <w:r w:rsidR="00975FC3">
        <w:rPr>
          <w:rFonts w:ascii="Calibri" w:hAnsi="Calibri"/>
          <w:bCs/>
          <w:sz w:val="22"/>
          <w:szCs w:val="22"/>
        </w:rPr>
        <w:t>4</w:t>
      </w:r>
      <w:r w:rsidR="006D428B">
        <w:rPr>
          <w:rFonts w:ascii="Calibri" w:hAnsi="Calibri"/>
          <w:bCs/>
          <w:sz w:val="22"/>
          <w:szCs w:val="22"/>
        </w:rPr>
        <w:t>3</w:t>
      </w:r>
      <w:r w:rsidRPr="004D5DBC">
        <w:rPr>
          <w:rFonts w:ascii="Calibri" w:hAnsi="Calibri"/>
          <w:bCs/>
          <w:sz w:val="22"/>
          <w:szCs w:val="22"/>
        </w:rPr>
        <w:t xml:space="preserve">% of all households.  </w:t>
      </w:r>
      <w:r w:rsidR="00975FC3">
        <w:rPr>
          <w:rFonts w:ascii="Calibri" w:hAnsi="Calibri"/>
          <w:bCs/>
          <w:sz w:val="22"/>
          <w:szCs w:val="22"/>
        </w:rPr>
        <w:t>As with the 25 to 44 age group, a</w:t>
      </w:r>
      <w:r w:rsidR="007C35F8">
        <w:rPr>
          <w:rFonts w:ascii="Calibri" w:hAnsi="Calibri"/>
          <w:bCs/>
          <w:sz w:val="22"/>
          <w:szCs w:val="22"/>
        </w:rPr>
        <w:t xml:space="preserve"> substantial  number of these households had incomes of more than $150,000, representing </w:t>
      </w:r>
      <w:r w:rsidR="006D428B">
        <w:rPr>
          <w:rFonts w:ascii="Calibri" w:hAnsi="Calibri"/>
          <w:bCs/>
          <w:sz w:val="22"/>
          <w:szCs w:val="22"/>
        </w:rPr>
        <w:t>70.1</w:t>
      </w:r>
      <w:r w:rsidR="001A0DF6">
        <w:rPr>
          <w:rFonts w:ascii="Calibri" w:hAnsi="Calibri"/>
          <w:bCs/>
          <w:sz w:val="22"/>
          <w:szCs w:val="22"/>
        </w:rPr>
        <w:t>%</w:t>
      </w:r>
      <w:r w:rsidR="007C35F8">
        <w:rPr>
          <w:rFonts w:ascii="Calibri" w:hAnsi="Calibri"/>
          <w:bCs/>
          <w:sz w:val="22"/>
          <w:szCs w:val="22"/>
        </w:rPr>
        <w:t xml:space="preserve"> of these households, while </w:t>
      </w:r>
      <w:r w:rsidR="00975FC3">
        <w:rPr>
          <w:rFonts w:ascii="Calibri" w:hAnsi="Calibri"/>
          <w:bCs/>
          <w:sz w:val="22"/>
          <w:szCs w:val="22"/>
        </w:rPr>
        <w:t xml:space="preserve">only </w:t>
      </w:r>
      <w:r w:rsidR="00423090">
        <w:rPr>
          <w:rFonts w:ascii="Calibri" w:hAnsi="Calibri"/>
          <w:bCs/>
          <w:sz w:val="22"/>
          <w:szCs w:val="22"/>
        </w:rPr>
        <w:t>7.0</w:t>
      </w:r>
      <w:r w:rsidR="00975FC3">
        <w:rPr>
          <w:rFonts w:ascii="Calibri" w:hAnsi="Calibri"/>
          <w:bCs/>
          <w:sz w:val="22"/>
          <w:szCs w:val="22"/>
        </w:rPr>
        <w:t>%</w:t>
      </w:r>
      <w:r w:rsidR="009A77B9">
        <w:rPr>
          <w:rFonts w:ascii="Calibri" w:hAnsi="Calibri"/>
          <w:bCs/>
          <w:sz w:val="22"/>
          <w:szCs w:val="22"/>
        </w:rPr>
        <w:t xml:space="preserve"> </w:t>
      </w:r>
      <w:r w:rsidR="007C35F8">
        <w:rPr>
          <w:rFonts w:ascii="Calibri" w:hAnsi="Calibri"/>
          <w:bCs/>
          <w:sz w:val="22"/>
          <w:szCs w:val="22"/>
        </w:rPr>
        <w:t>had</w:t>
      </w:r>
      <w:r w:rsidR="00975FC3">
        <w:rPr>
          <w:rFonts w:ascii="Calibri" w:hAnsi="Calibri"/>
          <w:bCs/>
          <w:sz w:val="22"/>
          <w:szCs w:val="22"/>
        </w:rPr>
        <w:t xml:space="preserve"> incomes of less than $50,000.  I</w:t>
      </w:r>
      <w:r w:rsidRPr="004D5DBC">
        <w:rPr>
          <w:rFonts w:ascii="Calibri" w:hAnsi="Calibri"/>
          <w:bCs/>
          <w:sz w:val="22"/>
          <w:szCs w:val="22"/>
        </w:rPr>
        <w:t>t is likely that some of these households</w:t>
      </w:r>
      <w:r w:rsidR="004B1DFF">
        <w:rPr>
          <w:rFonts w:ascii="Calibri" w:hAnsi="Calibri"/>
          <w:bCs/>
          <w:sz w:val="22"/>
          <w:szCs w:val="22"/>
        </w:rPr>
        <w:t xml:space="preserve"> with</w:t>
      </w:r>
      <w:r w:rsidRPr="004D5DBC">
        <w:rPr>
          <w:rFonts w:ascii="Calibri" w:hAnsi="Calibri"/>
          <w:bCs/>
          <w:sz w:val="22"/>
          <w:szCs w:val="22"/>
        </w:rPr>
        <w:t xml:space="preserve"> more modest means have lived in Needham for many years, entering the community when it still had a fair amount of starter housing available, prior to the huge boom in housing values. </w:t>
      </w:r>
      <w:r w:rsidR="00975FC3">
        <w:rPr>
          <w:rFonts w:ascii="Calibri" w:hAnsi="Calibri"/>
          <w:bCs/>
          <w:sz w:val="22"/>
          <w:szCs w:val="22"/>
        </w:rPr>
        <w:t xml:space="preserve"> </w:t>
      </w:r>
    </w:p>
    <w:p w14:paraId="6F7FB1EE" w14:textId="77777777" w:rsidR="002E7CC9" w:rsidRDefault="002E7CC9" w:rsidP="00303F30">
      <w:pPr>
        <w:pStyle w:val="BodyTextIndent"/>
        <w:spacing w:after="0"/>
        <w:ind w:left="0"/>
        <w:jc w:val="both"/>
        <w:rPr>
          <w:rFonts w:ascii="Calibri" w:hAnsi="Calibri"/>
          <w:bCs/>
          <w:sz w:val="22"/>
          <w:szCs w:val="22"/>
        </w:rPr>
      </w:pPr>
    </w:p>
    <w:p w14:paraId="70E41C14" w14:textId="541574BB" w:rsidR="008772FC" w:rsidRPr="004D5DBC" w:rsidRDefault="00975FC3" w:rsidP="00303F30">
      <w:pPr>
        <w:pStyle w:val="BodyTextIndent"/>
        <w:spacing w:after="0"/>
        <w:ind w:left="0"/>
        <w:jc w:val="both"/>
        <w:rPr>
          <w:rFonts w:ascii="Calibri" w:hAnsi="Calibri"/>
          <w:bCs/>
          <w:sz w:val="22"/>
          <w:szCs w:val="22"/>
        </w:rPr>
      </w:pPr>
      <w:r>
        <w:rPr>
          <w:rFonts w:ascii="Calibri" w:hAnsi="Calibri"/>
          <w:bCs/>
          <w:sz w:val="22"/>
          <w:szCs w:val="22"/>
        </w:rPr>
        <w:t>It is also interesting to note that the median incomes and percentages</w:t>
      </w:r>
      <w:r w:rsidR="004B1DFF">
        <w:rPr>
          <w:rFonts w:ascii="Calibri" w:hAnsi="Calibri"/>
          <w:bCs/>
          <w:sz w:val="22"/>
          <w:szCs w:val="22"/>
        </w:rPr>
        <w:t xml:space="preserve"> of those</w:t>
      </w:r>
      <w:r>
        <w:rPr>
          <w:rFonts w:ascii="Calibri" w:hAnsi="Calibri"/>
          <w:bCs/>
          <w:sz w:val="22"/>
          <w:szCs w:val="22"/>
        </w:rPr>
        <w:t xml:space="preserve"> earning more than</w:t>
      </w:r>
      <w:r w:rsidR="009A77B9">
        <w:rPr>
          <w:rFonts w:ascii="Calibri" w:hAnsi="Calibri"/>
          <w:bCs/>
          <w:sz w:val="22"/>
          <w:szCs w:val="22"/>
        </w:rPr>
        <w:t xml:space="preserve"> </w:t>
      </w:r>
      <w:r>
        <w:rPr>
          <w:rFonts w:ascii="Calibri" w:hAnsi="Calibri"/>
          <w:bCs/>
          <w:sz w:val="22"/>
          <w:szCs w:val="22"/>
        </w:rPr>
        <w:t>$100,000 are fairly similar in the 25 to 44 and 45 to 64 age categories</w:t>
      </w:r>
      <w:r w:rsidR="007C35F8">
        <w:rPr>
          <w:rFonts w:ascii="Calibri" w:hAnsi="Calibri"/>
          <w:bCs/>
          <w:sz w:val="22"/>
          <w:szCs w:val="22"/>
        </w:rPr>
        <w:t xml:space="preserve">, </w:t>
      </w:r>
      <w:r w:rsidR="00423090">
        <w:rPr>
          <w:rFonts w:ascii="Calibri" w:hAnsi="Calibri"/>
          <w:bCs/>
          <w:sz w:val="22"/>
          <w:szCs w:val="22"/>
        </w:rPr>
        <w:t>in the 81% to</w:t>
      </w:r>
      <w:r w:rsidR="007C35F8">
        <w:rPr>
          <w:rFonts w:ascii="Calibri" w:hAnsi="Calibri"/>
          <w:bCs/>
          <w:sz w:val="22"/>
          <w:szCs w:val="22"/>
        </w:rPr>
        <w:t xml:space="preserve"> 83%</w:t>
      </w:r>
      <w:r w:rsidR="00423090">
        <w:rPr>
          <w:rFonts w:ascii="Calibri" w:hAnsi="Calibri"/>
          <w:bCs/>
          <w:sz w:val="22"/>
          <w:szCs w:val="22"/>
        </w:rPr>
        <w:t xml:space="preserve"> range</w:t>
      </w:r>
      <w:r>
        <w:rPr>
          <w:rFonts w:ascii="Calibri" w:hAnsi="Calibri"/>
          <w:bCs/>
          <w:sz w:val="22"/>
          <w:szCs w:val="22"/>
        </w:rPr>
        <w:t xml:space="preserve">.  More typically, income levels are higher for those in the older age range as they are generally more established in their careers and at the peak of their earning potential.  One reason for this comparability may be that more recent homeowners are younger </w:t>
      </w:r>
      <w:r w:rsidR="00085F92">
        <w:rPr>
          <w:rFonts w:ascii="Calibri" w:hAnsi="Calibri"/>
          <w:bCs/>
          <w:sz w:val="22"/>
          <w:szCs w:val="22"/>
        </w:rPr>
        <w:t xml:space="preserve">and were particularly </w:t>
      </w:r>
      <w:r>
        <w:rPr>
          <w:rFonts w:ascii="Calibri" w:hAnsi="Calibri"/>
          <w:bCs/>
          <w:sz w:val="22"/>
          <w:szCs w:val="22"/>
        </w:rPr>
        <w:t>attracted to Needham school</w:t>
      </w:r>
      <w:r w:rsidR="00085F92">
        <w:rPr>
          <w:rFonts w:ascii="Calibri" w:hAnsi="Calibri"/>
          <w:bCs/>
          <w:sz w:val="22"/>
          <w:szCs w:val="22"/>
        </w:rPr>
        <w:t>s and other community amenities</w:t>
      </w:r>
      <w:r w:rsidR="009A77B9">
        <w:rPr>
          <w:rFonts w:ascii="Calibri" w:hAnsi="Calibri"/>
          <w:bCs/>
          <w:sz w:val="22"/>
          <w:szCs w:val="22"/>
        </w:rPr>
        <w:t>,</w:t>
      </w:r>
      <w:r w:rsidR="00085F92">
        <w:rPr>
          <w:rFonts w:ascii="Calibri" w:hAnsi="Calibri"/>
          <w:bCs/>
          <w:sz w:val="22"/>
          <w:szCs w:val="22"/>
        </w:rPr>
        <w:t xml:space="preserve"> including public transportation. They also were able to</w:t>
      </w:r>
      <w:r>
        <w:rPr>
          <w:rFonts w:ascii="Calibri" w:hAnsi="Calibri"/>
          <w:bCs/>
          <w:sz w:val="22"/>
          <w:szCs w:val="22"/>
        </w:rPr>
        <w:t xml:space="preserve"> afford the high costs associated with housing, particular</w:t>
      </w:r>
      <w:r w:rsidR="009A77B9">
        <w:rPr>
          <w:rFonts w:ascii="Calibri" w:hAnsi="Calibri"/>
          <w:bCs/>
          <w:sz w:val="22"/>
          <w:szCs w:val="22"/>
        </w:rPr>
        <w:t>ly</w:t>
      </w:r>
      <w:r>
        <w:rPr>
          <w:rFonts w:ascii="Calibri" w:hAnsi="Calibri"/>
          <w:bCs/>
          <w:sz w:val="22"/>
          <w:szCs w:val="22"/>
        </w:rPr>
        <w:t xml:space="preserve"> the large homes that are a product of demolition and replacement activity.</w:t>
      </w:r>
    </w:p>
    <w:p w14:paraId="7A161DAE" w14:textId="77777777" w:rsidR="008772FC" w:rsidRPr="004D5DBC" w:rsidRDefault="008772FC" w:rsidP="00303F30">
      <w:pPr>
        <w:pStyle w:val="BodyTextIndent"/>
        <w:spacing w:after="0"/>
        <w:ind w:left="0"/>
        <w:jc w:val="both"/>
        <w:rPr>
          <w:rFonts w:ascii="Calibri" w:hAnsi="Calibri"/>
          <w:bCs/>
          <w:sz w:val="22"/>
          <w:szCs w:val="22"/>
        </w:rPr>
      </w:pPr>
    </w:p>
    <w:p w14:paraId="3D7D9286" w14:textId="4CBE4CD2" w:rsidR="008772FC" w:rsidRPr="004D5DBC" w:rsidRDefault="008772FC" w:rsidP="00303F30">
      <w:pPr>
        <w:pStyle w:val="BodyTextIndent"/>
        <w:spacing w:after="0"/>
        <w:ind w:left="0"/>
        <w:jc w:val="both"/>
        <w:rPr>
          <w:rFonts w:ascii="Calibri" w:hAnsi="Calibri"/>
          <w:bCs/>
          <w:sz w:val="22"/>
          <w:szCs w:val="22"/>
        </w:rPr>
      </w:pPr>
      <w:r w:rsidRPr="004D5DBC">
        <w:rPr>
          <w:rFonts w:ascii="Calibri" w:hAnsi="Calibri"/>
          <w:bCs/>
          <w:sz w:val="22"/>
          <w:szCs w:val="22"/>
        </w:rPr>
        <w:t xml:space="preserve">The incomes of those 65 years or older were not as concentrated in any particular income range but </w:t>
      </w:r>
      <w:r w:rsidR="00447FCC">
        <w:rPr>
          <w:rFonts w:ascii="Calibri" w:hAnsi="Calibri"/>
          <w:bCs/>
          <w:sz w:val="22"/>
          <w:szCs w:val="22"/>
        </w:rPr>
        <w:t>11.9</w:t>
      </w:r>
      <w:r w:rsidRPr="004D5DBC">
        <w:rPr>
          <w:rFonts w:ascii="Calibri" w:hAnsi="Calibri"/>
          <w:bCs/>
          <w:sz w:val="22"/>
          <w:szCs w:val="22"/>
        </w:rPr>
        <w:t xml:space="preserve">% </w:t>
      </w:r>
      <w:r w:rsidR="00085F92">
        <w:rPr>
          <w:rFonts w:ascii="Calibri" w:hAnsi="Calibri"/>
          <w:bCs/>
          <w:sz w:val="22"/>
          <w:szCs w:val="22"/>
        </w:rPr>
        <w:t>had incomes of le</w:t>
      </w:r>
      <w:r w:rsidR="00975FC3">
        <w:rPr>
          <w:rFonts w:ascii="Calibri" w:hAnsi="Calibri"/>
          <w:bCs/>
          <w:sz w:val="22"/>
          <w:szCs w:val="22"/>
        </w:rPr>
        <w:t>ss than</w:t>
      </w:r>
      <w:r w:rsidRPr="004D5DBC">
        <w:rPr>
          <w:rFonts w:ascii="Calibri" w:hAnsi="Calibri"/>
          <w:bCs/>
          <w:sz w:val="22"/>
          <w:szCs w:val="22"/>
        </w:rPr>
        <w:t xml:space="preserve"> $25,000 and </w:t>
      </w:r>
      <w:r w:rsidR="00447FCC">
        <w:rPr>
          <w:rFonts w:ascii="Calibri" w:hAnsi="Calibri"/>
          <w:bCs/>
          <w:sz w:val="22"/>
          <w:szCs w:val="22"/>
        </w:rPr>
        <w:t>41</w:t>
      </w:r>
      <w:r w:rsidR="00085F92">
        <w:rPr>
          <w:rFonts w:ascii="Calibri" w:hAnsi="Calibri"/>
          <w:bCs/>
          <w:sz w:val="22"/>
          <w:szCs w:val="22"/>
        </w:rPr>
        <w:t>%</w:t>
      </w:r>
      <w:r w:rsidRPr="004D5DBC">
        <w:rPr>
          <w:rFonts w:ascii="Calibri" w:hAnsi="Calibri"/>
          <w:bCs/>
          <w:sz w:val="22"/>
          <w:szCs w:val="22"/>
        </w:rPr>
        <w:t xml:space="preserve"> earned under $75,000.</w:t>
      </w:r>
      <w:r w:rsidR="00975FC3">
        <w:rPr>
          <w:rFonts w:ascii="Calibri" w:hAnsi="Calibri"/>
          <w:bCs/>
          <w:sz w:val="22"/>
          <w:szCs w:val="22"/>
        </w:rPr>
        <w:t xml:space="preserve">  Nevertheless, </w:t>
      </w:r>
      <w:r w:rsidR="00447FCC">
        <w:rPr>
          <w:rFonts w:ascii="Calibri" w:hAnsi="Calibri"/>
          <w:bCs/>
          <w:sz w:val="22"/>
          <w:szCs w:val="22"/>
        </w:rPr>
        <w:t>more than</w:t>
      </w:r>
      <w:r w:rsidR="00975FC3">
        <w:rPr>
          <w:rFonts w:ascii="Calibri" w:hAnsi="Calibri"/>
          <w:bCs/>
          <w:sz w:val="22"/>
          <w:szCs w:val="22"/>
        </w:rPr>
        <w:t xml:space="preserve"> one-quarter </w:t>
      </w:r>
      <w:r w:rsidR="00085F92">
        <w:rPr>
          <w:rFonts w:ascii="Calibri" w:hAnsi="Calibri"/>
          <w:bCs/>
          <w:sz w:val="22"/>
          <w:szCs w:val="22"/>
        </w:rPr>
        <w:t>had incomes of</w:t>
      </w:r>
      <w:r w:rsidR="00975FC3">
        <w:rPr>
          <w:rFonts w:ascii="Calibri" w:hAnsi="Calibri"/>
          <w:bCs/>
          <w:sz w:val="22"/>
          <w:szCs w:val="22"/>
        </w:rPr>
        <w:t xml:space="preserve"> more than $150,000</w:t>
      </w:r>
      <w:r w:rsidR="00085F92">
        <w:rPr>
          <w:rFonts w:ascii="Calibri" w:hAnsi="Calibri"/>
          <w:bCs/>
          <w:sz w:val="22"/>
          <w:szCs w:val="22"/>
        </w:rPr>
        <w:t xml:space="preserve"> with another </w:t>
      </w:r>
      <w:r w:rsidR="00447FCC">
        <w:rPr>
          <w:rFonts w:ascii="Calibri" w:hAnsi="Calibri"/>
          <w:bCs/>
          <w:sz w:val="22"/>
          <w:szCs w:val="22"/>
        </w:rPr>
        <w:t>18</w:t>
      </w:r>
      <w:r w:rsidR="00085F92">
        <w:rPr>
          <w:rFonts w:ascii="Calibri" w:hAnsi="Calibri"/>
          <w:bCs/>
          <w:sz w:val="22"/>
          <w:szCs w:val="22"/>
        </w:rPr>
        <w:t>% earning in the $100,000 to $149,999 range</w:t>
      </w:r>
      <w:r w:rsidR="00975FC3">
        <w:rPr>
          <w:rFonts w:ascii="Calibri" w:hAnsi="Calibri"/>
          <w:bCs/>
          <w:sz w:val="22"/>
          <w:szCs w:val="22"/>
        </w:rPr>
        <w:t>.</w:t>
      </w:r>
      <w:r w:rsidR="009A77B9">
        <w:rPr>
          <w:rFonts w:ascii="Calibri" w:hAnsi="Calibri"/>
          <w:bCs/>
          <w:sz w:val="22"/>
          <w:szCs w:val="22"/>
        </w:rPr>
        <w:t xml:space="preserve">  These income levels also do not reflect a household’s financial assets, especially home equity that can be considerable for long-term Needham residents.</w:t>
      </w:r>
    </w:p>
    <w:p w14:paraId="156AF154" w14:textId="77777777" w:rsidR="00A52FAA" w:rsidRPr="004D5DBC" w:rsidRDefault="00A52FAA" w:rsidP="008772FC">
      <w:pPr>
        <w:pStyle w:val="BodyTextIndent"/>
        <w:spacing w:after="0"/>
        <w:ind w:left="0" w:right="-720"/>
        <w:jc w:val="center"/>
        <w:rPr>
          <w:rFonts w:ascii="Calibri" w:hAnsi="Calibri"/>
          <w:b/>
          <w:sz w:val="22"/>
          <w:szCs w:val="22"/>
        </w:rPr>
      </w:pPr>
    </w:p>
    <w:p w14:paraId="42B8E467" w14:textId="47BA84EF" w:rsidR="008772FC" w:rsidRPr="004D5DBC" w:rsidRDefault="008772FC" w:rsidP="008772FC">
      <w:pPr>
        <w:pStyle w:val="BodyTextIndent"/>
        <w:spacing w:after="0"/>
        <w:ind w:left="0" w:right="-720"/>
        <w:jc w:val="center"/>
        <w:rPr>
          <w:rFonts w:ascii="Calibri" w:hAnsi="Calibri"/>
          <w:b/>
          <w:sz w:val="22"/>
          <w:szCs w:val="22"/>
        </w:rPr>
      </w:pPr>
      <w:r w:rsidRPr="004D5DBC">
        <w:rPr>
          <w:rFonts w:ascii="Calibri" w:hAnsi="Calibri"/>
          <w:b/>
          <w:sz w:val="22"/>
          <w:szCs w:val="22"/>
        </w:rPr>
        <w:t xml:space="preserve">Table </w:t>
      </w:r>
      <w:r w:rsidR="00182CAF">
        <w:rPr>
          <w:rFonts w:ascii="Calibri" w:hAnsi="Calibri"/>
          <w:b/>
          <w:sz w:val="22"/>
          <w:szCs w:val="22"/>
        </w:rPr>
        <w:t>III-15</w:t>
      </w:r>
      <w:r w:rsidRPr="004D5DBC">
        <w:rPr>
          <w:rFonts w:ascii="Calibri" w:hAnsi="Calibri"/>
          <w:b/>
          <w:sz w:val="22"/>
          <w:szCs w:val="22"/>
        </w:rPr>
        <w:t>: Household In</w:t>
      </w:r>
      <w:r w:rsidR="00BA78BF">
        <w:rPr>
          <w:rFonts w:ascii="Calibri" w:hAnsi="Calibri"/>
          <w:b/>
          <w:sz w:val="22"/>
          <w:szCs w:val="22"/>
        </w:rPr>
        <w:t>come by Age of Householder, 20</w:t>
      </w:r>
      <w:r w:rsidR="00E4042A">
        <w:rPr>
          <w:rFonts w:ascii="Calibri" w:hAnsi="Calibri"/>
          <w:b/>
          <w:sz w:val="22"/>
          <w:szCs w:val="22"/>
        </w:rPr>
        <w:t>20</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919"/>
        <w:gridCol w:w="952"/>
        <w:gridCol w:w="950"/>
        <w:gridCol w:w="920"/>
        <w:gridCol w:w="982"/>
        <w:gridCol w:w="888"/>
        <w:gridCol w:w="1014"/>
        <w:gridCol w:w="931"/>
      </w:tblGrid>
      <w:tr w:rsidR="008772FC" w:rsidRPr="004E50E7" w14:paraId="62F4EF42" w14:textId="77777777" w:rsidTr="008F2513">
        <w:trPr>
          <w:cantSplit/>
        </w:trPr>
        <w:tc>
          <w:tcPr>
            <w:tcW w:w="992" w:type="pct"/>
            <w:vMerge w:val="restart"/>
          </w:tcPr>
          <w:p w14:paraId="4A1F28CC" w14:textId="77777777" w:rsidR="008772FC" w:rsidRPr="004E50E7" w:rsidRDefault="008772FC" w:rsidP="008F2513">
            <w:pPr>
              <w:pStyle w:val="BodyTextIndent"/>
              <w:spacing w:after="0"/>
              <w:ind w:left="0" w:right="-720"/>
              <w:rPr>
                <w:rFonts w:ascii="Calibri" w:hAnsi="Calibri"/>
                <w:b/>
                <w:sz w:val="20"/>
              </w:rPr>
            </w:pPr>
          </w:p>
          <w:p w14:paraId="286CEABC"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Income Range</w:t>
            </w:r>
          </w:p>
        </w:tc>
        <w:tc>
          <w:tcPr>
            <w:tcW w:w="992" w:type="pct"/>
            <w:gridSpan w:val="2"/>
          </w:tcPr>
          <w:p w14:paraId="7575F2DA"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Less than 25 Years</w:t>
            </w:r>
          </w:p>
        </w:tc>
        <w:tc>
          <w:tcPr>
            <w:tcW w:w="992" w:type="pct"/>
            <w:gridSpan w:val="2"/>
          </w:tcPr>
          <w:p w14:paraId="48F29D1D"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 xml:space="preserve">25 to 44 Years </w:t>
            </w:r>
          </w:p>
        </w:tc>
        <w:tc>
          <w:tcPr>
            <w:tcW w:w="992" w:type="pct"/>
            <w:gridSpan w:val="2"/>
          </w:tcPr>
          <w:p w14:paraId="1E824E8F"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45 to 64 Years</w:t>
            </w:r>
          </w:p>
        </w:tc>
        <w:tc>
          <w:tcPr>
            <w:tcW w:w="1032" w:type="pct"/>
            <w:gridSpan w:val="2"/>
          </w:tcPr>
          <w:p w14:paraId="080C8271"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65 Years and Over</w:t>
            </w:r>
          </w:p>
        </w:tc>
      </w:tr>
      <w:tr w:rsidR="008772FC" w:rsidRPr="004E50E7" w14:paraId="19B2CEBF" w14:textId="77777777" w:rsidTr="008F2513">
        <w:trPr>
          <w:cantSplit/>
        </w:trPr>
        <w:tc>
          <w:tcPr>
            <w:tcW w:w="992" w:type="pct"/>
            <w:vMerge/>
          </w:tcPr>
          <w:p w14:paraId="698B9862" w14:textId="77777777" w:rsidR="008772FC" w:rsidRPr="004E50E7" w:rsidRDefault="008772FC" w:rsidP="008F2513">
            <w:pPr>
              <w:pStyle w:val="BodyTextIndent"/>
              <w:spacing w:after="0"/>
              <w:ind w:left="0" w:right="-720"/>
              <w:rPr>
                <w:rFonts w:ascii="Calibri" w:hAnsi="Calibri"/>
                <w:b/>
                <w:sz w:val="20"/>
              </w:rPr>
            </w:pPr>
          </w:p>
        </w:tc>
        <w:tc>
          <w:tcPr>
            <w:tcW w:w="487" w:type="pct"/>
          </w:tcPr>
          <w:p w14:paraId="2B61C68A"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505" w:type="pct"/>
          </w:tcPr>
          <w:p w14:paraId="610A54ED"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504" w:type="pct"/>
          </w:tcPr>
          <w:p w14:paraId="6468FC29"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488" w:type="pct"/>
          </w:tcPr>
          <w:p w14:paraId="2A9E9899"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521" w:type="pct"/>
          </w:tcPr>
          <w:p w14:paraId="2150E80C"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471" w:type="pct"/>
          </w:tcPr>
          <w:p w14:paraId="37E2CC42"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538" w:type="pct"/>
          </w:tcPr>
          <w:p w14:paraId="12C2C6C9"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c>
          <w:tcPr>
            <w:tcW w:w="494" w:type="pct"/>
          </w:tcPr>
          <w:p w14:paraId="5550D972" w14:textId="77777777" w:rsidR="008772FC" w:rsidRPr="004E50E7" w:rsidRDefault="008772FC" w:rsidP="008F2513">
            <w:pPr>
              <w:pStyle w:val="BodyTextIndent"/>
              <w:spacing w:after="0"/>
              <w:ind w:left="0" w:right="-720"/>
              <w:rPr>
                <w:rFonts w:ascii="Calibri" w:hAnsi="Calibri"/>
                <w:b/>
                <w:sz w:val="20"/>
              </w:rPr>
            </w:pPr>
            <w:r w:rsidRPr="004E50E7">
              <w:rPr>
                <w:rFonts w:ascii="Calibri" w:hAnsi="Calibri"/>
                <w:b/>
                <w:sz w:val="20"/>
              </w:rPr>
              <w:t>%</w:t>
            </w:r>
          </w:p>
        </w:tc>
      </w:tr>
      <w:tr w:rsidR="008772FC" w:rsidRPr="004E50E7" w14:paraId="279D6A38" w14:textId="77777777" w:rsidTr="008F2513">
        <w:tc>
          <w:tcPr>
            <w:tcW w:w="992" w:type="pct"/>
          </w:tcPr>
          <w:p w14:paraId="7BB2312D" w14:textId="77777777"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Under $10,000</w:t>
            </w:r>
          </w:p>
        </w:tc>
        <w:tc>
          <w:tcPr>
            <w:tcW w:w="487" w:type="pct"/>
          </w:tcPr>
          <w:p w14:paraId="7E158999" w14:textId="7DB6DD39" w:rsidR="008772FC" w:rsidRPr="004E50E7" w:rsidRDefault="00A27D92" w:rsidP="008F2513">
            <w:pPr>
              <w:pStyle w:val="BodyTextIndent"/>
              <w:spacing w:after="0"/>
              <w:ind w:left="0" w:right="-720"/>
              <w:rPr>
                <w:rFonts w:ascii="Calibri" w:hAnsi="Calibri"/>
                <w:bCs/>
                <w:sz w:val="20"/>
              </w:rPr>
            </w:pPr>
            <w:r>
              <w:rPr>
                <w:rFonts w:ascii="Calibri" w:hAnsi="Calibri"/>
                <w:bCs/>
                <w:sz w:val="20"/>
              </w:rPr>
              <w:t>21</w:t>
            </w:r>
          </w:p>
        </w:tc>
        <w:tc>
          <w:tcPr>
            <w:tcW w:w="505" w:type="pct"/>
          </w:tcPr>
          <w:p w14:paraId="1B4CB556" w14:textId="61921F08" w:rsidR="008772FC" w:rsidRPr="004E50E7" w:rsidRDefault="00A8259B" w:rsidP="008F2513">
            <w:pPr>
              <w:pStyle w:val="BodyTextIndent"/>
              <w:spacing w:after="0"/>
              <w:ind w:left="0" w:right="-720"/>
              <w:rPr>
                <w:rFonts w:ascii="Calibri" w:hAnsi="Calibri"/>
                <w:bCs/>
                <w:sz w:val="20"/>
              </w:rPr>
            </w:pPr>
            <w:r>
              <w:rPr>
                <w:rFonts w:ascii="Calibri" w:hAnsi="Calibri"/>
                <w:bCs/>
                <w:sz w:val="20"/>
              </w:rPr>
              <w:t>60.0</w:t>
            </w:r>
          </w:p>
        </w:tc>
        <w:tc>
          <w:tcPr>
            <w:tcW w:w="504" w:type="pct"/>
          </w:tcPr>
          <w:p w14:paraId="68D5565E" w14:textId="6B473D1E" w:rsidR="008772FC" w:rsidRPr="004E50E7" w:rsidRDefault="00A27D92" w:rsidP="008F2513">
            <w:pPr>
              <w:pStyle w:val="BodyTextIndent"/>
              <w:spacing w:after="0"/>
              <w:ind w:left="0" w:right="-720"/>
              <w:rPr>
                <w:rFonts w:ascii="Calibri" w:hAnsi="Calibri"/>
                <w:bCs/>
                <w:sz w:val="20"/>
              </w:rPr>
            </w:pPr>
            <w:r>
              <w:rPr>
                <w:rFonts w:ascii="Calibri" w:hAnsi="Calibri"/>
                <w:bCs/>
                <w:sz w:val="20"/>
              </w:rPr>
              <w:t>13</w:t>
            </w:r>
          </w:p>
        </w:tc>
        <w:tc>
          <w:tcPr>
            <w:tcW w:w="488" w:type="pct"/>
          </w:tcPr>
          <w:p w14:paraId="5B5F41D8" w14:textId="13B611E8" w:rsidR="008772FC" w:rsidRPr="004E50E7" w:rsidRDefault="00E71339" w:rsidP="008F2513">
            <w:pPr>
              <w:pStyle w:val="BodyTextIndent"/>
              <w:spacing w:after="0"/>
              <w:ind w:left="0" w:right="-720"/>
              <w:rPr>
                <w:rFonts w:ascii="Calibri" w:hAnsi="Calibri"/>
                <w:bCs/>
                <w:sz w:val="20"/>
              </w:rPr>
            </w:pPr>
            <w:r>
              <w:rPr>
                <w:rFonts w:ascii="Calibri" w:hAnsi="Calibri"/>
                <w:bCs/>
                <w:sz w:val="20"/>
              </w:rPr>
              <w:t>0.5</w:t>
            </w:r>
          </w:p>
        </w:tc>
        <w:tc>
          <w:tcPr>
            <w:tcW w:w="521" w:type="pct"/>
          </w:tcPr>
          <w:p w14:paraId="706DD24F" w14:textId="5DA38926" w:rsidR="008772FC" w:rsidRPr="004E50E7" w:rsidRDefault="00A27D92" w:rsidP="008F2513">
            <w:pPr>
              <w:pStyle w:val="BodyTextIndent"/>
              <w:spacing w:after="0"/>
              <w:ind w:left="0" w:right="-720"/>
              <w:rPr>
                <w:rFonts w:ascii="Calibri" w:hAnsi="Calibri"/>
                <w:bCs/>
                <w:sz w:val="20"/>
              </w:rPr>
            </w:pPr>
            <w:r>
              <w:rPr>
                <w:rFonts w:ascii="Calibri" w:hAnsi="Calibri"/>
                <w:bCs/>
                <w:sz w:val="20"/>
              </w:rPr>
              <w:t>19</w:t>
            </w:r>
          </w:p>
        </w:tc>
        <w:tc>
          <w:tcPr>
            <w:tcW w:w="471" w:type="pct"/>
          </w:tcPr>
          <w:p w14:paraId="402A0E8B" w14:textId="7E1710E3" w:rsidR="008772FC" w:rsidRPr="004E50E7" w:rsidRDefault="00E71339" w:rsidP="008F2513">
            <w:pPr>
              <w:pStyle w:val="BodyTextIndent"/>
              <w:spacing w:after="0"/>
              <w:ind w:left="0" w:right="-720"/>
              <w:rPr>
                <w:rFonts w:ascii="Calibri" w:hAnsi="Calibri"/>
                <w:bCs/>
                <w:sz w:val="20"/>
              </w:rPr>
            </w:pPr>
            <w:r>
              <w:rPr>
                <w:rFonts w:ascii="Calibri" w:hAnsi="Calibri"/>
                <w:bCs/>
                <w:sz w:val="20"/>
              </w:rPr>
              <w:t>0.4</w:t>
            </w:r>
          </w:p>
        </w:tc>
        <w:tc>
          <w:tcPr>
            <w:tcW w:w="538" w:type="pct"/>
          </w:tcPr>
          <w:p w14:paraId="287CCF6D" w14:textId="5B025983" w:rsidR="008772FC" w:rsidRPr="004E50E7" w:rsidRDefault="00A8259B" w:rsidP="008F2513">
            <w:pPr>
              <w:pStyle w:val="BodyTextIndent"/>
              <w:spacing w:after="0"/>
              <w:ind w:left="0" w:right="-720"/>
              <w:rPr>
                <w:rFonts w:ascii="Calibri" w:hAnsi="Calibri"/>
                <w:bCs/>
                <w:sz w:val="20"/>
              </w:rPr>
            </w:pPr>
            <w:r>
              <w:rPr>
                <w:rFonts w:ascii="Calibri" w:hAnsi="Calibri"/>
                <w:bCs/>
                <w:sz w:val="20"/>
              </w:rPr>
              <w:t>143</w:t>
            </w:r>
          </w:p>
        </w:tc>
        <w:tc>
          <w:tcPr>
            <w:tcW w:w="494" w:type="pct"/>
          </w:tcPr>
          <w:p w14:paraId="572E55C6" w14:textId="3F4A2131" w:rsidR="008772FC" w:rsidRPr="004E50E7" w:rsidRDefault="00E71339" w:rsidP="008F2513">
            <w:pPr>
              <w:pStyle w:val="BodyTextIndent"/>
              <w:spacing w:after="0"/>
              <w:ind w:left="0" w:right="-720"/>
              <w:rPr>
                <w:rFonts w:ascii="Calibri" w:hAnsi="Calibri"/>
                <w:bCs/>
                <w:sz w:val="20"/>
              </w:rPr>
            </w:pPr>
            <w:r>
              <w:rPr>
                <w:rFonts w:ascii="Calibri" w:hAnsi="Calibri"/>
                <w:bCs/>
                <w:sz w:val="20"/>
              </w:rPr>
              <w:t>4.0</w:t>
            </w:r>
          </w:p>
        </w:tc>
      </w:tr>
      <w:tr w:rsidR="008772FC" w:rsidRPr="004E50E7" w14:paraId="1C8BEBAA" w14:textId="77777777" w:rsidTr="008F2513">
        <w:tc>
          <w:tcPr>
            <w:tcW w:w="992" w:type="pct"/>
          </w:tcPr>
          <w:p w14:paraId="5D009F4A"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10,000-24,999</w:t>
            </w:r>
          </w:p>
        </w:tc>
        <w:tc>
          <w:tcPr>
            <w:tcW w:w="487" w:type="pct"/>
          </w:tcPr>
          <w:p w14:paraId="7BEBB584" w14:textId="3ABA6028" w:rsidR="008772FC" w:rsidRPr="004E50E7" w:rsidRDefault="00A27D92" w:rsidP="008F2513">
            <w:pPr>
              <w:pStyle w:val="BodyTextIndent"/>
              <w:spacing w:after="0"/>
              <w:ind w:left="0" w:right="-720"/>
              <w:rPr>
                <w:rFonts w:ascii="Calibri" w:hAnsi="Calibri"/>
                <w:bCs/>
                <w:sz w:val="20"/>
              </w:rPr>
            </w:pPr>
            <w:r>
              <w:rPr>
                <w:rFonts w:ascii="Calibri" w:hAnsi="Calibri"/>
                <w:bCs/>
                <w:sz w:val="20"/>
              </w:rPr>
              <w:t>14</w:t>
            </w:r>
          </w:p>
        </w:tc>
        <w:tc>
          <w:tcPr>
            <w:tcW w:w="505" w:type="pct"/>
          </w:tcPr>
          <w:p w14:paraId="1C9F8EC7" w14:textId="41D5942D" w:rsidR="008772FC" w:rsidRPr="004E50E7" w:rsidRDefault="00A8259B" w:rsidP="008F2513">
            <w:pPr>
              <w:pStyle w:val="BodyTextIndent"/>
              <w:spacing w:after="0"/>
              <w:ind w:left="0" w:right="-720"/>
              <w:rPr>
                <w:rFonts w:ascii="Calibri" w:hAnsi="Calibri"/>
                <w:bCs/>
                <w:sz w:val="20"/>
              </w:rPr>
            </w:pPr>
            <w:r>
              <w:rPr>
                <w:rFonts w:ascii="Calibri" w:hAnsi="Calibri"/>
                <w:bCs/>
                <w:sz w:val="20"/>
              </w:rPr>
              <w:t>40.0</w:t>
            </w:r>
          </w:p>
        </w:tc>
        <w:tc>
          <w:tcPr>
            <w:tcW w:w="504" w:type="pct"/>
          </w:tcPr>
          <w:p w14:paraId="30352BA8" w14:textId="5DA87180" w:rsidR="008772FC" w:rsidRPr="004E50E7" w:rsidRDefault="00A27D92" w:rsidP="008F2513">
            <w:pPr>
              <w:pStyle w:val="BodyTextIndent"/>
              <w:spacing w:after="0"/>
              <w:ind w:left="0" w:right="-720"/>
              <w:rPr>
                <w:rFonts w:ascii="Calibri" w:hAnsi="Calibri"/>
                <w:bCs/>
                <w:sz w:val="20"/>
              </w:rPr>
            </w:pPr>
            <w:r>
              <w:rPr>
                <w:rFonts w:ascii="Calibri" w:hAnsi="Calibri"/>
                <w:bCs/>
                <w:sz w:val="20"/>
              </w:rPr>
              <w:t>38</w:t>
            </w:r>
          </w:p>
        </w:tc>
        <w:tc>
          <w:tcPr>
            <w:tcW w:w="488" w:type="pct"/>
          </w:tcPr>
          <w:p w14:paraId="02D88AD3" w14:textId="427604DD" w:rsidR="008772FC" w:rsidRPr="004E50E7" w:rsidRDefault="00E71339" w:rsidP="008F2513">
            <w:pPr>
              <w:pStyle w:val="BodyTextIndent"/>
              <w:spacing w:after="0"/>
              <w:ind w:left="0" w:right="-720"/>
              <w:rPr>
                <w:rFonts w:ascii="Calibri" w:hAnsi="Calibri"/>
                <w:bCs/>
                <w:sz w:val="20"/>
              </w:rPr>
            </w:pPr>
            <w:r>
              <w:rPr>
                <w:rFonts w:ascii="Calibri" w:hAnsi="Calibri"/>
                <w:bCs/>
                <w:sz w:val="20"/>
              </w:rPr>
              <w:t>1.5</w:t>
            </w:r>
          </w:p>
        </w:tc>
        <w:tc>
          <w:tcPr>
            <w:tcW w:w="521" w:type="pct"/>
          </w:tcPr>
          <w:p w14:paraId="48527C5F" w14:textId="299F80A9" w:rsidR="008772FC" w:rsidRPr="004E50E7" w:rsidRDefault="00A27D92" w:rsidP="008F2513">
            <w:pPr>
              <w:pStyle w:val="BodyTextIndent"/>
              <w:spacing w:after="0"/>
              <w:ind w:left="0" w:right="-720"/>
              <w:rPr>
                <w:rFonts w:ascii="Calibri" w:hAnsi="Calibri"/>
                <w:bCs/>
                <w:sz w:val="20"/>
              </w:rPr>
            </w:pPr>
            <w:r>
              <w:rPr>
                <w:rFonts w:ascii="Calibri" w:hAnsi="Calibri"/>
                <w:bCs/>
                <w:sz w:val="20"/>
              </w:rPr>
              <w:t>94</w:t>
            </w:r>
          </w:p>
        </w:tc>
        <w:tc>
          <w:tcPr>
            <w:tcW w:w="471" w:type="pct"/>
          </w:tcPr>
          <w:p w14:paraId="1F7A1970" w14:textId="751C0618" w:rsidR="008772FC" w:rsidRPr="004E50E7" w:rsidRDefault="00E71339" w:rsidP="008F2513">
            <w:pPr>
              <w:pStyle w:val="BodyTextIndent"/>
              <w:spacing w:after="0"/>
              <w:ind w:left="0" w:right="-720"/>
              <w:rPr>
                <w:rFonts w:ascii="Calibri" w:hAnsi="Calibri"/>
                <w:bCs/>
                <w:sz w:val="20"/>
              </w:rPr>
            </w:pPr>
            <w:r>
              <w:rPr>
                <w:rFonts w:ascii="Calibri" w:hAnsi="Calibri"/>
                <w:bCs/>
                <w:sz w:val="20"/>
              </w:rPr>
              <w:t>2.0</w:t>
            </w:r>
          </w:p>
        </w:tc>
        <w:tc>
          <w:tcPr>
            <w:tcW w:w="538" w:type="pct"/>
          </w:tcPr>
          <w:p w14:paraId="2A2EAEC3" w14:textId="61AFE112" w:rsidR="008772FC" w:rsidRPr="004E50E7" w:rsidRDefault="00A8259B" w:rsidP="008F2513">
            <w:pPr>
              <w:pStyle w:val="BodyTextIndent"/>
              <w:spacing w:after="0"/>
              <w:ind w:left="0" w:right="-720"/>
              <w:rPr>
                <w:rFonts w:ascii="Calibri" w:hAnsi="Calibri"/>
                <w:bCs/>
                <w:sz w:val="20"/>
              </w:rPr>
            </w:pPr>
            <w:r>
              <w:rPr>
                <w:rFonts w:ascii="Calibri" w:hAnsi="Calibri"/>
                <w:bCs/>
                <w:sz w:val="20"/>
              </w:rPr>
              <w:t>283</w:t>
            </w:r>
          </w:p>
        </w:tc>
        <w:tc>
          <w:tcPr>
            <w:tcW w:w="494" w:type="pct"/>
          </w:tcPr>
          <w:p w14:paraId="5BF336D8" w14:textId="7D880123" w:rsidR="008772FC" w:rsidRPr="004E50E7" w:rsidRDefault="00A8259B" w:rsidP="008F2513">
            <w:pPr>
              <w:pStyle w:val="BodyTextIndent"/>
              <w:spacing w:after="0"/>
              <w:ind w:left="0" w:right="-720"/>
              <w:rPr>
                <w:rFonts w:ascii="Calibri" w:hAnsi="Calibri"/>
                <w:bCs/>
                <w:sz w:val="20"/>
              </w:rPr>
            </w:pPr>
            <w:r>
              <w:rPr>
                <w:rFonts w:ascii="Calibri" w:hAnsi="Calibri"/>
                <w:bCs/>
                <w:sz w:val="20"/>
              </w:rPr>
              <w:t>7.9</w:t>
            </w:r>
          </w:p>
        </w:tc>
      </w:tr>
      <w:tr w:rsidR="008772FC" w:rsidRPr="004E50E7" w14:paraId="311E1C5C" w14:textId="77777777" w:rsidTr="008F2513">
        <w:tc>
          <w:tcPr>
            <w:tcW w:w="992" w:type="pct"/>
          </w:tcPr>
          <w:p w14:paraId="3EDCA183"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25,000-34,999</w:t>
            </w:r>
          </w:p>
        </w:tc>
        <w:tc>
          <w:tcPr>
            <w:tcW w:w="487" w:type="pct"/>
          </w:tcPr>
          <w:p w14:paraId="312D06BE" w14:textId="1C2FDD87"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27686CEF" w14:textId="75780F7D"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6C27D25B" w14:textId="6D777B4C" w:rsidR="008772FC" w:rsidRPr="004E50E7" w:rsidRDefault="00A27D92" w:rsidP="008F2513">
            <w:pPr>
              <w:pStyle w:val="BodyTextIndent"/>
              <w:spacing w:after="0"/>
              <w:ind w:left="0" w:right="-720"/>
              <w:rPr>
                <w:rFonts w:ascii="Calibri" w:hAnsi="Calibri"/>
                <w:bCs/>
                <w:sz w:val="20"/>
              </w:rPr>
            </w:pPr>
            <w:r>
              <w:rPr>
                <w:rFonts w:ascii="Calibri" w:hAnsi="Calibri"/>
                <w:bCs/>
                <w:sz w:val="20"/>
              </w:rPr>
              <w:t>61</w:t>
            </w:r>
          </w:p>
        </w:tc>
        <w:tc>
          <w:tcPr>
            <w:tcW w:w="488" w:type="pct"/>
          </w:tcPr>
          <w:p w14:paraId="4EBDDC7A" w14:textId="0922053B" w:rsidR="008772FC" w:rsidRPr="004E50E7" w:rsidRDefault="00E71339" w:rsidP="008F2513">
            <w:pPr>
              <w:pStyle w:val="BodyTextIndent"/>
              <w:spacing w:after="0"/>
              <w:ind w:left="0" w:right="-720"/>
              <w:rPr>
                <w:rFonts w:ascii="Calibri" w:hAnsi="Calibri"/>
                <w:bCs/>
                <w:sz w:val="20"/>
              </w:rPr>
            </w:pPr>
            <w:r>
              <w:rPr>
                <w:rFonts w:ascii="Calibri" w:hAnsi="Calibri"/>
                <w:bCs/>
                <w:sz w:val="20"/>
              </w:rPr>
              <w:t>2.5</w:t>
            </w:r>
          </w:p>
        </w:tc>
        <w:tc>
          <w:tcPr>
            <w:tcW w:w="521" w:type="pct"/>
          </w:tcPr>
          <w:p w14:paraId="64C0120E" w14:textId="5448B903" w:rsidR="008772FC" w:rsidRPr="004E50E7" w:rsidRDefault="00A27D92" w:rsidP="008F2513">
            <w:pPr>
              <w:pStyle w:val="BodyTextIndent"/>
              <w:spacing w:after="0"/>
              <w:ind w:left="0" w:right="-720"/>
              <w:rPr>
                <w:rFonts w:ascii="Calibri" w:hAnsi="Calibri"/>
                <w:bCs/>
                <w:sz w:val="20"/>
              </w:rPr>
            </w:pPr>
            <w:r>
              <w:rPr>
                <w:rFonts w:ascii="Calibri" w:hAnsi="Calibri"/>
                <w:bCs/>
                <w:sz w:val="20"/>
              </w:rPr>
              <w:t>133</w:t>
            </w:r>
          </w:p>
        </w:tc>
        <w:tc>
          <w:tcPr>
            <w:tcW w:w="471" w:type="pct"/>
          </w:tcPr>
          <w:p w14:paraId="378185D8" w14:textId="0A443E88" w:rsidR="008772FC" w:rsidRPr="004E50E7" w:rsidRDefault="00E71339" w:rsidP="008F2513">
            <w:pPr>
              <w:pStyle w:val="BodyTextIndent"/>
              <w:spacing w:after="0"/>
              <w:ind w:left="0" w:right="-720"/>
              <w:rPr>
                <w:rFonts w:ascii="Calibri" w:hAnsi="Calibri"/>
                <w:bCs/>
                <w:sz w:val="20"/>
              </w:rPr>
            </w:pPr>
            <w:r>
              <w:rPr>
                <w:rFonts w:ascii="Calibri" w:hAnsi="Calibri"/>
                <w:bCs/>
                <w:sz w:val="20"/>
              </w:rPr>
              <w:t>2.9</w:t>
            </w:r>
          </w:p>
        </w:tc>
        <w:tc>
          <w:tcPr>
            <w:tcW w:w="538" w:type="pct"/>
          </w:tcPr>
          <w:p w14:paraId="7EF87260" w14:textId="629DE48B" w:rsidR="008772FC" w:rsidRPr="004E50E7" w:rsidRDefault="00A8259B" w:rsidP="008F2513">
            <w:pPr>
              <w:pStyle w:val="BodyTextIndent"/>
              <w:spacing w:after="0"/>
              <w:ind w:left="0" w:right="-720"/>
              <w:rPr>
                <w:rFonts w:ascii="Calibri" w:hAnsi="Calibri"/>
                <w:bCs/>
                <w:sz w:val="20"/>
              </w:rPr>
            </w:pPr>
            <w:r>
              <w:rPr>
                <w:rFonts w:ascii="Calibri" w:hAnsi="Calibri"/>
                <w:bCs/>
                <w:sz w:val="20"/>
              </w:rPr>
              <w:t>338</w:t>
            </w:r>
          </w:p>
        </w:tc>
        <w:tc>
          <w:tcPr>
            <w:tcW w:w="494" w:type="pct"/>
          </w:tcPr>
          <w:p w14:paraId="1C48D4F3" w14:textId="3735B67E" w:rsidR="008772FC" w:rsidRPr="004E50E7" w:rsidRDefault="00A8259B" w:rsidP="008F2513">
            <w:pPr>
              <w:pStyle w:val="BodyTextIndent"/>
              <w:spacing w:after="0"/>
              <w:ind w:left="0" w:right="-720"/>
              <w:rPr>
                <w:rFonts w:ascii="Calibri" w:hAnsi="Calibri"/>
                <w:bCs/>
                <w:sz w:val="20"/>
              </w:rPr>
            </w:pPr>
            <w:r>
              <w:rPr>
                <w:rFonts w:ascii="Calibri" w:hAnsi="Calibri"/>
                <w:bCs/>
                <w:sz w:val="20"/>
              </w:rPr>
              <w:t>9.4</w:t>
            </w:r>
          </w:p>
        </w:tc>
      </w:tr>
      <w:tr w:rsidR="008772FC" w:rsidRPr="004E50E7" w14:paraId="68D89AE2" w14:textId="77777777" w:rsidTr="008F2513">
        <w:tc>
          <w:tcPr>
            <w:tcW w:w="992" w:type="pct"/>
          </w:tcPr>
          <w:p w14:paraId="6B32C418"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35,000-49,999</w:t>
            </w:r>
          </w:p>
        </w:tc>
        <w:tc>
          <w:tcPr>
            <w:tcW w:w="487" w:type="pct"/>
          </w:tcPr>
          <w:p w14:paraId="1599C249" w14:textId="735247C6"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46BF1DD8" w14:textId="51EAF6C6"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2CE8D192" w14:textId="575942D1" w:rsidR="008772FC" w:rsidRPr="004E50E7" w:rsidRDefault="00A27D92" w:rsidP="008F2513">
            <w:pPr>
              <w:pStyle w:val="BodyTextIndent"/>
              <w:spacing w:after="0"/>
              <w:ind w:left="0" w:right="-720"/>
              <w:rPr>
                <w:rFonts w:ascii="Calibri" w:hAnsi="Calibri"/>
                <w:bCs/>
                <w:sz w:val="20"/>
              </w:rPr>
            </w:pPr>
            <w:r>
              <w:rPr>
                <w:rFonts w:ascii="Calibri" w:hAnsi="Calibri"/>
                <w:bCs/>
                <w:sz w:val="20"/>
              </w:rPr>
              <w:t>226</w:t>
            </w:r>
          </w:p>
        </w:tc>
        <w:tc>
          <w:tcPr>
            <w:tcW w:w="488" w:type="pct"/>
          </w:tcPr>
          <w:p w14:paraId="7ABC894E" w14:textId="1A04041F" w:rsidR="008772FC" w:rsidRPr="004E50E7" w:rsidRDefault="00E71339" w:rsidP="008F2513">
            <w:pPr>
              <w:pStyle w:val="BodyTextIndent"/>
              <w:spacing w:after="0"/>
              <w:ind w:left="0" w:right="-720"/>
              <w:rPr>
                <w:rFonts w:ascii="Calibri" w:hAnsi="Calibri"/>
                <w:bCs/>
                <w:sz w:val="20"/>
              </w:rPr>
            </w:pPr>
            <w:r>
              <w:rPr>
                <w:rFonts w:ascii="Calibri" w:hAnsi="Calibri"/>
                <w:bCs/>
                <w:sz w:val="20"/>
              </w:rPr>
              <w:t>9.0</w:t>
            </w:r>
          </w:p>
        </w:tc>
        <w:tc>
          <w:tcPr>
            <w:tcW w:w="521" w:type="pct"/>
          </w:tcPr>
          <w:p w14:paraId="2DEC692D" w14:textId="5059B256" w:rsidR="008772FC" w:rsidRPr="004E50E7" w:rsidRDefault="00A27D92" w:rsidP="008F2513">
            <w:pPr>
              <w:pStyle w:val="BodyTextIndent"/>
              <w:spacing w:after="0"/>
              <w:ind w:left="0" w:right="-720"/>
              <w:rPr>
                <w:rFonts w:ascii="Calibri" w:hAnsi="Calibri"/>
                <w:bCs/>
                <w:sz w:val="20"/>
              </w:rPr>
            </w:pPr>
            <w:r>
              <w:rPr>
                <w:rFonts w:ascii="Calibri" w:hAnsi="Calibri"/>
                <w:bCs/>
                <w:sz w:val="20"/>
              </w:rPr>
              <w:t>77</w:t>
            </w:r>
          </w:p>
        </w:tc>
        <w:tc>
          <w:tcPr>
            <w:tcW w:w="471" w:type="pct"/>
          </w:tcPr>
          <w:p w14:paraId="618BB64B" w14:textId="668F86B3" w:rsidR="008772FC" w:rsidRPr="004E50E7" w:rsidRDefault="00A27D92" w:rsidP="008F2513">
            <w:pPr>
              <w:pStyle w:val="BodyTextIndent"/>
              <w:spacing w:after="0"/>
              <w:ind w:left="0" w:right="-720"/>
              <w:rPr>
                <w:rFonts w:ascii="Calibri" w:hAnsi="Calibri"/>
                <w:bCs/>
                <w:sz w:val="20"/>
              </w:rPr>
            </w:pPr>
            <w:r>
              <w:rPr>
                <w:rFonts w:ascii="Calibri" w:hAnsi="Calibri"/>
                <w:bCs/>
                <w:sz w:val="20"/>
              </w:rPr>
              <w:t>1.7</w:t>
            </w:r>
          </w:p>
        </w:tc>
        <w:tc>
          <w:tcPr>
            <w:tcW w:w="538" w:type="pct"/>
          </w:tcPr>
          <w:p w14:paraId="47DD3802" w14:textId="3042E392" w:rsidR="008772FC" w:rsidRPr="004E50E7" w:rsidRDefault="00A8259B" w:rsidP="008F2513">
            <w:pPr>
              <w:pStyle w:val="BodyTextIndent"/>
              <w:spacing w:after="0"/>
              <w:ind w:left="0" w:right="-720"/>
              <w:rPr>
                <w:rFonts w:ascii="Calibri" w:hAnsi="Calibri"/>
                <w:bCs/>
                <w:sz w:val="20"/>
              </w:rPr>
            </w:pPr>
            <w:r>
              <w:rPr>
                <w:rFonts w:ascii="Calibri" w:hAnsi="Calibri"/>
                <w:bCs/>
                <w:sz w:val="20"/>
              </w:rPr>
              <w:t>173</w:t>
            </w:r>
          </w:p>
        </w:tc>
        <w:tc>
          <w:tcPr>
            <w:tcW w:w="494" w:type="pct"/>
          </w:tcPr>
          <w:p w14:paraId="0CBA79A0" w14:textId="4548C598" w:rsidR="008772FC" w:rsidRPr="004E50E7" w:rsidRDefault="00A8259B" w:rsidP="008F2513">
            <w:pPr>
              <w:pStyle w:val="BodyTextIndent"/>
              <w:spacing w:after="0"/>
              <w:ind w:left="0" w:right="-720"/>
              <w:rPr>
                <w:rFonts w:ascii="Calibri" w:hAnsi="Calibri"/>
                <w:bCs/>
                <w:sz w:val="20"/>
              </w:rPr>
            </w:pPr>
            <w:r>
              <w:rPr>
                <w:rFonts w:ascii="Calibri" w:hAnsi="Calibri"/>
                <w:bCs/>
                <w:sz w:val="20"/>
              </w:rPr>
              <w:t>4.8</w:t>
            </w:r>
          </w:p>
        </w:tc>
      </w:tr>
      <w:tr w:rsidR="008772FC" w:rsidRPr="004E50E7" w14:paraId="1A0E56CE" w14:textId="77777777" w:rsidTr="008F2513">
        <w:tc>
          <w:tcPr>
            <w:tcW w:w="992" w:type="pct"/>
          </w:tcPr>
          <w:p w14:paraId="58BAACF0"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50,000-74,999</w:t>
            </w:r>
          </w:p>
        </w:tc>
        <w:tc>
          <w:tcPr>
            <w:tcW w:w="487" w:type="pct"/>
          </w:tcPr>
          <w:p w14:paraId="0C894F0E" w14:textId="36987EED"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0AAA73BA" w14:textId="54E294B5"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48265D6B" w14:textId="454EF4DF" w:rsidR="008772FC" w:rsidRPr="004E50E7" w:rsidRDefault="00A27D92" w:rsidP="008F2513">
            <w:pPr>
              <w:pStyle w:val="BodyTextIndent"/>
              <w:spacing w:after="0"/>
              <w:ind w:left="0" w:right="-720"/>
              <w:rPr>
                <w:rFonts w:ascii="Calibri" w:hAnsi="Calibri"/>
                <w:bCs/>
                <w:sz w:val="20"/>
              </w:rPr>
            </w:pPr>
            <w:r>
              <w:rPr>
                <w:rFonts w:ascii="Calibri" w:hAnsi="Calibri"/>
                <w:bCs/>
                <w:sz w:val="20"/>
              </w:rPr>
              <w:t>32</w:t>
            </w:r>
          </w:p>
        </w:tc>
        <w:tc>
          <w:tcPr>
            <w:tcW w:w="488" w:type="pct"/>
          </w:tcPr>
          <w:p w14:paraId="02DAAA37" w14:textId="26A67808" w:rsidR="008772FC" w:rsidRPr="004E50E7" w:rsidRDefault="00E71339" w:rsidP="008F2513">
            <w:pPr>
              <w:pStyle w:val="BodyTextIndent"/>
              <w:spacing w:after="0"/>
              <w:ind w:left="0" w:right="-720"/>
              <w:rPr>
                <w:rFonts w:ascii="Calibri" w:hAnsi="Calibri"/>
                <w:bCs/>
                <w:sz w:val="20"/>
              </w:rPr>
            </w:pPr>
            <w:r>
              <w:rPr>
                <w:rFonts w:ascii="Calibri" w:hAnsi="Calibri"/>
                <w:bCs/>
                <w:sz w:val="20"/>
              </w:rPr>
              <w:t>1.3</w:t>
            </w:r>
          </w:p>
        </w:tc>
        <w:tc>
          <w:tcPr>
            <w:tcW w:w="521" w:type="pct"/>
          </w:tcPr>
          <w:p w14:paraId="19C0B961" w14:textId="54DF3B43" w:rsidR="008772FC" w:rsidRPr="004E50E7" w:rsidRDefault="00A8259B" w:rsidP="008F2513">
            <w:pPr>
              <w:pStyle w:val="BodyTextIndent"/>
              <w:spacing w:after="0"/>
              <w:ind w:left="0" w:right="-720"/>
              <w:rPr>
                <w:rFonts w:ascii="Calibri" w:hAnsi="Calibri"/>
                <w:bCs/>
                <w:sz w:val="20"/>
              </w:rPr>
            </w:pPr>
            <w:r>
              <w:rPr>
                <w:rFonts w:ascii="Calibri" w:hAnsi="Calibri"/>
                <w:bCs/>
                <w:sz w:val="20"/>
              </w:rPr>
              <w:t>253</w:t>
            </w:r>
          </w:p>
        </w:tc>
        <w:tc>
          <w:tcPr>
            <w:tcW w:w="471" w:type="pct"/>
          </w:tcPr>
          <w:p w14:paraId="119476F7" w14:textId="1174CD42" w:rsidR="008772FC" w:rsidRPr="004E50E7" w:rsidRDefault="00A8259B" w:rsidP="008F2513">
            <w:pPr>
              <w:pStyle w:val="BodyTextIndent"/>
              <w:spacing w:after="0"/>
              <w:ind w:left="0" w:right="-720"/>
              <w:rPr>
                <w:rFonts w:ascii="Calibri" w:hAnsi="Calibri"/>
                <w:bCs/>
                <w:sz w:val="20"/>
              </w:rPr>
            </w:pPr>
            <w:r>
              <w:rPr>
                <w:rFonts w:ascii="Calibri" w:hAnsi="Calibri"/>
                <w:bCs/>
                <w:sz w:val="20"/>
              </w:rPr>
              <w:t>5.5</w:t>
            </w:r>
          </w:p>
        </w:tc>
        <w:tc>
          <w:tcPr>
            <w:tcW w:w="538" w:type="pct"/>
          </w:tcPr>
          <w:p w14:paraId="07A4991B" w14:textId="1CE652EA" w:rsidR="008772FC" w:rsidRPr="004E50E7" w:rsidRDefault="00A8259B" w:rsidP="008F2513">
            <w:pPr>
              <w:pStyle w:val="BodyTextIndent"/>
              <w:spacing w:after="0"/>
              <w:ind w:left="0" w:right="-720"/>
              <w:rPr>
                <w:rFonts w:ascii="Calibri" w:hAnsi="Calibri"/>
                <w:bCs/>
                <w:sz w:val="20"/>
              </w:rPr>
            </w:pPr>
            <w:r>
              <w:rPr>
                <w:rFonts w:ascii="Calibri" w:hAnsi="Calibri"/>
                <w:bCs/>
                <w:sz w:val="20"/>
              </w:rPr>
              <w:t>530</w:t>
            </w:r>
          </w:p>
        </w:tc>
        <w:tc>
          <w:tcPr>
            <w:tcW w:w="494" w:type="pct"/>
          </w:tcPr>
          <w:p w14:paraId="50925D33" w14:textId="045ECBE1" w:rsidR="008772FC" w:rsidRPr="004E50E7" w:rsidRDefault="00A8259B" w:rsidP="008F2513">
            <w:pPr>
              <w:pStyle w:val="BodyTextIndent"/>
              <w:spacing w:after="0"/>
              <w:ind w:left="0" w:right="-720"/>
              <w:rPr>
                <w:rFonts w:ascii="Calibri" w:hAnsi="Calibri"/>
                <w:bCs/>
                <w:sz w:val="20"/>
              </w:rPr>
            </w:pPr>
            <w:r>
              <w:rPr>
                <w:rFonts w:ascii="Calibri" w:hAnsi="Calibri"/>
                <w:bCs/>
                <w:sz w:val="20"/>
              </w:rPr>
              <w:t>14.8</w:t>
            </w:r>
          </w:p>
        </w:tc>
      </w:tr>
      <w:tr w:rsidR="008772FC" w:rsidRPr="004E50E7" w14:paraId="375E69A8" w14:textId="77777777" w:rsidTr="008F2513">
        <w:tc>
          <w:tcPr>
            <w:tcW w:w="992" w:type="pct"/>
          </w:tcPr>
          <w:p w14:paraId="3324D82E"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75,000-99,999</w:t>
            </w:r>
          </w:p>
        </w:tc>
        <w:tc>
          <w:tcPr>
            <w:tcW w:w="487" w:type="pct"/>
          </w:tcPr>
          <w:p w14:paraId="27863128" w14:textId="134A17A7"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62189A34" w14:textId="3F1149F4"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64E0B274" w14:textId="183EC421" w:rsidR="008772FC" w:rsidRPr="004E50E7" w:rsidRDefault="00A27D92" w:rsidP="008F2513">
            <w:pPr>
              <w:pStyle w:val="BodyTextIndent"/>
              <w:spacing w:after="0"/>
              <w:ind w:left="0" w:right="-720"/>
              <w:rPr>
                <w:rFonts w:ascii="Calibri" w:hAnsi="Calibri"/>
                <w:bCs/>
                <w:sz w:val="20"/>
              </w:rPr>
            </w:pPr>
            <w:r>
              <w:rPr>
                <w:rFonts w:ascii="Calibri" w:hAnsi="Calibri"/>
                <w:bCs/>
                <w:sz w:val="20"/>
              </w:rPr>
              <w:t>102</w:t>
            </w:r>
          </w:p>
        </w:tc>
        <w:tc>
          <w:tcPr>
            <w:tcW w:w="488" w:type="pct"/>
          </w:tcPr>
          <w:p w14:paraId="1B2AE5C2" w14:textId="4453BD9F" w:rsidR="008772FC" w:rsidRPr="004E50E7" w:rsidRDefault="00E71339" w:rsidP="008F2513">
            <w:pPr>
              <w:pStyle w:val="BodyTextIndent"/>
              <w:spacing w:after="0"/>
              <w:ind w:left="0" w:right="-720"/>
              <w:rPr>
                <w:rFonts w:ascii="Calibri" w:hAnsi="Calibri"/>
                <w:bCs/>
                <w:sz w:val="20"/>
              </w:rPr>
            </w:pPr>
            <w:r>
              <w:rPr>
                <w:rFonts w:ascii="Calibri" w:hAnsi="Calibri"/>
                <w:bCs/>
                <w:sz w:val="20"/>
              </w:rPr>
              <w:t>4.0</w:t>
            </w:r>
          </w:p>
        </w:tc>
        <w:tc>
          <w:tcPr>
            <w:tcW w:w="521" w:type="pct"/>
          </w:tcPr>
          <w:p w14:paraId="57BD003E" w14:textId="5D578F27" w:rsidR="008772FC" w:rsidRPr="004E50E7" w:rsidRDefault="00A8259B" w:rsidP="008F2513">
            <w:pPr>
              <w:pStyle w:val="BodyTextIndent"/>
              <w:spacing w:after="0"/>
              <w:ind w:left="0" w:right="-720"/>
              <w:rPr>
                <w:rFonts w:ascii="Calibri" w:hAnsi="Calibri"/>
                <w:bCs/>
                <w:sz w:val="20"/>
              </w:rPr>
            </w:pPr>
            <w:r>
              <w:rPr>
                <w:rFonts w:ascii="Calibri" w:hAnsi="Calibri"/>
                <w:bCs/>
                <w:sz w:val="20"/>
              </w:rPr>
              <w:t>196</w:t>
            </w:r>
          </w:p>
        </w:tc>
        <w:tc>
          <w:tcPr>
            <w:tcW w:w="471" w:type="pct"/>
          </w:tcPr>
          <w:p w14:paraId="08BF3048" w14:textId="4737D119" w:rsidR="008772FC" w:rsidRPr="004E50E7" w:rsidRDefault="00E71339" w:rsidP="008F2513">
            <w:pPr>
              <w:pStyle w:val="BodyTextIndent"/>
              <w:spacing w:after="0"/>
              <w:ind w:left="0" w:right="-720"/>
              <w:rPr>
                <w:rFonts w:ascii="Calibri" w:hAnsi="Calibri"/>
                <w:bCs/>
                <w:sz w:val="20"/>
              </w:rPr>
            </w:pPr>
            <w:r>
              <w:rPr>
                <w:rFonts w:ascii="Calibri" w:hAnsi="Calibri"/>
                <w:bCs/>
                <w:sz w:val="20"/>
              </w:rPr>
              <w:t>4.2</w:t>
            </w:r>
          </w:p>
        </w:tc>
        <w:tc>
          <w:tcPr>
            <w:tcW w:w="538" w:type="pct"/>
          </w:tcPr>
          <w:p w14:paraId="29ABE0E5" w14:textId="2FBEB93D" w:rsidR="008772FC" w:rsidRPr="004E50E7" w:rsidRDefault="00A8259B" w:rsidP="008F2513">
            <w:pPr>
              <w:pStyle w:val="BodyTextIndent"/>
              <w:spacing w:after="0"/>
              <w:ind w:left="0" w:right="-720"/>
              <w:rPr>
                <w:rFonts w:ascii="Calibri" w:hAnsi="Calibri"/>
                <w:bCs/>
                <w:sz w:val="20"/>
              </w:rPr>
            </w:pPr>
            <w:r>
              <w:rPr>
                <w:rFonts w:ascii="Calibri" w:hAnsi="Calibri"/>
                <w:bCs/>
                <w:sz w:val="20"/>
              </w:rPr>
              <w:t>535</w:t>
            </w:r>
          </w:p>
        </w:tc>
        <w:tc>
          <w:tcPr>
            <w:tcW w:w="494" w:type="pct"/>
          </w:tcPr>
          <w:p w14:paraId="41DF8782" w14:textId="7FE4480B" w:rsidR="008772FC" w:rsidRPr="004E50E7" w:rsidRDefault="00E71339" w:rsidP="008F2513">
            <w:pPr>
              <w:pStyle w:val="BodyTextIndent"/>
              <w:spacing w:after="0"/>
              <w:ind w:left="0" w:right="-720"/>
              <w:rPr>
                <w:rFonts w:ascii="Calibri" w:hAnsi="Calibri"/>
                <w:bCs/>
                <w:sz w:val="20"/>
              </w:rPr>
            </w:pPr>
            <w:r>
              <w:rPr>
                <w:rFonts w:ascii="Calibri" w:hAnsi="Calibri"/>
                <w:bCs/>
                <w:sz w:val="20"/>
              </w:rPr>
              <w:t>14.9</w:t>
            </w:r>
          </w:p>
        </w:tc>
      </w:tr>
      <w:tr w:rsidR="008772FC" w:rsidRPr="004E50E7" w14:paraId="724D5598" w14:textId="77777777" w:rsidTr="008F2513">
        <w:tc>
          <w:tcPr>
            <w:tcW w:w="992" w:type="pct"/>
          </w:tcPr>
          <w:p w14:paraId="3C082D4B"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100,000-149,999</w:t>
            </w:r>
          </w:p>
        </w:tc>
        <w:tc>
          <w:tcPr>
            <w:tcW w:w="487" w:type="pct"/>
          </w:tcPr>
          <w:p w14:paraId="20BE793B" w14:textId="1C7A1512"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463D7DE3" w14:textId="4E5D9210"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401342CF" w14:textId="556B51FA" w:rsidR="008772FC" w:rsidRPr="004E50E7" w:rsidRDefault="00A27D92" w:rsidP="008F2513">
            <w:pPr>
              <w:pStyle w:val="BodyTextIndent"/>
              <w:spacing w:after="0"/>
              <w:ind w:left="0" w:right="-720"/>
              <w:rPr>
                <w:rFonts w:ascii="Calibri" w:hAnsi="Calibri"/>
                <w:bCs/>
                <w:sz w:val="20"/>
              </w:rPr>
            </w:pPr>
            <w:r>
              <w:rPr>
                <w:rFonts w:ascii="Calibri" w:hAnsi="Calibri"/>
                <w:bCs/>
                <w:sz w:val="20"/>
              </w:rPr>
              <w:t>272</w:t>
            </w:r>
          </w:p>
        </w:tc>
        <w:tc>
          <w:tcPr>
            <w:tcW w:w="488" w:type="pct"/>
          </w:tcPr>
          <w:p w14:paraId="3DF6D4C5" w14:textId="0EA1CF36" w:rsidR="008772FC" w:rsidRPr="004E50E7" w:rsidRDefault="00E71339" w:rsidP="008F2513">
            <w:pPr>
              <w:pStyle w:val="BodyTextIndent"/>
              <w:spacing w:after="0"/>
              <w:ind w:left="0" w:right="-720"/>
              <w:rPr>
                <w:rFonts w:ascii="Calibri" w:hAnsi="Calibri"/>
                <w:bCs/>
                <w:sz w:val="20"/>
              </w:rPr>
            </w:pPr>
            <w:r>
              <w:rPr>
                <w:rFonts w:ascii="Calibri" w:hAnsi="Calibri"/>
                <w:bCs/>
                <w:sz w:val="20"/>
              </w:rPr>
              <w:t>10.8</w:t>
            </w:r>
          </w:p>
        </w:tc>
        <w:tc>
          <w:tcPr>
            <w:tcW w:w="521" w:type="pct"/>
          </w:tcPr>
          <w:p w14:paraId="414D4DAD" w14:textId="6CEA806D" w:rsidR="008772FC" w:rsidRPr="004E50E7" w:rsidRDefault="00A8259B" w:rsidP="008F2513">
            <w:pPr>
              <w:pStyle w:val="BodyTextIndent"/>
              <w:spacing w:after="0"/>
              <w:ind w:left="0" w:right="-720"/>
              <w:rPr>
                <w:rFonts w:ascii="Calibri" w:hAnsi="Calibri"/>
                <w:bCs/>
                <w:sz w:val="20"/>
              </w:rPr>
            </w:pPr>
            <w:r>
              <w:rPr>
                <w:rFonts w:ascii="Calibri" w:hAnsi="Calibri"/>
                <w:bCs/>
                <w:sz w:val="20"/>
              </w:rPr>
              <w:t>610</w:t>
            </w:r>
          </w:p>
        </w:tc>
        <w:tc>
          <w:tcPr>
            <w:tcW w:w="471" w:type="pct"/>
          </w:tcPr>
          <w:p w14:paraId="4DA9C3F5" w14:textId="56E9EC2C" w:rsidR="008772FC" w:rsidRPr="004E50E7" w:rsidRDefault="00A8259B" w:rsidP="008F2513">
            <w:pPr>
              <w:pStyle w:val="BodyTextIndent"/>
              <w:spacing w:after="0"/>
              <w:ind w:left="0" w:right="-720"/>
              <w:rPr>
                <w:rFonts w:ascii="Calibri" w:hAnsi="Calibri"/>
                <w:bCs/>
                <w:sz w:val="20"/>
              </w:rPr>
            </w:pPr>
            <w:r>
              <w:rPr>
                <w:rFonts w:ascii="Calibri" w:hAnsi="Calibri"/>
                <w:bCs/>
                <w:sz w:val="20"/>
              </w:rPr>
              <w:t>13.2</w:t>
            </w:r>
          </w:p>
        </w:tc>
        <w:tc>
          <w:tcPr>
            <w:tcW w:w="538" w:type="pct"/>
          </w:tcPr>
          <w:p w14:paraId="04CF6D3E" w14:textId="76C207AB" w:rsidR="008772FC" w:rsidRPr="004E50E7" w:rsidRDefault="00A8259B" w:rsidP="008F2513">
            <w:pPr>
              <w:pStyle w:val="BodyTextIndent"/>
              <w:spacing w:after="0"/>
              <w:ind w:left="0" w:right="-720"/>
              <w:rPr>
                <w:rFonts w:ascii="Calibri" w:hAnsi="Calibri"/>
                <w:bCs/>
                <w:sz w:val="20"/>
              </w:rPr>
            </w:pPr>
            <w:r>
              <w:rPr>
                <w:rFonts w:ascii="Calibri" w:hAnsi="Calibri"/>
                <w:bCs/>
                <w:sz w:val="20"/>
              </w:rPr>
              <w:t>659</w:t>
            </w:r>
          </w:p>
        </w:tc>
        <w:tc>
          <w:tcPr>
            <w:tcW w:w="494" w:type="pct"/>
          </w:tcPr>
          <w:p w14:paraId="249E91D5" w14:textId="46A5AF2B" w:rsidR="008772FC" w:rsidRPr="004E50E7" w:rsidRDefault="00E71339" w:rsidP="008F2513">
            <w:pPr>
              <w:pStyle w:val="BodyTextIndent"/>
              <w:spacing w:after="0"/>
              <w:ind w:left="0" w:right="-720"/>
              <w:rPr>
                <w:rFonts w:ascii="Calibri" w:hAnsi="Calibri"/>
                <w:bCs/>
                <w:sz w:val="20"/>
              </w:rPr>
            </w:pPr>
            <w:r>
              <w:rPr>
                <w:rFonts w:ascii="Calibri" w:hAnsi="Calibri"/>
                <w:bCs/>
                <w:sz w:val="20"/>
              </w:rPr>
              <w:t>18.4</w:t>
            </w:r>
          </w:p>
        </w:tc>
      </w:tr>
      <w:tr w:rsidR="008772FC" w:rsidRPr="004E50E7" w14:paraId="64D9BE5D" w14:textId="77777777" w:rsidTr="008F2513">
        <w:tc>
          <w:tcPr>
            <w:tcW w:w="992" w:type="pct"/>
          </w:tcPr>
          <w:p w14:paraId="1BD9916C" w14:textId="77777777" w:rsidR="008772FC" w:rsidRPr="004E50E7" w:rsidRDefault="009A77B9" w:rsidP="008F2513">
            <w:pPr>
              <w:pStyle w:val="BodyTextIndent"/>
              <w:spacing w:after="0"/>
              <w:ind w:left="0" w:right="-720"/>
              <w:rPr>
                <w:rFonts w:ascii="Calibri" w:hAnsi="Calibri"/>
                <w:sz w:val="20"/>
              </w:rPr>
            </w:pPr>
            <w:r>
              <w:rPr>
                <w:rFonts w:ascii="Calibri" w:hAnsi="Calibri"/>
                <w:sz w:val="20"/>
              </w:rPr>
              <w:t>$</w:t>
            </w:r>
            <w:r w:rsidR="008772FC" w:rsidRPr="004E50E7">
              <w:rPr>
                <w:rFonts w:ascii="Calibri" w:hAnsi="Calibri"/>
                <w:sz w:val="20"/>
              </w:rPr>
              <w:t>150,000 +</w:t>
            </w:r>
          </w:p>
        </w:tc>
        <w:tc>
          <w:tcPr>
            <w:tcW w:w="487" w:type="pct"/>
          </w:tcPr>
          <w:p w14:paraId="04AC909D" w14:textId="12871E3F" w:rsidR="008772FC" w:rsidRPr="004E50E7" w:rsidRDefault="00A27D92" w:rsidP="008F2513">
            <w:pPr>
              <w:pStyle w:val="BodyTextIndent"/>
              <w:spacing w:after="0"/>
              <w:ind w:left="0" w:right="-720"/>
              <w:rPr>
                <w:rFonts w:ascii="Calibri" w:hAnsi="Calibri"/>
                <w:bCs/>
                <w:sz w:val="20"/>
              </w:rPr>
            </w:pPr>
            <w:r>
              <w:rPr>
                <w:rFonts w:ascii="Calibri" w:hAnsi="Calibri"/>
                <w:bCs/>
                <w:sz w:val="20"/>
              </w:rPr>
              <w:t>0</w:t>
            </w:r>
          </w:p>
        </w:tc>
        <w:tc>
          <w:tcPr>
            <w:tcW w:w="505" w:type="pct"/>
          </w:tcPr>
          <w:p w14:paraId="6B34893C" w14:textId="600ED025" w:rsidR="008772FC" w:rsidRPr="004E50E7" w:rsidRDefault="00A8259B" w:rsidP="008F2513">
            <w:pPr>
              <w:pStyle w:val="BodyTextIndent"/>
              <w:spacing w:after="0"/>
              <w:ind w:left="0" w:right="-720"/>
              <w:rPr>
                <w:rFonts w:ascii="Calibri" w:hAnsi="Calibri"/>
                <w:bCs/>
                <w:sz w:val="20"/>
              </w:rPr>
            </w:pPr>
            <w:r>
              <w:rPr>
                <w:rFonts w:ascii="Calibri" w:hAnsi="Calibri"/>
                <w:bCs/>
                <w:sz w:val="20"/>
              </w:rPr>
              <w:t>0.0</w:t>
            </w:r>
          </w:p>
        </w:tc>
        <w:tc>
          <w:tcPr>
            <w:tcW w:w="504" w:type="pct"/>
          </w:tcPr>
          <w:p w14:paraId="5981B776" w14:textId="3642D029" w:rsidR="008772FC" w:rsidRPr="004E50E7" w:rsidRDefault="00A27D92" w:rsidP="008F2513">
            <w:pPr>
              <w:pStyle w:val="BodyTextIndent"/>
              <w:spacing w:after="0"/>
              <w:ind w:left="0" w:right="-720"/>
              <w:rPr>
                <w:rFonts w:ascii="Calibri" w:hAnsi="Calibri"/>
                <w:bCs/>
                <w:sz w:val="20"/>
              </w:rPr>
            </w:pPr>
            <w:r>
              <w:rPr>
                <w:rFonts w:ascii="Calibri" w:hAnsi="Calibri"/>
                <w:bCs/>
                <w:sz w:val="20"/>
              </w:rPr>
              <w:t>1,780</w:t>
            </w:r>
          </w:p>
        </w:tc>
        <w:tc>
          <w:tcPr>
            <w:tcW w:w="488" w:type="pct"/>
          </w:tcPr>
          <w:p w14:paraId="6067FCA9" w14:textId="2DC8BC23" w:rsidR="008772FC" w:rsidRPr="004E50E7" w:rsidRDefault="00E71339" w:rsidP="008F2513">
            <w:pPr>
              <w:pStyle w:val="BodyTextIndent"/>
              <w:spacing w:after="0"/>
              <w:ind w:left="0" w:right="-720"/>
              <w:rPr>
                <w:rFonts w:ascii="Calibri" w:hAnsi="Calibri"/>
                <w:bCs/>
                <w:sz w:val="20"/>
              </w:rPr>
            </w:pPr>
            <w:r>
              <w:rPr>
                <w:rFonts w:ascii="Calibri" w:hAnsi="Calibri"/>
                <w:bCs/>
                <w:sz w:val="20"/>
              </w:rPr>
              <w:t>70.5</w:t>
            </w:r>
          </w:p>
        </w:tc>
        <w:tc>
          <w:tcPr>
            <w:tcW w:w="521" w:type="pct"/>
          </w:tcPr>
          <w:p w14:paraId="1054D496" w14:textId="20206460" w:rsidR="008772FC" w:rsidRPr="004E50E7" w:rsidRDefault="00A8259B" w:rsidP="008F2513">
            <w:pPr>
              <w:pStyle w:val="BodyTextIndent"/>
              <w:spacing w:after="0"/>
              <w:ind w:left="0" w:right="-720"/>
              <w:rPr>
                <w:rFonts w:ascii="Calibri" w:hAnsi="Calibri"/>
                <w:bCs/>
                <w:sz w:val="20"/>
              </w:rPr>
            </w:pPr>
            <w:r>
              <w:rPr>
                <w:rFonts w:ascii="Calibri" w:hAnsi="Calibri"/>
                <w:bCs/>
                <w:sz w:val="20"/>
              </w:rPr>
              <w:t>3,235</w:t>
            </w:r>
          </w:p>
        </w:tc>
        <w:tc>
          <w:tcPr>
            <w:tcW w:w="471" w:type="pct"/>
          </w:tcPr>
          <w:p w14:paraId="216C3544" w14:textId="48F3BC8E" w:rsidR="008772FC" w:rsidRPr="004E50E7" w:rsidRDefault="00A8259B" w:rsidP="008F2513">
            <w:pPr>
              <w:pStyle w:val="BodyTextIndent"/>
              <w:spacing w:after="0"/>
              <w:ind w:left="0" w:right="-720"/>
              <w:rPr>
                <w:rFonts w:ascii="Calibri" w:hAnsi="Calibri"/>
                <w:bCs/>
                <w:sz w:val="20"/>
              </w:rPr>
            </w:pPr>
            <w:r>
              <w:rPr>
                <w:rFonts w:ascii="Calibri" w:hAnsi="Calibri"/>
                <w:bCs/>
                <w:sz w:val="20"/>
              </w:rPr>
              <w:t>70.1</w:t>
            </w:r>
          </w:p>
        </w:tc>
        <w:tc>
          <w:tcPr>
            <w:tcW w:w="538" w:type="pct"/>
          </w:tcPr>
          <w:p w14:paraId="4F444313" w14:textId="06C90A10" w:rsidR="008772FC" w:rsidRPr="004E50E7" w:rsidRDefault="00A8259B" w:rsidP="008F2513">
            <w:pPr>
              <w:pStyle w:val="BodyTextIndent"/>
              <w:spacing w:after="0"/>
              <w:ind w:left="0" w:right="-720"/>
              <w:rPr>
                <w:rFonts w:ascii="Calibri" w:hAnsi="Calibri"/>
                <w:bCs/>
                <w:sz w:val="20"/>
              </w:rPr>
            </w:pPr>
            <w:r>
              <w:rPr>
                <w:rFonts w:ascii="Calibri" w:hAnsi="Calibri"/>
                <w:bCs/>
                <w:sz w:val="20"/>
              </w:rPr>
              <w:t>928</w:t>
            </w:r>
          </w:p>
        </w:tc>
        <w:tc>
          <w:tcPr>
            <w:tcW w:w="494" w:type="pct"/>
          </w:tcPr>
          <w:p w14:paraId="08CE13C9" w14:textId="49BA5A94" w:rsidR="008772FC" w:rsidRPr="004E50E7" w:rsidRDefault="00E71339" w:rsidP="008F2513">
            <w:pPr>
              <w:pStyle w:val="BodyTextIndent"/>
              <w:spacing w:after="0"/>
              <w:ind w:left="0" w:right="-720"/>
              <w:rPr>
                <w:rFonts w:ascii="Calibri" w:hAnsi="Calibri"/>
                <w:bCs/>
                <w:sz w:val="20"/>
              </w:rPr>
            </w:pPr>
            <w:r>
              <w:rPr>
                <w:rFonts w:ascii="Calibri" w:hAnsi="Calibri"/>
                <w:bCs/>
                <w:sz w:val="20"/>
              </w:rPr>
              <w:t>25.9</w:t>
            </w:r>
          </w:p>
        </w:tc>
      </w:tr>
      <w:tr w:rsidR="008772FC" w:rsidRPr="004E50E7" w14:paraId="45758653" w14:textId="77777777" w:rsidTr="008F2513">
        <w:tc>
          <w:tcPr>
            <w:tcW w:w="992" w:type="pct"/>
          </w:tcPr>
          <w:p w14:paraId="1068E668" w14:textId="77777777"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Total</w:t>
            </w:r>
          </w:p>
        </w:tc>
        <w:tc>
          <w:tcPr>
            <w:tcW w:w="487" w:type="pct"/>
          </w:tcPr>
          <w:p w14:paraId="235BD77C" w14:textId="11E869CF" w:rsidR="008772FC" w:rsidRPr="004E50E7" w:rsidRDefault="00A27D92" w:rsidP="008F2513">
            <w:pPr>
              <w:pStyle w:val="BodyTextIndent"/>
              <w:spacing w:after="0"/>
              <w:ind w:left="0" w:right="-720"/>
              <w:rPr>
                <w:rFonts w:ascii="Calibri" w:hAnsi="Calibri"/>
                <w:bCs/>
                <w:sz w:val="20"/>
              </w:rPr>
            </w:pPr>
            <w:r>
              <w:rPr>
                <w:rFonts w:ascii="Calibri" w:hAnsi="Calibri"/>
                <w:bCs/>
                <w:sz w:val="20"/>
              </w:rPr>
              <w:t>35</w:t>
            </w:r>
          </w:p>
        </w:tc>
        <w:tc>
          <w:tcPr>
            <w:tcW w:w="505" w:type="pct"/>
          </w:tcPr>
          <w:p w14:paraId="15667043" w14:textId="0D9A2E8D" w:rsidR="008772FC" w:rsidRPr="004E50E7" w:rsidRDefault="00A8259B" w:rsidP="008F2513">
            <w:pPr>
              <w:pStyle w:val="BodyTextIndent"/>
              <w:spacing w:after="0"/>
              <w:ind w:left="0" w:right="-720"/>
              <w:rPr>
                <w:rFonts w:ascii="Calibri" w:hAnsi="Calibri"/>
                <w:bCs/>
                <w:sz w:val="20"/>
              </w:rPr>
            </w:pPr>
            <w:r>
              <w:rPr>
                <w:rFonts w:ascii="Calibri" w:hAnsi="Calibri"/>
                <w:bCs/>
                <w:sz w:val="20"/>
              </w:rPr>
              <w:t>100.0</w:t>
            </w:r>
          </w:p>
        </w:tc>
        <w:tc>
          <w:tcPr>
            <w:tcW w:w="504" w:type="pct"/>
          </w:tcPr>
          <w:p w14:paraId="15ED875E" w14:textId="55CC0408" w:rsidR="008772FC" w:rsidRPr="004E50E7" w:rsidRDefault="00A27D92" w:rsidP="008F2513">
            <w:pPr>
              <w:pStyle w:val="BodyTextIndent"/>
              <w:spacing w:after="0"/>
              <w:ind w:left="0" w:right="-720"/>
              <w:rPr>
                <w:rFonts w:ascii="Calibri" w:hAnsi="Calibri"/>
                <w:bCs/>
                <w:sz w:val="20"/>
              </w:rPr>
            </w:pPr>
            <w:r>
              <w:rPr>
                <w:rFonts w:ascii="Calibri" w:hAnsi="Calibri"/>
                <w:bCs/>
                <w:sz w:val="20"/>
              </w:rPr>
              <w:t>2,524</w:t>
            </w:r>
          </w:p>
        </w:tc>
        <w:tc>
          <w:tcPr>
            <w:tcW w:w="488" w:type="pct"/>
          </w:tcPr>
          <w:p w14:paraId="546EF07F" w14:textId="62B1CC71" w:rsidR="008772FC" w:rsidRPr="004E50E7" w:rsidRDefault="00E71339" w:rsidP="008F2513">
            <w:pPr>
              <w:pStyle w:val="BodyTextIndent"/>
              <w:spacing w:after="0"/>
              <w:ind w:left="0" w:right="-720"/>
              <w:rPr>
                <w:rFonts w:ascii="Calibri" w:hAnsi="Calibri"/>
                <w:bCs/>
                <w:sz w:val="20"/>
              </w:rPr>
            </w:pPr>
            <w:r>
              <w:rPr>
                <w:rFonts w:ascii="Calibri" w:hAnsi="Calibri"/>
                <w:bCs/>
                <w:sz w:val="20"/>
              </w:rPr>
              <w:t>100.0</w:t>
            </w:r>
          </w:p>
        </w:tc>
        <w:tc>
          <w:tcPr>
            <w:tcW w:w="521" w:type="pct"/>
          </w:tcPr>
          <w:p w14:paraId="3F0D1FB0" w14:textId="179DDEAA" w:rsidR="008772FC" w:rsidRPr="004E50E7" w:rsidRDefault="00A27D92" w:rsidP="008F2513">
            <w:pPr>
              <w:pStyle w:val="BodyTextIndent"/>
              <w:spacing w:after="0"/>
              <w:ind w:left="0" w:right="-720"/>
              <w:rPr>
                <w:rFonts w:ascii="Calibri" w:hAnsi="Calibri"/>
                <w:bCs/>
                <w:sz w:val="20"/>
              </w:rPr>
            </w:pPr>
            <w:r>
              <w:rPr>
                <w:rFonts w:ascii="Calibri" w:hAnsi="Calibri"/>
                <w:bCs/>
                <w:sz w:val="20"/>
              </w:rPr>
              <w:t>4,617</w:t>
            </w:r>
          </w:p>
        </w:tc>
        <w:tc>
          <w:tcPr>
            <w:tcW w:w="471" w:type="pct"/>
          </w:tcPr>
          <w:p w14:paraId="75857DD3" w14:textId="6BABD9E9" w:rsidR="008772FC" w:rsidRPr="004E50E7" w:rsidRDefault="00A8259B" w:rsidP="008F2513">
            <w:pPr>
              <w:pStyle w:val="BodyTextIndent"/>
              <w:spacing w:after="0"/>
              <w:ind w:left="0" w:right="-720"/>
              <w:rPr>
                <w:rFonts w:ascii="Calibri" w:hAnsi="Calibri"/>
                <w:bCs/>
                <w:sz w:val="20"/>
              </w:rPr>
            </w:pPr>
            <w:r>
              <w:rPr>
                <w:rFonts w:ascii="Calibri" w:hAnsi="Calibri"/>
                <w:bCs/>
                <w:sz w:val="20"/>
              </w:rPr>
              <w:t>100.0</w:t>
            </w:r>
          </w:p>
        </w:tc>
        <w:tc>
          <w:tcPr>
            <w:tcW w:w="538" w:type="pct"/>
          </w:tcPr>
          <w:p w14:paraId="1D38EE28" w14:textId="181A7018" w:rsidR="008772FC" w:rsidRPr="004E50E7" w:rsidRDefault="00A8259B" w:rsidP="008F2513">
            <w:pPr>
              <w:pStyle w:val="BodyTextIndent"/>
              <w:spacing w:after="0"/>
              <w:ind w:left="0" w:right="-720"/>
              <w:rPr>
                <w:rFonts w:ascii="Calibri" w:hAnsi="Calibri"/>
                <w:bCs/>
                <w:sz w:val="20"/>
              </w:rPr>
            </w:pPr>
            <w:r>
              <w:rPr>
                <w:rFonts w:ascii="Calibri" w:hAnsi="Calibri"/>
                <w:bCs/>
                <w:sz w:val="20"/>
              </w:rPr>
              <w:t>3,589</w:t>
            </w:r>
          </w:p>
        </w:tc>
        <w:tc>
          <w:tcPr>
            <w:tcW w:w="494" w:type="pct"/>
          </w:tcPr>
          <w:p w14:paraId="2C153A97" w14:textId="05FBF1F0" w:rsidR="008772FC" w:rsidRPr="004E50E7" w:rsidRDefault="00E71339" w:rsidP="008F2513">
            <w:pPr>
              <w:pStyle w:val="BodyTextIndent"/>
              <w:spacing w:after="0"/>
              <w:ind w:left="0" w:right="-720"/>
              <w:rPr>
                <w:rFonts w:ascii="Calibri" w:hAnsi="Calibri"/>
                <w:bCs/>
                <w:sz w:val="20"/>
              </w:rPr>
            </w:pPr>
            <w:r>
              <w:rPr>
                <w:rFonts w:ascii="Calibri" w:hAnsi="Calibri"/>
                <w:bCs/>
                <w:sz w:val="20"/>
              </w:rPr>
              <w:t>100.0</w:t>
            </w:r>
          </w:p>
        </w:tc>
      </w:tr>
    </w:tbl>
    <w:p w14:paraId="48AF0554" w14:textId="5F8C302E" w:rsidR="008772FC" w:rsidRPr="004E50E7" w:rsidRDefault="008772FC" w:rsidP="008772FC">
      <w:pPr>
        <w:pStyle w:val="FootnoteText"/>
        <w:rPr>
          <w:rFonts w:ascii="Calibri" w:hAnsi="Calibri"/>
          <w:szCs w:val="24"/>
        </w:rPr>
      </w:pPr>
      <w:r w:rsidRPr="004E50E7">
        <w:rPr>
          <w:rFonts w:ascii="Calibri" w:hAnsi="Calibri"/>
        </w:rPr>
        <w:t xml:space="preserve">Source:  U.S. Census Bureau, </w:t>
      </w:r>
      <w:r w:rsidRPr="004E50E7">
        <w:rPr>
          <w:rFonts w:ascii="Calibri" w:hAnsi="Calibri"/>
          <w:szCs w:val="24"/>
        </w:rPr>
        <w:t>20</w:t>
      </w:r>
      <w:r>
        <w:rPr>
          <w:rFonts w:ascii="Calibri" w:hAnsi="Calibri"/>
          <w:szCs w:val="24"/>
        </w:rPr>
        <w:t>1</w:t>
      </w:r>
      <w:r w:rsidR="00E4042A">
        <w:rPr>
          <w:rFonts w:ascii="Calibri" w:hAnsi="Calibri"/>
          <w:szCs w:val="24"/>
        </w:rPr>
        <w:t>6</w:t>
      </w:r>
      <w:r w:rsidRPr="004E50E7">
        <w:rPr>
          <w:rFonts w:ascii="Calibri" w:hAnsi="Calibri"/>
          <w:szCs w:val="24"/>
        </w:rPr>
        <w:t>-20</w:t>
      </w:r>
      <w:r w:rsidR="00E4042A">
        <w:rPr>
          <w:rFonts w:ascii="Calibri" w:hAnsi="Calibri"/>
          <w:szCs w:val="24"/>
        </w:rPr>
        <w:t>20</w:t>
      </w:r>
      <w:r w:rsidRPr="004E50E7">
        <w:rPr>
          <w:rFonts w:ascii="Calibri" w:hAnsi="Calibri"/>
          <w:szCs w:val="24"/>
        </w:rPr>
        <w:t xml:space="preserve"> American Community Survey</w:t>
      </w:r>
      <w:r w:rsidR="00880F3D">
        <w:rPr>
          <w:rFonts w:ascii="Calibri" w:hAnsi="Calibri"/>
          <w:szCs w:val="24"/>
        </w:rPr>
        <w:t xml:space="preserve"> 5-Year Estimates.</w:t>
      </w:r>
    </w:p>
    <w:p w14:paraId="7D6C45EC" w14:textId="77777777" w:rsidR="008772FC" w:rsidRPr="004D5DBC" w:rsidRDefault="008772FC" w:rsidP="008772FC">
      <w:pPr>
        <w:pStyle w:val="BodyTextIndent"/>
        <w:spacing w:after="0"/>
        <w:ind w:left="0" w:right="-720"/>
        <w:rPr>
          <w:rFonts w:ascii="Calibri" w:hAnsi="Calibri"/>
          <w:bCs/>
          <w:sz w:val="22"/>
          <w:szCs w:val="22"/>
        </w:rPr>
      </w:pPr>
    </w:p>
    <w:p w14:paraId="2DCC7D17" w14:textId="77777777" w:rsidR="001A0DF6" w:rsidRDefault="001A0DF6" w:rsidP="00D301F7">
      <w:pPr>
        <w:pStyle w:val="BodyTextIndent"/>
        <w:spacing w:after="0"/>
        <w:ind w:left="0"/>
        <w:jc w:val="both"/>
        <w:rPr>
          <w:rFonts w:ascii="Calibri" w:hAnsi="Calibri"/>
          <w:bCs/>
          <w:sz w:val="22"/>
          <w:szCs w:val="22"/>
        </w:rPr>
      </w:pPr>
    </w:p>
    <w:p w14:paraId="14DF6B35" w14:textId="77777777" w:rsidR="001A0DF6" w:rsidRPr="004E50E7" w:rsidRDefault="001A0DF6" w:rsidP="001A0DF6">
      <w:pPr>
        <w:pStyle w:val="BodyTextIndent"/>
        <w:pBdr>
          <w:top w:val="single" w:sz="4" w:space="1" w:color="auto"/>
          <w:left w:val="single" w:sz="4" w:space="4" w:color="auto"/>
          <w:bottom w:val="single" w:sz="4" w:space="1" w:color="auto"/>
          <w:right w:val="single" w:sz="4" w:space="4" w:color="auto"/>
        </w:pBdr>
        <w:shd w:val="clear" w:color="auto" w:fill="B6DDE8" w:themeFill="accent5" w:themeFillTint="66"/>
        <w:ind w:left="0"/>
        <w:jc w:val="center"/>
        <w:rPr>
          <w:rFonts w:ascii="Calibri" w:hAnsi="Calibri"/>
          <w:bCs/>
        </w:rPr>
      </w:pPr>
      <w:r w:rsidRPr="00A56556">
        <w:rPr>
          <w:rFonts w:ascii="Calibri" w:hAnsi="Calibri"/>
          <w:bCs/>
          <w:shd w:val="clear" w:color="auto" w:fill="B6DDE8" w:themeFill="accent5" w:themeFillTint="66"/>
        </w:rPr>
        <w:t xml:space="preserve">While the median household income of homeowners </w:t>
      </w:r>
      <w:r>
        <w:rPr>
          <w:rFonts w:ascii="Calibri" w:hAnsi="Calibri"/>
          <w:bCs/>
          <w:shd w:val="clear" w:color="auto" w:fill="B6DDE8" w:themeFill="accent5" w:themeFillTint="66"/>
        </w:rPr>
        <w:t>almost doubled</w:t>
      </w:r>
      <w:r w:rsidRPr="00A56556">
        <w:rPr>
          <w:rFonts w:ascii="Calibri" w:hAnsi="Calibri"/>
          <w:bCs/>
          <w:shd w:val="clear" w:color="auto" w:fill="B6DDE8" w:themeFill="accent5" w:themeFillTint="66"/>
        </w:rPr>
        <w:t>, from $100,732 in 2000 to $</w:t>
      </w:r>
      <w:r>
        <w:rPr>
          <w:rFonts w:ascii="Calibri" w:hAnsi="Calibri"/>
          <w:bCs/>
          <w:shd w:val="clear" w:color="auto" w:fill="B6DDE8" w:themeFill="accent5" w:themeFillTint="66"/>
        </w:rPr>
        <w:t>203,690</w:t>
      </w:r>
      <w:r w:rsidRPr="00A56556">
        <w:rPr>
          <w:rFonts w:ascii="Calibri" w:hAnsi="Calibri"/>
          <w:bCs/>
          <w:shd w:val="clear" w:color="auto" w:fill="B6DDE8" w:themeFill="accent5" w:themeFillTint="66"/>
        </w:rPr>
        <w:t xml:space="preserve"> by 20</w:t>
      </w:r>
      <w:r>
        <w:rPr>
          <w:rFonts w:ascii="Calibri" w:hAnsi="Calibri"/>
          <w:bCs/>
          <w:shd w:val="clear" w:color="auto" w:fill="B6DDE8" w:themeFill="accent5" w:themeFillTint="66"/>
        </w:rPr>
        <w:t>20</w:t>
      </w:r>
      <w:r w:rsidRPr="00A56556">
        <w:rPr>
          <w:rFonts w:ascii="Calibri" w:hAnsi="Calibri"/>
          <w:bCs/>
          <w:shd w:val="clear" w:color="auto" w:fill="B6DDE8" w:themeFill="accent5" w:themeFillTint="66"/>
        </w:rPr>
        <w:t xml:space="preserve">, the median income of renters </w:t>
      </w:r>
      <w:r>
        <w:rPr>
          <w:rFonts w:ascii="Calibri" w:hAnsi="Calibri"/>
          <w:bCs/>
          <w:shd w:val="clear" w:color="auto" w:fill="B6DDE8" w:themeFill="accent5" w:themeFillTint="66"/>
        </w:rPr>
        <w:t>stayed about the same</w:t>
      </w:r>
      <w:r w:rsidRPr="00A56556">
        <w:rPr>
          <w:rFonts w:ascii="Calibri" w:hAnsi="Calibri"/>
          <w:bCs/>
          <w:shd w:val="clear" w:color="auto" w:fill="B6DDE8" w:themeFill="accent5" w:themeFillTint="66"/>
        </w:rPr>
        <w:t xml:space="preserve">, </w:t>
      </w:r>
      <w:r>
        <w:rPr>
          <w:rFonts w:ascii="Calibri" w:hAnsi="Calibri"/>
          <w:bCs/>
          <w:shd w:val="clear" w:color="auto" w:fill="B6DDE8" w:themeFill="accent5" w:themeFillTint="66"/>
        </w:rPr>
        <w:t xml:space="preserve">going </w:t>
      </w:r>
      <w:r w:rsidRPr="00A56556">
        <w:rPr>
          <w:rFonts w:ascii="Calibri" w:hAnsi="Calibri"/>
          <w:bCs/>
          <w:shd w:val="clear" w:color="auto" w:fill="B6DDE8" w:themeFill="accent5" w:themeFillTint="66"/>
        </w:rPr>
        <w:t xml:space="preserve">from $44,226 to </w:t>
      </w:r>
      <w:r>
        <w:rPr>
          <w:rFonts w:ascii="Calibri" w:hAnsi="Calibri"/>
          <w:bCs/>
          <w:shd w:val="clear" w:color="auto" w:fill="B6DDE8" w:themeFill="accent5" w:themeFillTint="66"/>
        </w:rPr>
        <w:t>$44,361</w:t>
      </w:r>
      <w:r w:rsidRPr="00A56556">
        <w:rPr>
          <w:rFonts w:ascii="Calibri" w:hAnsi="Calibri"/>
          <w:bCs/>
          <w:shd w:val="clear" w:color="auto" w:fill="B6DDE8" w:themeFill="accent5" w:themeFillTint="66"/>
        </w:rPr>
        <w:t>.</w:t>
      </w:r>
    </w:p>
    <w:p w14:paraId="5A20865A" w14:textId="77777777" w:rsidR="001A0DF6" w:rsidRDefault="001A0DF6" w:rsidP="001A0DF6">
      <w:pPr>
        <w:pStyle w:val="BodyTextIndent"/>
        <w:spacing w:after="0"/>
        <w:ind w:left="0"/>
        <w:rPr>
          <w:rFonts w:ascii="Calibri" w:hAnsi="Calibri"/>
          <w:bCs/>
          <w:i/>
          <w:iCs/>
        </w:rPr>
      </w:pPr>
    </w:p>
    <w:p w14:paraId="3DC369D8" w14:textId="2347F5DE" w:rsidR="00D301F7" w:rsidRDefault="008772FC" w:rsidP="00D301F7">
      <w:pPr>
        <w:pStyle w:val="BodyTextIndent"/>
        <w:spacing w:after="0"/>
        <w:ind w:left="0"/>
        <w:jc w:val="both"/>
        <w:rPr>
          <w:rFonts w:ascii="Calibri" w:hAnsi="Calibri"/>
          <w:bCs/>
          <w:sz w:val="22"/>
        </w:rPr>
      </w:pPr>
      <w:r w:rsidRPr="004D5DBC">
        <w:rPr>
          <w:rFonts w:ascii="Calibri" w:hAnsi="Calibri"/>
          <w:bCs/>
          <w:sz w:val="22"/>
          <w:szCs w:val="22"/>
        </w:rPr>
        <w:t xml:space="preserve">Table </w:t>
      </w:r>
      <w:r w:rsidR="00AB6B92">
        <w:rPr>
          <w:rFonts w:ascii="Calibri" w:hAnsi="Calibri"/>
          <w:bCs/>
          <w:sz w:val="22"/>
          <w:szCs w:val="22"/>
        </w:rPr>
        <w:t>III-16</w:t>
      </w:r>
      <w:r w:rsidRPr="004D5DBC">
        <w:rPr>
          <w:rFonts w:ascii="Calibri" w:hAnsi="Calibri"/>
          <w:bCs/>
          <w:sz w:val="22"/>
          <w:szCs w:val="22"/>
        </w:rPr>
        <w:t xml:space="preserve"> compares 2000 and 20</w:t>
      </w:r>
      <w:r w:rsidR="00E71339">
        <w:rPr>
          <w:rFonts w:ascii="Calibri" w:hAnsi="Calibri"/>
          <w:bCs/>
          <w:sz w:val="22"/>
          <w:szCs w:val="22"/>
        </w:rPr>
        <w:t>20</w:t>
      </w:r>
      <w:r w:rsidRPr="004D5DBC">
        <w:rPr>
          <w:rFonts w:ascii="Calibri" w:hAnsi="Calibri"/>
          <w:bCs/>
          <w:sz w:val="22"/>
          <w:szCs w:val="22"/>
        </w:rPr>
        <w:t xml:space="preserve"> estimated </w:t>
      </w:r>
      <w:r w:rsidRPr="004D5DBC">
        <w:rPr>
          <w:rFonts w:ascii="Calibri" w:hAnsi="Calibri"/>
          <w:bCs/>
          <w:i/>
          <w:iCs/>
          <w:sz w:val="22"/>
          <w:szCs w:val="22"/>
        </w:rPr>
        <w:t>income levels for owners and renters</w:t>
      </w:r>
      <w:r w:rsidRPr="004D5DBC">
        <w:rPr>
          <w:rFonts w:ascii="Calibri" w:hAnsi="Calibri"/>
          <w:bCs/>
          <w:sz w:val="22"/>
          <w:szCs w:val="22"/>
        </w:rPr>
        <w:t xml:space="preserve">.  </w:t>
      </w:r>
      <w:r w:rsidR="0090324F">
        <w:rPr>
          <w:rFonts w:ascii="Calibri" w:hAnsi="Calibri"/>
          <w:bCs/>
          <w:sz w:val="22"/>
        </w:rPr>
        <w:t xml:space="preserve">Besides income disparities related to age, there are growing disparities related to tenure.  For example, </w:t>
      </w:r>
      <w:r w:rsidR="002A336D">
        <w:rPr>
          <w:rFonts w:ascii="Calibri" w:hAnsi="Calibri"/>
          <w:bCs/>
          <w:sz w:val="22"/>
        </w:rPr>
        <w:t>33</w:t>
      </w:r>
      <w:r w:rsidR="00D301F7">
        <w:rPr>
          <w:rFonts w:ascii="Calibri" w:hAnsi="Calibri"/>
          <w:bCs/>
          <w:sz w:val="22"/>
        </w:rPr>
        <w:t>% of</w:t>
      </w:r>
      <w:r w:rsidR="0090324F">
        <w:rPr>
          <w:rFonts w:ascii="Calibri" w:hAnsi="Calibri"/>
          <w:bCs/>
          <w:sz w:val="22"/>
        </w:rPr>
        <w:t xml:space="preserve"> renters </w:t>
      </w:r>
      <w:r w:rsidR="00976A6E">
        <w:rPr>
          <w:rFonts w:ascii="Calibri" w:hAnsi="Calibri"/>
          <w:bCs/>
          <w:sz w:val="22"/>
        </w:rPr>
        <w:t>had incomes of</w:t>
      </w:r>
      <w:r w:rsidR="0090324F">
        <w:rPr>
          <w:rFonts w:ascii="Calibri" w:hAnsi="Calibri"/>
          <w:bCs/>
          <w:sz w:val="22"/>
        </w:rPr>
        <w:t xml:space="preserve"> </w:t>
      </w:r>
      <w:r w:rsidR="00D301F7">
        <w:rPr>
          <w:rFonts w:ascii="Calibri" w:hAnsi="Calibri"/>
          <w:bCs/>
          <w:sz w:val="22"/>
        </w:rPr>
        <w:t>less than</w:t>
      </w:r>
      <w:r w:rsidR="0090324F">
        <w:rPr>
          <w:rFonts w:ascii="Calibri" w:hAnsi="Calibri"/>
          <w:bCs/>
          <w:sz w:val="22"/>
        </w:rPr>
        <w:t xml:space="preserve"> $35,000</w:t>
      </w:r>
      <w:r w:rsidR="002950C3">
        <w:rPr>
          <w:rFonts w:ascii="Calibri" w:hAnsi="Calibri"/>
          <w:bCs/>
          <w:sz w:val="22"/>
        </w:rPr>
        <w:t xml:space="preserve"> based on 20</w:t>
      </w:r>
      <w:r w:rsidR="002A336D">
        <w:rPr>
          <w:rFonts w:ascii="Calibri" w:hAnsi="Calibri"/>
          <w:bCs/>
          <w:sz w:val="22"/>
        </w:rPr>
        <w:t>20</w:t>
      </w:r>
      <w:r w:rsidR="002950C3">
        <w:rPr>
          <w:rFonts w:ascii="Calibri" w:hAnsi="Calibri"/>
          <w:bCs/>
          <w:sz w:val="22"/>
        </w:rPr>
        <w:t xml:space="preserve"> census estimates, </w:t>
      </w:r>
      <w:r w:rsidR="00216A6F">
        <w:rPr>
          <w:rFonts w:ascii="Calibri" w:hAnsi="Calibri"/>
          <w:bCs/>
          <w:sz w:val="22"/>
        </w:rPr>
        <w:t>down</w:t>
      </w:r>
      <w:r w:rsidR="002950C3">
        <w:rPr>
          <w:rFonts w:ascii="Calibri" w:hAnsi="Calibri"/>
          <w:bCs/>
          <w:sz w:val="22"/>
        </w:rPr>
        <w:t xml:space="preserve"> from 41% in 2000.  In comparison, </w:t>
      </w:r>
      <w:r w:rsidR="0090324F">
        <w:rPr>
          <w:rFonts w:ascii="Calibri" w:hAnsi="Calibri"/>
          <w:bCs/>
          <w:sz w:val="22"/>
        </w:rPr>
        <w:t xml:space="preserve"> only </w:t>
      </w:r>
      <w:r w:rsidR="00D301F7">
        <w:rPr>
          <w:rFonts w:ascii="Calibri" w:hAnsi="Calibri"/>
          <w:bCs/>
          <w:sz w:val="22"/>
        </w:rPr>
        <w:t>5.</w:t>
      </w:r>
      <w:r w:rsidR="00216A6F">
        <w:rPr>
          <w:rFonts w:ascii="Calibri" w:hAnsi="Calibri"/>
          <w:bCs/>
          <w:sz w:val="22"/>
        </w:rPr>
        <w:t>6</w:t>
      </w:r>
      <w:r w:rsidR="0090324F">
        <w:rPr>
          <w:rFonts w:ascii="Calibri" w:hAnsi="Calibri"/>
          <w:bCs/>
          <w:sz w:val="22"/>
        </w:rPr>
        <w:t>% of homeowners</w:t>
      </w:r>
      <w:r w:rsidR="002950C3">
        <w:rPr>
          <w:rFonts w:ascii="Calibri" w:hAnsi="Calibri"/>
          <w:bCs/>
          <w:sz w:val="22"/>
        </w:rPr>
        <w:t xml:space="preserve"> had incomes in this range in 20</w:t>
      </w:r>
      <w:r w:rsidR="00216A6F">
        <w:rPr>
          <w:rFonts w:ascii="Calibri" w:hAnsi="Calibri"/>
          <w:bCs/>
          <w:sz w:val="22"/>
        </w:rPr>
        <w:t>20</w:t>
      </w:r>
      <w:r w:rsidR="002950C3">
        <w:rPr>
          <w:rFonts w:ascii="Calibri" w:hAnsi="Calibri"/>
          <w:bCs/>
          <w:sz w:val="22"/>
        </w:rPr>
        <w:t>, down from 12.8% in 2000</w:t>
      </w:r>
      <w:r w:rsidR="0090324F">
        <w:rPr>
          <w:rFonts w:ascii="Calibri" w:hAnsi="Calibri"/>
          <w:bCs/>
          <w:sz w:val="22"/>
        </w:rPr>
        <w:t xml:space="preserve">.  </w:t>
      </w:r>
      <w:r w:rsidR="00D301F7">
        <w:rPr>
          <w:rFonts w:ascii="Calibri" w:hAnsi="Calibri"/>
          <w:bCs/>
          <w:sz w:val="22"/>
        </w:rPr>
        <w:t xml:space="preserve">On the other end of the income range, </w:t>
      </w:r>
      <w:r w:rsidR="002950C3">
        <w:rPr>
          <w:rFonts w:ascii="Calibri" w:hAnsi="Calibri"/>
          <w:bCs/>
          <w:sz w:val="22"/>
        </w:rPr>
        <w:t>6</w:t>
      </w:r>
      <w:r w:rsidR="00216A6F">
        <w:rPr>
          <w:rFonts w:ascii="Calibri" w:hAnsi="Calibri"/>
          <w:bCs/>
          <w:sz w:val="22"/>
        </w:rPr>
        <w:t>2.5</w:t>
      </w:r>
      <w:r w:rsidR="002950C3">
        <w:rPr>
          <w:rFonts w:ascii="Calibri" w:hAnsi="Calibri"/>
          <w:bCs/>
          <w:sz w:val="22"/>
        </w:rPr>
        <w:t>%</w:t>
      </w:r>
      <w:r w:rsidR="00D301F7">
        <w:rPr>
          <w:rFonts w:ascii="Calibri" w:hAnsi="Calibri"/>
          <w:bCs/>
          <w:sz w:val="22"/>
        </w:rPr>
        <w:t xml:space="preserve"> of homeowners earned more than $150,000 compared to 15</w:t>
      </w:r>
      <w:r w:rsidR="00216A6F">
        <w:rPr>
          <w:rFonts w:ascii="Calibri" w:hAnsi="Calibri"/>
          <w:bCs/>
          <w:sz w:val="22"/>
        </w:rPr>
        <w:t>.7</w:t>
      </w:r>
      <w:r w:rsidR="00D301F7">
        <w:rPr>
          <w:rFonts w:ascii="Calibri" w:hAnsi="Calibri"/>
          <w:bCs/>
          <w:sz w:val="22"/>
        </w:rPr>
        <w:t>% of renters.  Most of these</w:t>
      </w:r>
      <w:r w:rsidR="00C72C42" w:rsidRPr="00C72C42">
        <w:rPr>
          <w:rFonts w:ascii="Calibri" w:hAnsi="Calibri"/>
          <w:bCs/>
          <w:sz w:val="22"/>
        </w:rPr>
        <w:t xml:space="preserve"> </w:t>
      </w:r>
      <w:r w:rsidR="00C72C42">
        <w:rPr>
          <w:rFonts w:ascii="Calibri" w:hAnsi="Calibri"/>
          <w:bCs/>
          <w:sz w:val="22"/>
        </w:rPr>
        <w:t>higher-income-earning</w:t>
      </w:r>
      <w:r w:rsidR="00D301F7">
        <w:rPr>
          <w:rFonts w:ascii="Calibri" w:hAnsi="Calibri"/>
          <w:bCs/>
          <w:sz w:val="22"/>
        </w:rPr>
        <w:t xml:space="preserve"> renters </w:t>
      </w:r>
      <w:r w:rsidR="002950C3">
        <w:rPr>
          <w:rFonts w:ascii="Calibri" w:hAnsi="Calibri"/>
          <w:bCs/>
          <w:sz w:val="22"/>
        </w:rPr>
        <w:t>we</w:t>
      </w:r>
      <w:r w:rsidR="00D301F7">
        <w:rPr>
          <w:rFonts w:ascii="Calibri" w:hAnsi="Calibri"/>
          <w:bCs/>
          <w:sz w:val="22"/>
        </w:rPr>
        <w:t>re likely renting single-family homes</w:t>
      </w:r>
      <w:r w:rsidR="002950C3">
        <w:rPr>
          <w:rFonts w:ascii="Calibri" w:hAnsi="Calibri"/>
          <w:bCs/>
          <w:sz w:val="22"/>
        </w:rPr>
        <w:t>, were</w:t>
      </w:r>
      <w:r w:rsidR="00D301F7">
        <w:rPr>
          <w:rFonts w:ascii="Calibri" w:hAnsi="Calibri"/>
          <w:bCs/>
          <w:sz w:val="22"/>
        </w:rPr>
        <w:t xml:space="preserve"> staying in other rentals while renovating their existing home</w:t>
      </w:r>
      <w:r w:rsidR="002950C3">
        <w:rPr>
          <w:rFonts w:ascii="Calibri" w:hAnsi="Calibri"/>
          <w:bCs/>
          <w:sz w:val="22"/>
        </w:rPr>
        <w:t>, or moved into one of the market rate units in the larger Chapter 40B developments</w:t>
      </w:r>
      <w:r w:rsidR="00D301F7">
        <w:rPr>
          <w:rFonts w:ascii="Calibri" w:hAnsi="Calibri"/>
          <w:bCs/>
          <w:sz w:val="22"/>
        </w:rPr>
        <w:t>.</w:t>
      </w:r>
    </w:p>
    <w:p w14:paraId="1AB01C58" w14:textId="77777777" w:rsidR="001302E4" w:rsidRDefault="001302E4" w:rsidP="00D301F7">
      <w:pPr>
        <w:pStyle w:val="BodyTextIndent"/>
        <w:spacing w:after="0"/>
        <w:ind w:left="0"/>
        <w:jc w:val="both"/>
        <w:rPr>
          <w:rFonts w:ascii="Calibri" w:hAnsi="Calibri"/>
          <w:bCs/>
          <w:sz w:val="22"/>
        </w:rPr>
      </w:pPr>
    </w:p>
    <w:p w14:paraId="45178BBF" w14:textId="5F3A1E40" w:rsidR="00D301F7" w:rsidRPr="004E50E7" w:rsidRDefault="00D301F7" w:rsidP="00D301F7">
      <w:pPr>
        <w:pStyle w:val="BodyTextIndent"/>
        <w:pBdr>
          <w:top w:val="single" w:sz="4" w:space="1" w:color="auto"/>
          <w:left w:val="single" w:sz="4" w:space="4" w:color="auto"/>
          <w:bottom w:val="single" w:sz="4" w:space="1" w:color="auto"/>
          <w:right w:val="single" w:sz="4" w:space="4" w:color="auto"/>
        </w:pBdr>
        <w:shd w:val="clear" w:color="auto" w:fill="B6DDE8" w:themeFill="accent5" w:themeFillTint="66"/>
        <w:ind w:left="0"/>
        <w:jc w:val="center"/>
        <w:rPr>
          <w:rFonts w:ascii="Calibri" w:hAnsi="Calibri"/>
          <w:bCs/>
        </w:rPr>
      </w:pPr>
      <w:r w:rsidRPr="004E50E7">
        <w:rPr>
          <w:rFonts w:ascii="Calibri" w:hAnsi="Calibri"/>
          <w:bCs/>
        </w:rPr>
        <w:t xml:space="preserve">An estimated </w:t>
      </w:r>
      <w:r w:rsidR="00A64A05">
        <w:rPr>
          <w:rFonts w:ascii="Calibri" w:hAnsi="Calibri"/>
          <w:bCs/>
        </w:rPr>
        <w:t>23</w:t>
      </w:r>
      <w:r w:rsidRPr="004E50E7">
        <w:rPr>
          <w:rFonts w:ascii="Calibri" w:hAnsi="Calibri"/>
          <w:bCs/>
        </w:rPr>
        <w:t xml:space="preserve">% of all households and </w:t>
      </w:r>
      <w:r w:rsidR="00A64A05">
        <w:rPr>
          <w:rFonts w:ascii="Calibri" w:hAnsi="Calibri"/>
          <w:bCs/>
        </w:rPr>
        <w:t>6</w:t>
      </w:r>
      <w:r w:rsidR="00216A6F">
        <w:rPr>
          <w:rFonts w:ascii="Calibri" w:hAnsi="Calibri"/>
          <w:bCs/>
        </w:rPr>
        <w:t>0</w:t>
      </w:r>
      <w:r>
        <w:rPr>
          <w:rFonts w:ascii="Calibri" w:hAnsi="Calibri"/>
          <w:bCs/>
        </w:rPr>
        <w:t>%</w:t>
      </w:r>
      <w:r w:rsidRPr="004E50E7">
        <w:rPr>
          <w:rFonts w:ascii="Calibri" w:hAnsi="Calibri"/>
          <w:bCs/>
        </w:rPr>
        <w:t xml:space="preserve"> of all renter</w:t>
      </w:r>
      <w:r w:rsidR="00216A6F">
        <w:rPr>
          <w:rFonts w:ascii="Calibri" w:hAnsi="Calibri"/>
          <w:bCs/>
        </w:rPr>
        <w:t xml:space="preserve"> household</w:t>
      </w:r>
      <w:r w:rsidRPr="004E50E7">
        <w:rPr>
          <w:rFonts w:ascii="Calibri" w:hAnsi="Calibri"/>
          <w:bCs/>
        </w:rPr>
        <w:t xml:space="preserve">s </w:t>
      </w:r>
      <w:r w:rsidR="00E870BF">
        <w:rPr>
          <w:rFonts w:ascii="Calibri" w:hAnsi="Calibri"/>
          <w:bCs/>
        </w:rPr>
        <w:t>had incomes</w:t>
      </w:r>
      <w:r w:rsidRPr="004E50E7">
        <w:rPr>
          <w:rFonts w:ascii="Calibri" w:hAnsi="Calibri"/>
          <w:bCs/>
        </w:rPr>
        <w:t xml:space="preserve"> below $</w:t>
      </w:r>
      <w:r w:rsidR="00A64A05">
        <w:rPr>
          <w:rFonts w:ascii="Calibri" w:hAnsi="Calibri"/>
          <w:bCs/>
        </w:rPr>
        <w:t>7</w:t>
      </w:r>
      <w:r w:rsidRPr="004E50E7">
        <w:rPr>
          <w:rFonts w:ascii="Calibri" w:hAnsi="Calibri"/>
          <w:bCs/>
        </w:rPr>
        <w:t>5,000</w:t>
      </w:r>
      <w:r>
        <w:rPr>
          <w:rFonts w:ascii="Calibri" w:hAnsi="Calibri"/>
          <w:bCs/>
        </w:rPr>
        <w:t>.  These households</w:t>
      </w:r>
      <w:r w:rsidRPr="004E50E7">
        <w:rPr>
          <w:rFonts w:ascii="Calibri" w:hAnsi="Calibri"/>
          <w:bCs/>
        </w:rPr>
        <w:t xml:space="preserve"> might qualify</w:t>
      </w:r>
      <w:r>
        <w:rPr>
          <w:rFonts w:ascii="Calibri" w:hAnsi="Calibri"/>
          <w:bCs/>
        </w:rPr>
        <w:t xml:space="preserve"> </w:t>
      </w:r>
      <w:r w:rsidR="004F4680">
        <w:rPr>
          <w:rFonts w:ascii="Calibri" w:hAnsi="Calibri"/>
          <w:bCs/>
        </w:rPr>
        <w:t>to purchase or rent an affordable unit</w:t>
      </w:r>
      <w:r>
        <w:rPr>
          <w:rFonts w:ascii="Calibri" w:hAnsi="Calibri"/>
          <w:bCs/>
        </w:rPr>
        <w:t>, some even obtaining such assistance</w:t>
      </w:r>
      <w:r w:rsidRPr="004E50E7">
        <w:rPr>
          <w:rFonts w:ascii="Calibri" w:hAnsi="Calibri"/>
          <w:bCs/>
        </w:rPr>
        <w:t xml:space="preserve"> based on income alone given that this threshold is </w:t>
      </w:r>
      <w:r w:rsidR="00A64A05">
        <w:rPr>
          <w:rFonts w:ascii="Calibri" w:hAnsi="Calibri"/>
          <w:bCs/>
        </w:rPr>
        <w:t xml:space="preserve">generally </w:t>
      </w:r>
      <w:r>
        <w:rPr>
          <w:rFonts w:ascii="Calibri" w:hAnsi="Calibri"/>
          <w:bCs/>
        </w:rPr>
        <w:t>less than</w:t>
      </w:r>
      <w:r w:rsidRPr="004E50E7">
        <w:rPr>
          <w:rFonts w:ascii="Calibri" w:hAnsi="Calibri"/>
          <w:bCs/>
        </w:rPr>
        <w:t xml:space="preserve"> the 80% of </w:t>
      </w:r>
      <w:r w:rsidR="00A64A05">
        <w:rPr>
          <w:rFonts w:ascii="Calibri" w:hAnsi="Calibri"/>
          <w:bCs/>
        </w:rPr>
        <w:t xml:space="preserve">the 2021 </w:t>
      </w:r>
      <w:r w:rsidRPr="004E50E7">
        <w:rPr>
          <w:rFonts w:ascii="Calibri" w:hAnsi="Calibri"/>
          <w:bCs/>
        </w:rPr>
        <w:t>area median income level.</w:t>
      </w:r>
    </w:p>
    <w:p w14:paraId="5D22E4D4" w14:textId="77777777" w:rsidR="00E4042A" w:rsidRDefault="00E4042A" w:rsidP="008772FC">
      <w:pPr>
        <w:pStyle w:val="BodyTextIndent"/>
        <w:spacing w:after="0"/>
        <w:ind w:left="0" w:right="-720"/>
        <w:jc w:val="center"/>
        <w:rPr>
          <w:rFonts w:ascii="Calibri" w:hAnsi="Calibri"/>
          <w:b/>
          <w:sz w:val="22"/>
          <w:szCs w:val="22"/>
        </w:rPr>
      </w:pPr>
    </w:p>
    <w:p w14:paraId="1C899F74" w14:textId="78FA9C31" w:rsidR="00E4042A" w:rsidRDefault="00E4042A" w:rsidP="008772FC">
      <w:pPr>
        <w:pStyle w:val="BodyTextIndent"/>
        <w:spacing w:after="0"/>
        <w:ind w:left="0" w:right="-720"/>
        <w:jc w:val="center"/>
        <w:rPr>
          <w:rFonts w:ascii="Calibri" w:hAnsi="Calibri"/>
          <w:b/>
          <w:sz w:val="22"/>
          <w:szCs w:val="22"/>
        </w:rPr>
      </w:pPr>
    </w:p>
    <w:p w14:paraId="4146FF82" w14:textId="77777777" w:rsidR="001A0DF6" w:rsidRDefault="001A0DF6" w:rsidP="008772FC">
      <w:pPr>
        <w:pStyle w:val="BodyTextIndent"/>
        <w:spacing w:after="0"/>
        <w:ind w:left="0" w:right="-720"/>
        <w:jc w:val="center"/>
        <w:rPr>
          <w:rFonts w:ascii="Calibri" w:hAnsi="Calibri"/>
          <w:b/>
          <w:sz w:val="22"/>
          <w:szCs w:val="22"/>
        </w:rPr>
      </w:pPr>
    </w:p>
    <w:p w14:paraId="0F6779A9" w14:textId="77777777" w:rsidR="00E4042A" w:rsidRDefault="00E4042A" w:rsidP="008772FC">
      <w:pPr>
        <w:pStyle w:val="BodyTextIndent"/>
        <w:spacing w:after="0"/>
        <w:ind w:left="0" w:right="-720"/>
        <w:jc w:val="center"/>
        <w:rPr>
          <w:rFonts w:ascii="Calibri" w:hAnsi="Calibri"/>
          <w:b/>
          <w:sz w:val="22"/>
          <w:szCs w:val="22"/>
        </w:rPr>
      </w:pPr>
    </w:p>
    <w:p w14:paraId="613EA2A1" w14:textId="1ACEB870" w:rsidR="00E4042A" w:rsidRDefault="00E4042A" w:rsidP="008772FC">
      <w:pPr>
        <w:pStyle w:val="BodyTextIndent"/>
        <w:spacing w:after="0"/>
        <w:ind w:left="0" w:right="-720"/>
        <w:jc w:val="center"/>
        <w:rPr>
          <w:rFonts w:ascii="Calibri" w:hAnsi="Calibri"/>
          <w:b/>
          <w:sz w:val="22"/>
          <w:szCs w:val="22"/>
        </w:rPr>
      </w:pPr>
    </w:p>
    <w:p w14:paraId="0786730A" w14:textId="4BF7EBA6" w:rsidR="00827A3A" w:rsidRDefault="00827A3A" w:rsidP="008772FC">
      <w:pPr>
        <w:pStyle w:val="BodyTextIndent"/>
        <w:spacing w:after="0"/>
        <w:ind w:left="0" w:right="-720"/>
        <w:jc w:val="center"/>
        <w:rPr>
          <w:rFonts w:ascii="Calibri" w:hAnsi="Calibri"/>
          <w:b/>
          <w:sz w:val="22"/>
          <w:szCs w:val="22"/>
        </w:rPr>
      </w:pPr>
    </w:p>
    <w:p w14:paraId="01180ECF" w14:textId="77777777" w:rsidR="00827A3A" w:rsidRDefault="00827A3A" w:rsidP="008772FC">
      <w:pPr>
        <w:pStyle w:val="BodyTextIndent"/>
        <w:spacing w:after="0"/>
        <w:ind w:left="0" w:right="-720"/>
        <w:jc w:val="center"/>
        <w:rPr>
          <w:rFonts w:ascii="Calibri" w:hAnsi="Calibri"/>
          <w:b/>
          <w:sz w:val="22"/>
          <w:szCs w:val="22"/>
        </w:rPr>
      </w:pPr>
    </w:p>
    <w:p w14:paraId="6D1D4D26" w14:textId="77777777" w:rsidR="00E4042A" w:rsidRDefault="00E4042A" w:rsidP="008772FC">
      <w:pPr>
        <w:pStyle w:val="BodyTextIndent"/>
        <w:spacing w:after="0"/>
        <w:ind w:left="0" w:right="-720"/>
        <w:jc w:val="center"/>
        <w:rPr>
          <w:rFonts w:ascii="Calibri" w:hAnsi="Calibri"/>
          <w:b/>
          <w:sz w:val="22"/>
          <w:szCs w:val="22"/>
        </w:rPr>
      </w:pPr>
    </w:p>
    <w:p w14:paraId="738F31FA" w14:textId="77777777" w:rsidR="00E4042A" w:rsidRDefault="00E4042A" w:rsidP="008772FC">
      <w:pPr>
        <w:pStyle w:val="BodyTextIndent"/>
        <w:spacing w:after="0"/>
        <w:ind w:left="0" w:right="-720"/>
        <w:jc w:val="center"/>
        <w:rPr>
          <w:rFonts w:ascii="Calibri" w:hAnsi="Calibri"/>
          <w:b/>
          <w:sz w:val="22"/>
          <w:szCs w:val="22"/>
        </w:rPr>
      </w:pPr>
    </w:p>
    <w:p w14:paraId="5210649A" w14:textId="5EB01B2B" w:rsidR="008772FC" w:rsidRPr="009B15B8" w:rsidRDefault="008772FC" w:rsidP="008772FC">
      <w:pPr>
        <w:pStyle w:val="BodyTextIndent"/>
        <w:spacing w:after="0"/>
        <w:ind w:left="0" w:right="-720"/>
        <w:jc w:val="center"/>
        <w:rPr>
          <w:rFonts w:ascii="Calibri" w:hAnsi="Calibri"/>
          <w:b/>
          <w:sz w:val="22"/>
          <w:szCs w:val="22"/>
        </w:rPr>
      </w:pPr>
      <w:r w:rsidRPr="009B15B8">
        <w:rPr>
          <w:rFonts w:ascii="Calibri" w:hAnsi="Calibri"/>
          <w:b/>
          <w:sz w:val="22"/>
          <w:szCs w:val="22"/>
        </w:rPr>
        <w:t xml:space="preserve">Table </w:t>
      </w:r>
      <w:r w:rsidR="00182CAF">
        <w:rPr>
          <w:rFonts w:ascii="Calibri" w:hAnsi="Calibri"/>
          <w:b/>
          <w:sz w:val="22"/>
          <w:szCs w:val="22"/>
        </w:rPr>
        <w:t>III-16</w:t>
      </w:r>
      <w:r w:rsidRPr="009B15B8">
        <w:rPr>
          <w:rFonts w:ascii="Calibri" w:hAnsi="Calibri"/>
          <w:b/>
          <w:sz w:val="22"/>
          <w:szCs w:val="22"/>
        </w:rPr>
        <w:t>: Income Distribution by Owner and Renter Households, 2000 and 20</w:t>
      </w:r>
      <w:r w:rsidR="00423090">
        <w:rPr>
          <w:rFonts w:ascii="Calibri" w:hAnsi="Calibri"/>
          <w:b/>
          <w:sz w:val="22"/>
          <w:szCs w:val="22"/>
        </w:rPr>
        <w:t>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900"/>
        <w:gridCol w:w="870"/>
        <w:gridCol w:w="6"/>
        <w:gridCol w:w="924"/>
        <w:gridCol w:w="832"/>
        <w:gridCol w:w="968"/>
        <w:gridCol w:w="900"/>
        <w:gridCol w:w="7"/>
        <w:gridCol w:w="893"/>
        <w:gridCol w:w="828"/>
      </w:tblGrid>
      <w:tr w:rsidR="008772FC" w:rsidRPr="004E50E7" w14:paraId="10621C9E" w14:textId="77777777" w:rsidTr="008F2513">
        <w:trPr>
          <w:cantSplit/>
        </w:trPr>
        <w:tc>
          <w:tcPr>
            <w:tcW w:w="1620" w:type="dxa"/>
            <w:vMerge w:val="restart"/>
            <w:tcBorders>
              <w:top w:val="single" w:sz="4" w:space="0" w:color="auto"/>
              <w:left w:val="single" w:sz="4" w:space="0" w:color="auto"/>
            </w:tcBorders>
          </w:tcPr>
          <w:p w14:paraId="59F05A23" w14:textId="77777777" w:rsidR="008772FC" w:rsidRPr="004E50E7" w:rsidRDefault="008772FC" w:rsidP="008F2513">
            <w:pPr>
              <w:pStyle w:val="CommentText"/>
              <w:spacing w:line="240" w:lineRule="auto"/>
              <w:rPr>
                <w:rFonts w:ascii="Calibri" w:hAnsi="Calibri"/>
              </w:rPr>
            </w:pPr>
          </w:p>
          <w:p w14:paraId="74BECF1F" w14:textId="77777777" w:rsidR="008772FC" w:rsidRPr="004E50E7" w:rsidRDefault="008772FC" w:rsidP="008F2513">
            <w:pPr>
              <w:rPr>
                <w:rFonts w:ascii="Calibri" w:hAnsi="Calibri"/>
                <w:b/>
                <w:bCs/>
              </w:rPr>
            </w:pPr>
            <w:r w:rsidRPr="004E50E7">
              <w:rPr>
                <w:rFonts w:ascii="Calibri" w:hAnsi="Calibri"/>
                <w:b/>
                <w:bCs/>
                <w:sz w:val="22"/>
              </w:rPr>
              <w:t>Income Range</w:t>
            </w:r>
          </w:p>
        </w:tc>
        <w:tc>
          <w:tcPr>
            <w:tcW w:w="3532" w:type="dxa"/>
            <w:gridSpan w:val="5"/>
          </w:tcPr>
          <w:p w14:paraId="571CD35E" w14:textId="77777777" w:rsidR="008772FC" w:rsidRPr="004E50E7" w:rsidRDefault="008772FC" w:rsidP="008F2513">
            <w:pPr>
              <w:jc w:val="center"/>
              <w:rPr>
                <w:rFonts w:ascii="Calibri" w:hAnsi="Calibri"/>
                <w:b/>
                <w:bCs/>
              </w:rPr>
            </w:pPr>
            <w:r w:rsidRPr="004E50E7">
              <w:rPr>
                <w:rFonts w:ascii="Calibri" w:hAnsi="Calibri"/>
                <w:b/>
                <w:bCs/>
                <w:sz w:val="22"/>
              </w:rPr>
              <w:t>Homeowners</w:t>
            </w:r>
          </w:p>
        </w:tc>
        <w:tc>
          <w:tcPr>
            <w:tcW w:w="3596" w:type="dxa"/>
            <w:gridSpan w:val="5"/>
          </w:tcPr>
          <w:p w14:paraId="07E5A7C6" w14:textId="77777777" w:rsidR="008772FC" w:rsidRPr="004E50E7" w:rsidRDefault="008772FC" w:rsidP="008F2513">
            <w:pPr>
              <w:jc w:val="center"/>
              <w:rPr>
                <w:rFonts w:ascii="Calibri" w:hAnsi="Calibri"/>
                <w:b/>
                <w:bCs/>
              </w:rPr>
            </w:pPr>
            <w:r w:rsidRPr="004E50E7">
              <w:rPr>
                <w:rFonts w:ascii="Calibri" w:hAnsi="Calibri"/>
                <w:b/>
                <w:bCs/>
                <w:sz w:val="22"/>
              </w:rPr>
              <w:t xml:space="preserve">Renters </w:t>
            </w:r>
          </w:p>
        </w:tc>
      </w:tr>
      <w:tr w:rsidR="008772FC" w:rsidRPr="004E50E7" w14:paraId="0A94F203" w14:textId="77777777" w:rsidTr="0044066F">
        <w:trPr>
          <w:cantSplit/>
        </w:trPr>
        <w:tc>
          <w:tcPr>
            <w:tcW w:w="1620" w:type="dxa"/>
            <w:vMerge/>
            <w:tcBorders>
              <w:left w:val="single" w:sz="4" w:space="0" w:color="auto"/>
            </w:tcBorders>
          </w:tcPr>
          <w:p w14:paraId="1EF08A07" w14:textId="77777777" w:rsidR="008772FC" w:rsidRPr="004E50E7" w:rsidRDefault="008772FC" w:rsidP="008F2513">
            <w:pPr>
              <w:rPr>
                <w:rFonts w:ascii="Calibri" w:hAnsi="Calibri"/>
              </w:rPr>
            </w:pPr>
          </w:p>
        </w:tc>
        <w:tc>
          <w:tcPr>
            <w:tcW w:w="1776" w:type="dxa"/>
            <w:gridSpan w:val="3"/>
          </w:tcPr>
          <w:p w14:paraId="0CEC03F7" w14:textId="77777777" w:rsidR="008772FC" w:rsidRPr="004E50E7" w:rsidRDefault="008772FC" w:rsidP="008F2513">
            <w:pPr>
              <w:pStyle w:val="Footer"/>
              <w:jc w:val="center"/>
              <w:rPr>
                <w:rFonts w:ascii="Calibri" w:hAnsi="Calibri"/>
                <w:b/>
                <w:bCs/>
              </w:rPr>
            </w:pPr>
            <w:r w:rsidRPr="004E50E7">
              <w:rPr>
                <w:rFonts w:ascii="Calibri" w:hAnsi="Calibri"/>
                <w:b/>
                <w:bCs/>
                <w:sz w:val="22"/>
              </w:rPr>
              <w:t>2000</w:t>
            </w:r>
          </w:p>
        </w:tc>
        <w:tc>
          <w:tcPr>
            <w:tcW w:w="1756" w:type="dxa"/>
            <w:gridSpan w:val="2"/>
            <w:shd w:val="clear" w:color="auto" w:fill="auto"/>
          </w:tcPr>
          <w:p w14:paraId="5560D0E7" w14:textId="314EB8FE" w:rsidR="008772FC" w:rsidRPr="004E50E7" w:rsidRDefault="0044066F" w:rsidP="008F2513">
            <w:pPr>
              <w:jc w:val="center"/>
              <w:rPr>
                <w:rFonts w:ascii="Calibri" w:hAnsi="Calibri"/>
                <w:b/>
                <w:bCs/>
              </w:rPr>
            </w:pPr>
            <w:r>
              <w:rPr>
                <w:rFonts w:ascii="Calibri" w:hAnsi="Calibri"/>
                <w:b/>
                <w:bCs/>
                <w:sz w:val="22"/>
              </w:rPr>
              <w:t>20</w:t>
            </w:r>
            <w:r w:rsidR="00423090">
              <w:rPr>
                <w:rFonts w:ascii="Calibri" w:hAnsi="Calibri"/>
                <w:b/>
                <w:bCs/>
                <w:sz w:val="22"/>
              </w:rPr>
              <w:t>20</w:t>
            </w:r>
          </w:p>
        </w:tc>
        <w:tc>
          <w:tcPr>
            <w:tcW w:w="1868" w:type="dxa"/>
            <w:gridSpan w:val="2"/>
          </w:tcPr>
          <w:p w14:paraId="7E3B1444" w14:textId="77777777" w:rsidR="008772FC" w:rsidRPr="004E50E7" w:rsidRDefault="008772FC" w:rsidP="008F2513">
            <w:pPr>
              <w:jc w:val="center"/>
              <w:rPr>
                <w:rFonts w:ascii="Calibri" w:hAnsi="Calibri"/>
                <w:b/>
                <w:bCs/>
              </w:rPr>
            </w:pPr>
            <w:r w:rsidRPr="004E50E7">
              <w:rPr>
                <w:rFonts w:ascii="Calibri" w:hAnsi="Calibri"/>
                <w:b/>
                <w:bCs/>
                <w:sz w:val="22"/>
              </w:rPr>
              <w:t>2000</w:t>
            </w:r>
          </w:p>
        </w:tc>
        <w:tc>
          <w:tcPr>
            <w:tcW w:w="1728" w:type="dxa"/>
            <w:gridSpan w:val="3"/>
            <w:shd w:val="clear" w:color="auto" w:fill="auto"/>
          </w:tcPr>
          <w:p w14:paraId="3B85798D" w14:textId="6385D0AC" w:rsidR="008772FC" w:rsidRPr="004E50E7" w:rsidRDefault="0044066F" w:rsidP="008F2513">
            <w:pPr>
              <w:jc w:val="center"/>
              <w:rPr>
                <w:rFonts w:ascii="Calibri" w:hAnsi="Calibri"/>
                <w:b/>
                <w:bCs/>
              </w:rPr>
            </w:pPr>
            <w:r>
              <w:rPr>
                <w:rFonts w:ascii="Calibri" w:hAnsi="Calibri"/>
                <w:b/>
                <w:bCs/>
                <w:sz w:val="22"/>
              </w:rPr>
              <w:t>20</w:t>
            </w:r>
            <w:r w:rsidR="00423090">
              <w:rPr>
                <w:rFonts w:ascii="Calibri" w:hAnsi="Calibri"/>
                <w:b/>
                <w:bCs/>
                <w:sz w:val="22"/>
              </w:rPr>
              <w:t>20</w:t>
            </w:r>
          </w:p>
        </w:tc>
      </w:tr>
      <w:tr w:rsidR="00404785" w:rsidRPr="004E50E7" w14:paraId="084FFB90" w14:textId="77777777" w:rsidTr="0044066F">
        <w:trPr>
          <w:cantSplit/>
        </w:trPr>
        <w:tc>
          <w:tcPr>
            <w:tcW w:w="1620" w:type="dxa"/>
            <w:vMerge/>
            <w:tcBorders>
              <w:left w:val="single" w:sz="4" w:space="0" w:color="auto"/>
            </w:tcBorders>
          </w:tcPr>
          <w:p w14:paraId="0F152420" w14:textId="77777777" w:rsidR="00404785" w:rsidRPr="004E50E7" w:rsidRDefault="00404785" w:rsidP="008F2513">
            <w:pPr>
              <w:rPr>
                <w:rFonts w:ascii="Calibri" w:hAnsi="Calibri"/>
              </w:rPr>
            </w:pPr>
          </w:p>
        </w:tc>
        <w:tc>
          <w:tcPr>
            <w:tcW w:w="900" w:type="dxa"/>
          </w:tcPr>
          <w:p w14:paraId="39179A98" w14:textId="77777777" w:rsidR="00404785" w:rsidRPr="004E50E7" w:rsidRDefault="00404785" w:rsidP="008F2513">
            <w:pPr>
              <w:pStyle w:val="Footer"/>
              <w:jc w:val="center"/>
              <w:rPr>
                <w:rFonts w:ascii="Calibri" w:hAnsi="Calibri"/>
                <w:b/>
                <w:bCs/>
              </w:rPr>
            </w:pPr>
            <w:r w:rsidRPr="004E50E7">
              <w:rPr>
                <w:rFonts w:ascii="Calibri" w:hAnsi="Calibri"/>
                <w:b/>
                <w:bCs/>
                <w:sz w:val="22"/>
              </w:rPr>
              <w:t>#</w:t>
            </w:r>
          </w:p>
        </w:tc>
        <w:tc>
          <w:tcPr>
            <w:tcW w:w="876" w:type="dxa"/>
            <w:gridSpan w:val="2"/>
          </w:tcPr>
          <w:p w14:paraId="5992912F" w14:textId="77777777" w:rsidR="00404785" w:rsidRPr="004E50E7" w:rsidRDefault="00404785" w:rsidP="008F2513">
            <w:pPr>
              <w:pStyle w:val="Footer"/>
              <w:jc w:val="center"/>
              <w:rPr>
                <w:rFonts w:ascii="Calibri" w:hAnsi="Calibri"/>
                <w:b/>
                <w:bCs/>
              </w:rPr>
            </w:pPr>
            <w:r w:rsidRPr="004E50E7">
              <w:rPr>
                <w:rFonts w:ascii="Calibri" w:hAnsi="Calibri"/>
                <w:b/>
                <w:bCs/>
                <w:sz w:val="22"/>
              </w:rPr>
              <w:t>%</w:t>
            </w:r>
          </w:p>
        </w:tc>
        <w:tc>
          <w:tcPr>
            <w:tcW w:w="924" w:type="dxa"/>
            <w:shd w:val="clear" w:color="auto" w:fill="auto"/>
          </w:tcPr>
          <w:p w14:paraId="66D89B5A" w14:textId="77777777" w:rsidR="00404785" w:rsidRPr="004E50E7" w:rsidRDefault="00404785" w:rsidP="00880F3D">
            <w:pPr>
              <w:pStyle w:val="Footer"/>
              <w:jc w:val="center"/>
              <w:rPr>
                <w:rFonts w:ascii="Calibri" w:hAnsi="Calibri"/>
                <w:b/>
                <w:bCs/>
              </w:rPr>
            </w:pPr>
            <w:r w:rsidRPr="004E50E7">
              <w:rPr>
                <w:rFonts w:ascii="Calibri" w:hAnsi="Calibri"/>
                <w:b/>
                <w:bCs/>
                <w:sz w:val="22"/>
              </w:rPr>
              <w:t>#</w:t>
            </w:r>
          </w:p>
        </w:tc>
        <w:tc>
          <w:tcPr>
            <w:tcW w:w="832" w:type="dxa"/>
            <w:shd w:val="clear" w:color="auto" w:fill="auto"/>
          </w:tcPr>
          <w:p w14:paraId="1ECCBF63" w14:textId="77777777" w:rsidR="00404785" w:rsidRPr="004E50E7" w:rsidRDefault="00404785" w:rsidP="00880F3D">
            <w:pPr>
              <w:pStyle w:val="Footer"/>
              <w:jc w:val="center"/>
              <w:rPr>
                <w:rFonts w:ascii="Calibri" w:hAnsi="Calibri"/>
                <w:b/>
                <w:bCs/>
              </w:rPr>
            </w:pPr>
            <w:r w:rsidRPr="004E50E7">
              <w:rPr>
                <w:rFonts w:ascii="Calibri" w:hAnsi="Calibri"/>
                <w:b/>
                <w:bCs/>
                <w:sz w:val="22"/>
              </w:rPr>
              <w:t>%</w:t>
            </w:r>
          </w:p>
        </w:tc>
        <w:tc>
          <w:tcPr>
            <w:tcW w:w="968" w:type="dxa"/>
          </w:tcPr>
          <w:p w14:paraId="2FD6FDD3" w14:textId="77777777" w:rsidR="00404785" w:rsidRPr="004E50E7" w:rsidRDefault="00404785" w:rsidP="008F2513">
            <w:pPr>
              <w:jc w:val="center"/>
              <w:rPr>
                <w:rFonts w:ascii="Calibri" w:hAnsi="Calibri"/>
                <w:b/>
                <w:bCs/>
              </w:rPr>
            </w:pPr>
            <w:r w:rsidRPr="004E50E7">
              <w:rPr>
                <w:rFonts w:ascii="Calibri" w:hAnsi="Calibri"/>
                <w:b/>
                <w:bCs/>
                <w:sz w:val="22"/>
              </w:rPr>
              <w:t>#</w:t>
            </w:r>
          </w:p>
        </w:tc>
        <w:tc>
          <w:tcPr>
            <w:tcW w:w="900" w:type="dxa"/>
          </w:tcPr>
          <w:p w14:paraId="65D45EB8" w14:textId="77777777" w:rsidR="00404785" w:rsidRPr="004E50E7" w:rsidRDefault="00404785" w:rsidP="008F2513">
            <w:pPr>
              <w:jc w:val="center"/>
              <w:rPr>
                <w:rFonts w:ascii="Calibri" w:hAnsi="Calibri"/>
                <w:b/>
                <w:bCs/>
              </w:rPr>
            </w:pPr>
            <w:r w:rsidRPr="004E50E7">
              <w:rPr>
                <w:rFonts w:ascii="Calibri" w:hAnsi="Calibri"/>
                <w:b/>
                <w:bCs/>
                <w:sz w:val="22"/>
              </w:rPr>
              <w:t>%</w:t>
            </w:r>
          </w:p>
        </w:tc>
        <w:tc>
          <w:tcPr>
            <w:tcW w:w="900" w:type="dxa"/>
            <w:gridSpan w:val="2"/>
            <w:shd w:val="clear" w:color="auto" w:fill="auto"/>
          </w:tcPr>
          <w:p w14:paraId="1F42953C" w14:textId="77777777" w:rsidR="00404785" w:rsidRPr="004E50E7" w:rsidRDefault="00404785" w:rsidP="00880F3D">
            <w:pPr>
              <w:pStyle w:val="Footer"/>
              <w:jc w:val="center"/>
              <w:rPr>
                <w:rFonts w:ascii="Calibri" w:hAnsi="Calibri"/>
                <w:b/>
                <w:bCs/>
              </w:rPr>
            </w:pPr>
            <w:r w:rsidRPr="004E50E7">
              <w:rPr>
                <w:rFonts w:ascii="Calibri" w:hAnsi="Calibri"/>
                <w:b/>
                <w:bCs/>
                <w:sz w:val="22"/>
              </w:rPr>
              <w:t>#</w:t>
            </w:r>
          </w:p>
        </w:tc>
        <w:tc>
          <w:tcPr>
            <w:tcW w:w="828" w:type="dxa"/>
            <w:shd w:val="clear" w:color="auto" w:fill="auto"/>
          </w:tcPr>
          <w:p w14:paraId="5863D0D9" w14:textId="77777777" w:rsidR="00404785" w:rsidRPr="004E50E7" w:rsidRDefault="00404785" w:rsidP="00880F3D">
            <w:pPr>
              <w:pStyle w:val="Footer"/>
              <w:jc w:val="center"/>
              <w:rPr>
                <w:rFonts w:ascii="Calibri" w:hAnsi="Calibri"/>
                <w:b/>
                <w:bCs/>
              </w:rPr>
            </w:pPr>
            <w:r w:rsidRPr="004E50E7">
              <w:rPr>
                <w:rFonts w:ascii="Calibri" w:hAnsi="Calibri"/>
                <w:b/>
                <w:bCs/>
                <w:sz w:val="22"/>
              </w:rPr>
              <w:t>%</w:t>
            </w:r>
          </w:p>
        </w:tc>
      </w:tr>
      <w:tr w:rsidR="00404785" w:rsidRPr="004E50E7" w14:paraId="70A8ED5C" w14:textId="77777777" w:rsidTr="0044066F">
        <w:tc>
          <w:tcPr>
            <w:tcW w:w="1620" w:type="dxa"/>
          </w:tcPr>
          <w:p w14:paraId="7F7277E9" w14:textId="77777777" w:rsidR="00404785" w:rsidRPr="004E50E7" w:rsidRDefault="00404785" w:rsidP="008F2513">
            <w:pPr>
              <w:pStyle w:val="BodyTextIndent"/>
              <w:spacing w:after="0"/>
              <w:ind w:left="0" w:right="-720"/>
              <w:rPr>
                <w:rFonts w:ascii="Calibri" w:hAnsi="Calibri"/>
                <w:sz w:val="20"/>
              </w:rPr>
            </w:pPr>
            <w:r w:rsidRPr="004E50E7">
              <w:rPr>
                <w:rFonts w:ascii="Calibri" w:hAnsi="Calibri"/>
                <w:sz w:val="20"/>
              </w:rPr>
              <w:t>Under $10,000</w:t>
            </w:r>
          </w:p>
        </w:tc>
        <w:tc>
          <w:tcPr>
            <w:tcW w:w="900" w:type="dxa"/>
          </w:tcPr>
          <w:p w14:paraId="656F131D" w14:textId="77777777" w:rsidR="00404785" w:rsidRPr="004E50E7" w:rsidRDefault="00691F2E" w:rsidP="008F2513">
            <w:pPr>
              <w:pStyle w:val="FootnoteText"/>
              <w:rPr>
                <w:rFonts w:ascii="Calibri" w:hAnsi="Calibri"/>
                <w:szCs w:val="24"/>
              </w:rPr>
            </w:pPr>
            <w:r>
              <w:rPr>
                <w:rFonts w:ascii="Calibri" w:hAnsi="Calibri"/>
                <w:szCs w:val="24"/>
              </w:rPr>
              <w:t>177</w:t>
            </w:r>
          </w:p>
        </w:tc>
        <w:tc>
          <w:tcPr>
            <w:tcW w:w="876" w:type="dxa"/>
            <w:gridSpan w:val="2"/>
          </w:tcPr>
          <w:p w14:paraId="713D27E8" w14:textId="77777777" w:rsidR="00404785" w:rsidRPr="004E50E7" w:rsidRDefault="00691F2E" w:rsidP="008F2513">
            <w:pPr>
              <w:pStyle w:val="FootnoteText"/>
              <w:rPr>
                <w:rFonts w:ascii="Calibri" w:hAnsi="Calibri"/>
              </w:rPr>
            </w:pPr>
            <w:r>
              <w:rPr>
                <w:rFonts w:ascii="Calibri" w:hAnsi="Calibri"/>
              </w:rPr>
              <w:t>2.1</w:t>
            </w:r>
          </w:p>
        </w:tc>
        <w:tc>
          <w:tcPr>
            <w:tcW w:w="924" w:type="dxa"/>
            <w:shd w:val="clear" w:color="auto" w:fill="auto"/>
          </w:tcPr>
          <w:p w14:paraId="5230F075" w14:textId="053C21CB" w:rsidR="00404785" w:rsidRPr="004E50E7" w:rsidRDefault="00830B9C" w:rsidP="008F2513">
            <w:pPr>
              <w:pStyle w:val="FootnoteText"/>
              <w:rPr>
                <w:rFonts w:ascii="Calibri" w:hAnsi="Calibri"/>
                <w:szCs w:val="24"/>
              </w:rPr>
            </w:pPr>
            <w:r>
              <w:rPr>
                <w:rFonts w:ascii="Calibri" w:hAnsi="Calibri"/>
                <w:szCs w:val="24"/>
              </w:rPr>
              <w:t>106</w:t>
            </w:r>
          </w:p>
        </w:tc>
        <w:tc>
          <w:tcPr>
            <w:tcW w:w="832" w:type="dxa"/>
            <w:shd w:val="clear" w:color="auto" w:fill="auto"/>
          </w:tcPr>
          <w:p w14:paraId="3A85980A" w14:textId="5BA4DE7F" w:rsidR="00404785" w:rsidRPr="004E50E7" w:rsidRDefault="00830B9C" w:rsidP="008F2513">
            <w:pPr>
              <w:rPr>
                <w:rFonts w:ascii="Calibri" w:hAnsi="Calibri"/>
                <w:sz w:val="20"/>
              </w:rPr>
            </w:pPr>
            <w:r>
              <w:rPr>
                <w:rFonts w:ascii="Calibri" w:hAnsi="Calibri"/>
                <w:sz w:val="20"/>
              </w:rPr>
              <w:t>1.2</w:t>
            </w:r>
          </w:p>
        </w:tc>
        <w:tc>
          <w:tcPr>
            <w:tcW w:w="968" w:type="dxa"/>
          </w:tcPr>
          <w:p w14:paraId="322681D0" w14:textId="77777777" w:rsidR="00404785" w:rsidRPr="004E50E7" w:rsidRDefault="00404785" w:rsidP="008F2513">
            <w:pPr>
              <w:rPr>
                <w:rFonts w:ascii="Calibri" w:hAnsi="Calibri"/>
                <w:sz w:val="20"/>
              </w:rPr>
            </w:pPr>
            <w:r w:rsidRPr="004E50E7">
              <w:rPr>
                <w:rFonts w:ascii="Calibri" w:hAnsi="Calibri"/>
                <w:sz w:val="20"/>
              </w:rPr>
              <w:t>292</w:t>
            </w:r>
          </w:p>
        </w:tc>
        <w:tc>
          <w:tcPr>
            <w:tcW w:w="900" w:type="dxa"/>
          </w:tcPr>
          <w:p w14:paraId="0A4EDBA9" w14:textId="77777777" w:rsidR="00404785" w:rsidRPr="004E50E7" w:rsidRDefault="00404785" w:rsidP="008F2513">
            <w:pPr>
              <w:rPr>
                <w:rFonts w:ascii="Calibri" w:hAnsi="Calibri"/>
                <w:sz w:val="20"/>
              </w:rPr>
            </w:pPr>
            <w:r w:rsidRPr="004E50E7">
              <w:rPr>
                <w:rFonts w:ascii="Calibri" w:hAnsi="Calibri"/>
                <w:sz w:val="20"/>
              </w:rPr>
              <w:t>14.4</w:t>
            </w:r>
          </w:p>
        </w:tc>
        <w:tc>
          <w:tcPr>
            <w:tcW w:w="900" w:type="dxa"/>
            <w:gridSpan w:val="2"/>
            <w:shd w:val="clear" w:color="auto" w:fill="auto"/>
          </w:tcPr>
          <w:p w14:paraId="0E4DA6BC" w14:textId="6447E085" w:rsidR="00404785" w:rsidRPr="004E50E7" w:rsidRDefault="00AD05AD" w:rsidP="008F2513">
            <w:pPr>
              <w:rPr>
                <w:rFonts w:ascii="Calibri" w:hAnsi="Calibri"/>
                <w:sz w:val="20"/>
              </w:rPr>
            </w:pPr>
            <w:r>
              <w:rPr>
                <w:rFonts w:ascii="Calibri" w:hAnsi="Calibri"/>
                <w:sz w:val="20"/>
              </w:rPr>
              <w:t>90</w:t>
            </w:r>
          </w:p>
        </w:tc>
        <w:tc>
          <w:tcPr>
            <w:tcW w:w="828" w:type="dxa"/>
            <w:shd w:val="clear" w:color="auto" w:fill="auto"/>
          </w:tcPr>
          <w:p w14:paraId="54022096" w14:textId="7C207EBF" w:rsidR="00404785" w:rsidRPr="004E50E7" w:rsidRDefault="00AD05AD" w:rsidP="008F2513">
            <w:pPr>
              <w:rPr>
                <w:rFonts w:ascii="Calibri" w:hAnsi="Calibri"/>
                <w:sz w:val="20"/>
              </w:rPr>
            </w:pPr>
            <w:r>
              <w:rPr>
                <w:rFonts w:ascii="Calibri" w:hAnsi="Calibri"/>
                <w:sz w:val="20"/>
              </w:rPr>
              <w:t>5.4</w:t>
            </w:r>
          </w:p>
        </w:tc>
      </w:tr>
      <w:tr w:rsidR="00404785" w:rsidRPr="004E50E7" w14:paraId="2209C0EE" w14:textId="77777777" w:rsidTr="0044066F">
        <w:tc>
          <w:tcPr>
            <w:tcW w:w="1620" w:type="dxa"/>
          </w:tcPr>
          <w:p w14:paraId="1BA6DE95" w14:textId="40BC0773"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10,000-24,999</w:t>
            </w:r>
          </w:p>
        </w:tc>
        <w:tc>
          <w:tcPr>
            <w:tcW w:w="900" w:type="dxa"/>
          </w:tcPr>
          <w:p w14:paraId="6BB5ACDA" w14:textId="77777777" w:rsidR="00404785" w:rsidRPr="004E50E7" w:rsidRDefault="00691F2E" w:rsidP="008F2513">
            <w:pPr>
              <w:rPr>
                <w:rFonts w:ascii="Calibri" w:hAnsi="Calibri"/>
                <w:sz w:val="20"/>
              </w:rPr>
            </w:pPr>
            <w:r>
              <w:rPr>
                <w:rFonts w:ascii="Calibri" w:hAnsi="Calibri"/>
                <w:sz w:val="20"/>
              </w:rPr>
              <w:t>420</w:t>
            </w:r>
          </w:p>
        </w:tc>
        <w:tc>
          <w:tcPr>
            <w:tcW w:w="876" w:type="dxa"/>
            <w:gridSpan w:val="2"/>
          </w:tcPr>
          <w:p w14:paraId="33B52646" w14:textId="77777777" w:rsidR="00404785" w:rsidRPr="004E50E7" w:rsidRDefault="00691F2E" w:rsidP="008F2513">
            <w:pPr>
              <w:rPr>
                <w:rFonts w:ascii="Calibri" w:hAnsi="Calibri"/>
                <w:sz w:val="20"/>
              </w:rPr>
            </w:pPr>
            <w:r>
              <w:rPr>
                <w:rFonts w:ascii="Calibri" w:hAnsi="Calibri"/>
                <w:sz w:val="20"/>
              </w:rPr>
              <w:t>4.9</w:t>
            </w:r>
          </w:p>
        </w:tc>
        <w:tc>
          <w:tcPr>
            <w:tcW w:w="924" w:type="dxa"/>
            <w:shd w:val="clear" w:color="auto" w:fill="auto"/>
          </w:tcPr>
          <w:p w14:paraId="478A27AB" w14:textId="5809D1D3" w:rsidR="00404785" w:rsidRPr="004E50E7" w:rsidRDefault="00830B9C" w:rsidP="008F2513">
            <w:pPr>
              <w:rPr>
                <w:rFonts w:ascii="Calibri" w:hAnsi="Calibri"/>
                <w:sz w:val="20"/>
              </w:rPr>
            </w:pPr>
            <w:r>
              <w:rPr>
                <w:rFonts w:ascii="Calibri" w:hAnsi="Calibri"/>
                <w:sz w:val="20"/>
              </w:rPr>
              <w:t>172</w:t>
            </w:r>
          </w:p>
        </w:tc>
        <w:tc>
          <w:tcPr>
            <w:tcW w:w="832" w:type="dxa"/>
            <w:shd w:val="clear" w:color="auto" w:fill="auto"/>
          </w:tcPr>
          <w:p w14:paraId="1A20959A" w14:textId="4F3DD843" w:rsidR="00404785" w:rsidRPr="004E50E7" w:rsidRDefault="00830B9C" w:rsidP="008F2513">
            <w:pPr>
              <w:rPr>
                <w:rFonts w:ascii="Calibri" w:hAnsi="Calibri"/>
                <w:sz w:val="20"/>
              </w:rPr>
            </w:pPr>
            <w:r>
              <w:rPr>
                <w:rFonts w:ascii="Calibri" w:hAnsi="Calibri"/>
                <w:sz w:val="20"/>
              </w:rPr>
              <w:t>1.9</w:t>
            </w:r>
          </w:p>
        </w:tc>
        <w:tc>
          <w:tcPr>
            <w:tcW w:w="968" w:type="dxa"/>
          </w:tcPr>
          <w:p w14:paraId="6F17FD8C" w14:textId="77777777" w:rsidR="00404785" w:rsidRPr="004E50E7" w:rsidRDefault="00404785" w:rsidP="008F2513">
            <w:pPr>
              <w:rPr>
                <w:rFonts w:ascii="Calibri" w:hAnsi="Calibri"/>
                <w:sz w:val="20"/>
              </w:rPr>
            </w:pPr>
            <w:r w:rsidRPr="004E50E7">
              <w:rPr>
                <w:rFonts w:ascii="Calibri" w:hAnsi="Calibri"/>
                <w:sz w:val="20"/>
              </w:rPr>
              <w:t>338</w:t>
            </w:r>
          </w:p>
        </w:tc>
        <w:tc>
          <w:tcPr>
            <w:tcW w:w="900" w:type="dxa"/>
          </w:tcPr>
          <w:p w14:paraId="0666E471" w14:textId="77777777" w:rsidR="00404785" w:rsidRPr="004E50E7" w:rsidRDefault="00404785" w:rsidP="008F2513">
            <w:pPr>
              <w:rPr>
                <w:rFonts w:ascii="Calibri" w:hAnsi="Calibri"/>
                <w:sz w:val="20"/>
              </w:rPr>
            </w:pPr>
            <w:r w:rsidRPr="004E50E7">
              <w:rPr>
                <w:rFonts w:ascii="Calibri" w:hAnsi="Calibri"/>
                <w:sz w:val="20"/>
              </w:rPr>
              <w:t>16.7</w:t>
            </w:r>
          </w:p>
        </w:tc>
        <w:tc>
          <w:tcPr>
            <w:tcW w:w="900" w:type="dxa"/>
            <w:gridSpan w:val="2"/>
            <w:shd w:val="clear" w:color="auto" w:fill="auto"/>
          </w:tcPr>
          <w:p w14:paraId="34566AD7" w14:textId="6B39D095" w:rsidR="00404785" w:rsidRPr="004E50E7" w:rsidRDefault="00AD05AD" w:rsidP="008F2513">
            <w:pPr>
              <w:rPr>
                <w:rFonts w:ascii="Calibri" w:hAnsi="Calibri"/>
                <w:sz w:val="20"/>
              </w:rPr>
            </w:pPr>
            <w:r>
              <w:rPr>
                <w:rFonts w:ascii="Calibri" w:hAnsi="Calibri"/>
                <w:sz w:val="20"/>
              </w:rPr>
              <w:t>257</w:t>
            </w:r>
          </w:p>
        </w:tc>
        <w:tc>
          <w:tcPr>
            <w:tcW w:w="828" w:type="dxa"/>
            <w:shd w:val="clear" w:color="auto" w:fill="auto"/>
          </w:tcPr>
          <w:p w14:paraId="724D7EE3" w14:textId="23C74258" w:rsidR="00404785" w:rsidRPr="004E50E7" w:rsidRDefault="00AD05AD" w:rsidP="008F2513">
            <w:pPr>
              <w:rPr>
                <w:rFonts w:ascii="Calibri" w:hAnsi="Calibri"/>
                <w:sz w:val="20"/>
              </w:rPr>
            </w:pPr>
            <w:r>
              <w:rPr>
                <w:rFonts w:ascii="Calibri" w:hAnsi="Calibri"/>
                <w:sz w:val="20"/>
              </w:rPr>
              <w:t>15.4</w:t>
            </w:r>
          </w:p>
        </w:tc>
      </w:tr>
      <w:tr w:rsidR="00404785" w:rsidRPr="004E50E7" w14:paraId="03BD7BDF" w14:textId="77777777" w:rsidTr="0044066F">
        <w:tc>
          <w:tcPr>
            <w:tcW w:w="1620" w:type="dxa"/>
          </w:tcPr>
          <w:p w14:paraId="6B3B24AE" w14:textId="08769468"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25,000-34,999</w:t>
            </w:r>
          </w:p>
        </w:tc>
        <w:tc>
          <w:tcPr>
            <w:tcW w:w="900" w:type="dxa"/>
          </w:tcPr>
          <w:p w14:paraId="56FB0638" w14:textId="77777777" w:rsidR="00404785" w:rsidRPr="004E50E7" w:rsidRDefault="00691F2E" w:rsidP="008F2513">
            <w:pPr>
              <w:rPr>
                <w:rFonts w:ascii="Calibri" w:hAnsi="Calibri"/>
                <w:sz w:val="20"/>
              </w:rPr>
            </w:pPr>
            <w:r>
              <w:rPr>
                <w:rFonts w:ascii="Calibri" w:hAnsi="Calibri"/>
                <w:sz w:val="20"/>
              </w:rPr>
              <w:t>501</w:t>
            </w:r>
          </w:p>
        </w:tc>
        <w:tc>
          <w:tcPr>
            <w:tcW w:w="876" w:type="dxa"/>
            <w:gridSpan w:val="2"/>
          </w:tcPr>
          <w:p w14:paraId="772A7878" w14:textId="77777777" w:rsidR="00404785" w:rsidRPr="004E50E7" w:rsidRDefault="00691F2E" w:rsidP="008F2513">
            <w:pPr>
              <w:rPr>
                <w:rFonts w:ascii="Calibri" w:hAnsi="Calibri"/>
                <w:sz w:val="20"/>
              </w:rPr>
            </w:pPr>
            <w:r>
              <w:rPr>
                <w:rFonts w:ascii="Calibri" w:hAnsi="Calibri"/>
                <w:sz w:val="20"/>
              </w:rPr>
              <w:t>5.8</w:t>
            </w:r>
          </w:p>
        </w:tc>
        <w:tc>
          <w:tcPr>
            <w:tcW w:w="924" w:type="dxa"/>
            <w:shd w:val="clear" w:color="auto" w:fill="auto"/>
          </w:tcPr>
          <w:p w14:paraId="335C838A" w14:textId="109CE682" w:rsidR="00404785" w:rsidRPr="004E50E7" w:rsidRDefault="00830B9C" w:rsidP="008F2513">
            <w:pPr>
              <w:rPr>
                <w:rFonts w:ascii="Calibri" w:hAnsi="Calibri"/>
                <w:sz w:val="20"/>
              </w:rPr>
            </w:pPr>
            <w:r>
              <w:rPr>
                <w:rFonts w:ascii="Calibri" w:hAnsi="Calibri"/>
                <w:sz w:val="20"/>
              </w:rPr>
              <w:t>235</w:t>
            </w:r>
          </w:p>
        </w:tc>
        <w:tc>
          <w:tcPr>
            <w:tcW w:w="832" w:type="dxa"/>
            <w:shd w:val="clear" w:color="auto" w:fill="auto"/>
          </w:tcPr>
          <w:p w14:paraId="7F2F06FE" w14:textId="5C811165" w:rsidR="00404785" w:rsidRPr="004E50E7" w:rsidRDefault="00830B9C" w:rsidP="008F2513">
            <w:pPr>
              <w:rPr>
                <w:rFonts w:ascii="Calibri" w:hAnsi="Calibri"/>
                <w:sz w:val="20"/>
              </w:rPr>
            </w:pPr>
            <w:r>
              <w:rPr>
                <w:rFonts w:ascii="Calibri" w:hAnsi="Calibri"/>
                <w:sz w:val="20"/>
              </w:rPr>
              <w:t>2.6</w:t>
            </w:r>
          </w:p>
        </w:tc>
        <w:tc>
          <w:tcPr>
            <w:tcW w:w="968" w:type="dxa"/>
          </w:tcPr>
          <w:p w14:paraId="4A2C3183" w14:textId="77777777" w:rsidR="00404785" w:rsidRPr="004E50E7" w:rsidRDefault="00404785" w:rsidP="008F2513">
            <w:pPr>
              <w:rPr>
                <w:rFonts w:ascii="Calibri" w:hAnsi="Calibri"/>
                <w:sz w:val="20"/>
              </w:rPr>
            </w:pPr>
            <w:r w:rsidRPr="004E50E7">
              <w:rPr>
                <w:rFonts w:ascii="Calibri" w:hAnsi="Calibri"/>
                <w:sz w:val="20"/>
              </w:rPr>
              <w:t>201</w:t>
            </w:r>
          </w:p>
        </w:tc>
        <w:tc>
          <w:tcPr>
            <w:tcW w:w="900" w:type="dxa"/>
          </w:tcPr>
          <w:p w14:paraId="1C745685" w14:textId="77777777" w:rsidR="00404785" w:rsidRPr="004E50E7" w:rsidRDefault="00404785" w:rsidP="008F2513">
            <w:pPr>
              <w:rPr>
                <w:rFonts w:ascii="Calibri" w:hAnsi="Calibri"/>
                <w:sz w:val="20"/>
              </w:rPr>
            </w:pPr>
            <w:r w:rsidRPr="004E50E7">
              <w:rPr>
                <w:rFonts w:ascii="Calibri" w:hAnsi="Calibri"/>
                <w:sz w:val="20"/>
              </w:rPr>
              <w:t>9.9</w:t>
            </w:r>
          </w:p>
        </w:tc>
        <w:tc>
          <w:tcPr>
            <w:tcW w:w="900" w:type="dxa"/>
            <w:gridSpan w:val="2"/>
            <w:shd w:val="clear" w:color="auto" w:fill="auto"/>
          </w:tcPr>
          <w:p w14:paraId="3627DD52" w14:textId="11F5A6D7" w:rsidR="00404785" w:rsidRPr="004E50E7" w:rsidRDefault="00AD05AD" w:rsidP="008F2513">
            <w:pPr>
              <w:rPr>
                <w:rFonts w:ascii="Calibri" w:hAnsi="Calibri"/>
                <w:sz w:val="20"/>
              </w:rPr>
            </w:pPr>
            <w:r>
              <w:rPr>
                <w:rFonts w:ascii="Calibri" w:hAnsi="Calibri"/>
                <w:sz w:val="20"/>
              </w:rPr>
              <w:t>297</w:t>
            </w:r>
          </w:p>
        </w:tc>
        <w:tc>
          <w:tcPr>
            <w:tcW w:w="828" w:type="dxa"/>
            <w:shd w:val="clear" w:color="auto" w:fill="auto"/>
          </w:tcPr>
          <w:p w14:paraId="326264B0" w14:textId="4073CBB0" w:rsidR="00404785" w:rsidRPr="004E50E7" w:rsidRDefault="00AD05AD" w:rsidP="008F2513">
            <w:pPr>
              <w:rPr>
                <w:rFonts w:ascii="Calibri" w:hAnsi="Calibri"/>
                <w:sz w:val="20"/>
              </w:rPr>
            </w:pPr>
            <w:r>
              <w:rPr>
                <w:rFonts w:ascii="Calibri" w:hAnsi="Calibri"/>
                <w:sz w:val="20"/>
              </w:rPr>
              <w:t>17.8</w:t>
            </w:r>
          </w:p>
        </w:tc>
      </w:tr>
      <w:tr w:rsidR="00404785" w:rsidRPr="004E50E7" w14:paraId="2442FE25" w14:textId="77777777" w:rsidTr="0044066F">
        <w:tc>
          <w:tcPr>
            <w:tcW w:w="1620" w:type="dxa"/>
          </w:tcPr>
          <w:p w14:paraId="1745DBE0" w14:textId="48281426"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35,000-49,999</w:t>
            </w:r>
          </w:p>
        </w:tc>
        <w:tc>
          <w:tcPr>
            <w:tcW w:w="900" w:type="dxa"/>
          </w:tcPr>
          <w:p w14:paraId="6E10ED40" w14:textId="77777777" w:rsidR="00404785" w:rsidRPr="004E50E7" w:rsidRDefault="00691F2E" w:rsidP="008F2513">
            <w:pPr>
              <w:rPr>
                <w:rFonts w:ascii="Calibri" w:hAnsi="Calibri"/>
                <w:sz w:val="20"/>
              </w:rPr>
            </w:pPr>
            <w:r>
              <w:rPr>
                <w:rFonts w:ascii="Calibri" w:hAnsi="Calibri"/>
                <w:sz w:val="20"/>
              </w:rPr>
              <w:t>607</w:t>
            </w:r>
          </w:p>
        </w:tc>
        <w:tc>
          <w:tcPr>
            <w:tcW w:w="876" w:type="dxa"/>
            <w:gridSpan w:val="2"/>
          </w:tcPr>
          <w:p w14:paraId="1A6A9807" w14:textId="77777777" w:rsidR="00404785" w:rsidRPr="004E50E7" w:rsidRDefault="00691F2E" w:rsidP="008F2513">
            <w:pPr>
              <w:rPr>
                <w:rFonts w:ascii="Calibri" w:hAnsi="Calibri"/>
                <w:sz w:val="20"/>
              </w:rPr>
            </w:pPr>
            <w:r>
              <w:rPr>
                <w:rFonts w:ascii="Calibri" w:hAnsi="Calibri"/>
                <w:sz w:val="20"/>
              </w:rPr>
              <w:t>7.1</w:t>
            </w:r>
          </w:p>
        </w:tc>
        <w:tc>
          <w:tcPr>
            <w:tcW w:w="924" w:type="dxa"/>
            <w:shd w:val="clear" w:color="auto" w:fill="auto"/>
          </w:tcPr>
          <w:p w14:paraId="06570E0D" w14:textId="202C56BC" w:rsidR="00404785" w:rsidRPr="004E50E7" w:rsidRDefault="00830B9C" w:rsidP="008F2513">
            <w:pPr>
              <w:rPr>
                <w:rFonts w:ascii="Calibri" w:hAnsi="Calibri"/>
                <w:sz w:val="20"/>
              </w:rPr>
            </w:pPr>
            <w:r>
              <w:rPr>
                <w:rFonts w:ascii="Calibri" w:hAnsi="Calibri"/>
                <w:sz w:val="20"/>
              </w:rPr>
              <w:t>267</w:t>
            </w:r>
          </w:p>
        </w:tc>
        <w:tc>
          <w:tcPr>
            <w:tcW w:w="832" w:type="dxa"/>
            <w:shd w:val="clear" w:color="auto" w:fill="auto"/>
          </w:tcPr>
          <w:p w14:paraId="54C2C377" w14:textId="6E6CA339" w:rsidR="00404785" w:rsidRPr="004E50E7" w:rsidRDefault="00830B9C" w:rsidP="008F2513">
            <w:pPr>
              <w:rPr>
                <w:rFonts w:ascii="Calibri" w:hAnsi="Calibri"/>
                <w:sz w:val="20"/>
              </w:rPr>
            </w:pPr>
            <w:r>
              <w:rPr>
                <w:rFonts w:ascii="Calibri" w:hAnsi="Calibri"/>
                <w:sz w:val="20"/>
              </w:rPr>
              <w:t>2.9</w:t>
            </w:r>
          </w:p>
        </w:tc>
        <w:tc>
          <w:tcPr>
            <w:tcW w:w="968" w:type="dxa"/>
          </w:tcPr>
          <w:p w14:paraId="4ED195A7" w14:textId="77777777" w:rsidR="00404785" w:rsidRPr="004E50E7" w:rsidRDefault="00404785" w:rsidP="008F2513">
            <w:pPr>
              <w:rPr>
                <w:rFonts w:ascii="Calibri" w:hAnsi="Calibri"/>
                <w:sz w:val="20"/>
              </w:rPr>
            </w:pPr>
            <w:r w:rsidRPr="004E50E7">
              <w:rPr>
                <w:rFonts w:ascii="Calibri" w:hAnsi="Calibri"/>
                <w:sz w:val="20"/>
              </w:rPr>
              <w:t>308</w:t>
            </w:r>
          </w:p>
        </w:tc>
        <w:tc>
          <w:tcPr>
            <w:tcW w:w="900" w:type="dxa"/>
          </w:tcPr>
          <w:p w14:paraId="5967174F" w14:textId="77777777" w:rsidR="00404785" w:rsidRPr="004E50E7" w:rsidRDefault="00404785" w:rsidP="008F2513">
            <w:pPr>
              <w:rPr>
                <w:rFonts w:ascii="Calibri" w:hAnsi="Calibri"/>
                <w:sz w:val="20"/>
              </w:rPr>
            </w:pPr>
            <w:r w:rsidRPr="004E50E7">
              <w:rPr>
                <w:rFonts w:ascii="Calibri" w:hAnsi="Calibri"/>
                <w:sz w:val="20"/>
              </w:rPr>
              <w:t>15.2</w:t>
            </w:r>
          </w:p>
        </w:tc>
        <w:tc>
          <w:tcPr>
            <w:tcW w:w="900" w:type="dxa"/>
            <w:gridSpan w:val="2"/>
            <w:shd w:val="clear" w:color="auto" w:fill="auto"/>
          </w:tcPr>
          <w:p w14:paraId="62F62443" w14:textId="18EBFE14" w:rsidR="00404785" w:rsidRPr="004E50E7" w:rsidRDefault="00AD05AD" w:rsidP="008F2513">
            <w:pPr>
              <w:rPr>
                <w:rFonts w:ascii="Calibri" w:hAnsi="Calibri"/>
                <w:sz w:val="20"/>
              </w:rPr>
            </w:pPr>
            <w:r>
              <w:rPr>
                <w:rFonts w:ascii="Calibri" w:hAnsi="Calibri"/>
                <w:sz w:val="20"/>
              </w:rPr>
              <w:t>209</w:t>
            </w:r>
          </w:p>
        </w:tc>
        <w:tc>
          <w:tcPr>
            <w:tcW w:w="828" w:type="dxa"/>
            <w:shd w:val="clear" w:color="auto" w:fill="auto"/>
          </w:tcPr>
          <w:p w14:paraId="17DA1421" w14:textId="0E70A708" w:rsidR="00404785" w:rsidRPr="004E50E7" w:rsidRDefault="00AD05AD" w:rsidP="008F2513">
            <w:pPr>
              <w:rPr>
                <w:rFonts w:ascii="Calibri" w:hAnsi="Calibri"/>
                <w:sz w:val="20"/>
              </w:rPr>
            </w:pPr>
            <w:r>
              <w:rPr>
                <w:rFonts w:ascii="Calibri" w:hAnsi="Calibri"/>
                <w:sz w:val="20"/>
              </w:rPr>
              <w:t>12.5</w:t>
            </w:r>
          </w:p>
        </w:tc>
      </w:tr>
      <w:tr w:rsidR="00404785" w:rsidRPr="004E50E7" w14:paraId="32B4F757" w14:textId="77777777" w:rsidTr="0044066F">
        <w:trPr>
          <w:cantSplit/>
        </w:trPr>
        <w:tc>
          <w:tcPr>
            <w:tcW w:w="1620" w:type="dxa"/>
          </w:tcPr>
          <w:p w14:paraId="391CA836" w14:textId="4499E2C0"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50,000-74,999</w:t>
            </w:r>
          </w:p>
        </w:tc>
        <w:tc>
          <w:tcPr>
            <w:tcW w:w="900" w:type="dxa"/>
          </w:tcPr>
          <w:p w14:paraId="1B6DE022" w14:textId="77777777" w:rsidR="00404785" w:rsidRPr="004E50E7" w:rsidRDefault="00691F2E" w:rsidP="008F2513">
            <w:pPr>
              <w:rPr>
                <w:rFonts w:ascii="Calibri" w:hAnsi="Calibri"/>
                <w:sz w:val="20"/>
              </w:rPr>
            </w:pPr>
            <w:r>
              <w:rPr>
                <w:rFonts w:ascii="Calibri" w:hAnsi="Calibri"/>
                <w:sz w:val="20"/>
              </w:rPr>
              <w:t>1,316</w:t>
            </w:r>
          </w:p>
        </w:tc>
        <w:tc>
          <w:tcPr>
            <w:tcW w:w="876" w:type="dxa"/>
            <w:gridSpan w:val="2"/>
          </w:tcPr>
          <w:p w14:paraId="613C3AE3" w14:textId="77777777" w:rsidR="00404785" w:rsidRPr="004E50E7" w:rsidRDefault="00691F2E" w:rsidP="008F2513">
            <w:pPr>
              <w:rPr>
                <w:rFonts w:ascii="Calibri" w:hAnsi="Calibri"/>
                <w:sz w:val="20"/>
              </w:rPr>
            </w:pPr>
            <w:r>
              <w:rPr>
                <w:rFonts w:ascii="Calibri" w:hAnsi="Calibri"/>
                <w:sz w:val="20"/>
              </w:rPr>
              <w:t>15.3</w:t>
            </w:r>
          </w:p>
        </w:tc>
        <w:tc>
          <w:tcPr>
            <w:tcW w:w="924" w:type="dxa"/>
            <w:shd w:val="clear" w:color="auto" w:fill="auto"/>
          </w:tcPr>
          <w:p w14:paraId="5EABFBB1" w14:textId="0B108657" w:rsidR="00404785" w:rsidRPr="004E50E7" w:rsidRDefault="00830B9C" w:rsidP="008F2513">
            <w:pPr>
              <w:rPr>
                <w:rFonts w:ascii="Calibri" w:hAnsi="Calibri"/>
                <w:sz w:val="20"/>
              </w:rPr>
            </w:pPr>
            <w:r>
              <w:rPr>
                <w:rFonts w:ascii="Calibri" w:hAnsi="Calibri"/>
                <w:sz w:val="20"/>
              </w:rPr>
              <w:t xml:space="preserve">670 </w:t>
            </w:r>
          </w:p>
        </w:tc>
        <w:tc>
          <w:tcPr>
            <w:tcW w:w="832" w:type="dxa"/>
            <w:shd w:val="clear" w:color="auto" w:fill="auto"/>
          </w:tcPr>
          <w:p w14:paraId="06E39E5B" w14:textId="13FE69BC" w:rsidR="00404785" w:rsidRPr="004E50E7" w:rsidRDefault="00830B9C" w:rsidP="008F2513">
            <w:pPr>
              <w:rPr>
                <w:rFonts w:ascii="Calibri" w:hAnsi="Calibri"/>
                <w:sz w:val="20"/>
              </w:rPr>
            </w:pPr>
            <w:r>
              <w:rPr>
                <w:rFonts w:ascii="Calibri" w:hAnsi="Calibri"/>
                <w:sz w:val="20"/>
              </w:rPr>
              <w:t>7.4</w:t>
            </w:r>
          </w:p>
        </w:tc>
        <w:tc>
          <w:tcPr>
            <w:tcW w:w="968" w:type="dxa"/>
          </w:tcPr>
          <w:p w14:paraId="653EAF7F" w14:textId="77777777" w:rsidR="00404785" w:rsidRPr="004E50E7" w:rsidRDefault="00404785" w:rsidP="008F2513">
            <w:pPr>
              <w:rPr>
                <w:rFonts w:ascii="Calibri" w:hAnsi="Calibri"/>
                <w:sz w:val="20"/>
              </w:rPr>
            </w:pPr>
            <w:r w:rsidRPr="004E50E7">
              <w:rPr>
                <w:rFonts w:ascii="Calibri" w:hAnsi="Calibri"/>
                <w:sz w:val="20"/>
              </w:rPr>
              <w:t>411</w:t>
            </w:r>
          </w:p>
        </w:tc>
        <w:tc>
          <w:tcPr>
            <w:tcW w:w="900" w:type="dxa"/>
          </w:tcPr>
          <w:p w14:paraId="30DF7BF2" w14:textId="77777777" w:rsidR="00404785" w:rsidRPr="004E50E7" w:rsidRDefault="00404785" w:rsidP="008F2513">
            <w:pPr>
              <w:rPr>
                <w:rFonts w:ascii="Calibri" w:hAnsi="Calibri"/>
                <w:sz w:val="20"/>
              </w:rPr>
            </w:pPr>
            <w:r w:rsidRPr="004E50E7">
              <w:rPr>
                <w:rFonts w:ascii="Calibri" w:hAnsi="Calibri"/>
                <w:sz w:val="20"/>
              </w:rPr>
              <w:t>20.3</w:t>
            </w:r>
          </w:p>
        </w:tc>
        <w:tc>
          <w:tcPr>
            <w:tcW w:w="900" w:type="dxa"/>
            <w:gridSpan w:val="2"/>
            <w:shd w:val="clear" w:color="auto" w:fill="auto"/>
          </w:tcPr>
          <w:p w14:paraId="08A2C078" w14:textId="376F2000" w:rsidR="00404785" w:rsidRPr="004E50E7" w:rsidRDefault="00AD05AD" w:rsidP="008F2513">
            <w:pPr>
              <w:pStyle w:val="FootnoteText"/>
              <w:rPr>
                <w:rFonts w:ascii="Calibri" w:hAnsi="Calibri"/>
                <w:szCs w:val="24"/>
              </w:rPr>
            </w:pPr>
            <w:r>
              <w:rPr>
                <w:rFonts w:ascii="Calibri" w:hAnsi="Calibri"/>
                <w:szCs w:val="24"/>
              </w:rPr>
              <w:t>145</w:t>
            </w:r>
          </w:p>
        </w:tc>
        <w:tc>
          <w:tcPr>
            <w:tcW w:w="828" w:type="dxa"/>
            <w:shd w:val="clear" w:color="auto" w:fill="auto"/>
          </w:tcPr>
          <w:p w14:paraId="66BE6EFE" w14:textId="0FEF61CD" w:rsidR="00404785" w:rsidRPr="004E50E7" w:rsidRDefault="00AD05AD" w:rsidP="008F2513">
            <w:pPr>
              <w:rPr>
                <w:rFonts w:ascii="Calibri" w:hAnsi="Calibri"/>
                <w:sz w:val="20"/>
              </w:rPr>
            </w:pPr>
            <w:r>
              <w:rPr>
                <w:rFonts w:ascii="Calibri" w:hAnsi="Calibri"/>
                <w:sz w:val="20"/>
              </w:rPr>
              <w:t>8.7</w:t>
            </w:r>
          </w:p>
        </w:tc>
      </w:tr>
      <w:tr w:rsidR="00404785" w:rsidRPr="004E50E7" w14:paraId="176A5626" w14:textId="77777777" w:rsidTr="0044066F">
        <w:trPr>
          <w:cantSplit/>
        </w:trPr>
        <w:tc>
          <w:tcPr>
            <w:tcW w:w="1620" w:type="dxa"/>
          </w:tcPr>
          <w:p w14:paraId="6381A21D" w14:textId="5E9CBDA2"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75,000-99,999</w:t>
            </w:r>
          </w:p>
        </w:tc>
        <w:tc>
          <w:tcPr>
            <w:tcW w:w="900" w:type="dxa"/>
          </w:tcPr>
          <w:p w14:paraId="7F3526BF" w14:textId="77777777" w:rsidR="00404785" w:rsidRPr="004E50E7" w:rsidRDefault="00691F2E" w:rsidP="008F2513">
            <w:pPr>
              <w:rPr>
                <w:rFonts w:ascii="Calibri" w:hAnsi="Calibri"/>
                <w:sz w:val="20"/>
              </w:rPr>
            </w:pPr>
            <w:r>
              <w:rPr>
                <w:rFonts w:ascii="Calibri" w:hAnsi="Calibri"/>
                <w:sz w:val="20"/>
              </w:rPr>
              <w:t>1,230</w:t>
            </w:r>
          </w:p>
        </w:tc>
        <w:tc>
          <w:tcPr>
            <w:tcW w:w="876" w:type="dxa"/>
            <w:gridSpan w:val="2"/>
          </w:tcPr>
          <w:p w14:paraId="351C6306" w14:textId="77777777" w:rsidR="00404785" w:rsidRPr="004E50E7" w:rsidRDefault="00691F2E" w:rsidP="008F2513">
            <w:pPr>
              <w:rPr>
                <w:rFonts w:ascii="Calibri" w:hAnsi="Calibri"/>
                <w:sz w:val="20"/>
              </w:rPr>
            </w:pPr>
            <w:r>
              <w:rPr>
                <w:rFonts w:ascii="Calibri" w:hAnsi="Calibri"/>
                <w:sz w:val="20"/>
              </w:rPr>
              <w:t>14.3</w:t>
            </w:r>
          </w:p>
        </w:tc>
        <w:tc>
          <w:tcPr>
            <w:tcW w:w="924" w:type="dxa"/>
            <w:shd w:val="clear" w:color="auto" w:fill="auto"/>
          </w:tcPr>
          <w:p w14:paraId="1D0FBDEA" w14:textId="68224D8B" w:rsidR="00404785" w:rsidRPr="004E50E7" w:rsidRDefault="00830B9C" w:rsidP="008F2513">
            <w:pPr>
              <w:rPr>
                <w:rFonts w:ascii="Calibri" w:hAnsi="Calibri"/>
                <w:sz w:val="20"/>
              </w:rPr>
            </w:pPr>
            <w:r>
              <w:rPr>
                <w:rFonts w:ascii="Calibri" w:hAnsi="Calibri"/>
                <w:sz w:val="20"/>
              </w:rPr>
              <w:t>578</w:t>
            </w:r>
          </w:p>
        </w:tc>
        <w:tc>
          <w:tcPr>
            <w:tcW w:w="832" w:type="dxa"/>
            <w:shd w:val="clear" w:color="auto" w:fill="auto"/>
          </w:tcPr>
          <w:p w14:paraId="7FF58096" w14:textId="00BF175D" w:rsidR="00404785" w:rsidRPr="004E50E7" w:rsidRDefault="00830B9C" w:rsidP="008F2513">
            <w:pPr>
              <w:rPr>
                <w:rFonts w:ascii="Calibri" w:hAnsi="Calibri"/>
                <w:sz w:val="20"/>
              </w:rPr>
            </w:pPr>
            <w:r>
              <w:rPr>
                <w:rFonts w:ascii="Calibri" w:hAnsi="Calibri"/>
                <w:sz w:val="20"/>
              </w:rPr>
              <w:t>6.4</w:t>
            </w:r>
          </w:p>
        </w:tc>
        <w:tc>
          <w:tcPr>
            <w:tcW w:w="968" w:type="dxa"/>
          </w:tcPr>
          <w:p w14:paraId="0852FEBF" w14:textId="77777777" w:rsidR="00404785" w:rsidRPr="004E50E7" w:rsidRDefault="00404785" w:rsidP="008F2513">
            <w:pPr>
              <w:rPr>
                <w:rFonts w:ascii="Calibri" w:hAnsi="Calibri"/>
                <w:sz w:val="20"/>
              </w:rPr>
            </w:pPr>
            <w:r w:rsidRPr="004E50E7">
              <w:rPr>
                <w:rFonts w:ascii="Calibri" w:hAnsi="Calibri"/>
                <w:sz w:val="20"/>
              </w:rPr>
              <w:t>120</w:t>
            </w:r>
          </w:p>
        </w:tc>
        <w:tc>
          <w:tcPr>
            <w:tcW w:w="900" w:type="dxa"/>
          </w:tcPr>
          <w:p w14:paraId="7303896D" w14:textId="77777777" w:rsidR="00404785" w:rsidRPr="004E50E7" w:rsidRDefault="00404785" w:rsidP="008F2513">
            <w:pPr>
              <w:rPr>
                <w:rFonts w:ascii="Calibri" w:hAnsi="Calibri"/>
                <w:sz w:val="20"/>
              </w:rPr>
            </w:pPr>
            <w:r w:rsidRPr="004E50E7">
              <w:rPr>
                <w:rFonts w:ascii="Calibri" w:hAnsi="Calibri"/>
                <w:sz w:val="20"/>
              </w:rPr>
              <w:t>5.9</w:t>
            </w:r>
          </w:p>
        </w:tc>
        <w:tc>
          <w:tcPr>
            <w:tcW w:w="900" w:type="dxa"/>
            <w:gridSpan w:val="2"/>
            <w:shd w:val="clear" w:color="auto" w:fill="auto"/>
          </w:tcPr>
          <w:p w14:paraId="69BC0299" w14:textId="08994453" w:rsidR="00404785" w:rsidRPr="004E50E7" w:rsidRDefault="00AD05AD" w:rsidP="008F2513">
            <w:pPr>
              <w:rPr>
                <w:rFonts w:ascii="Calibri" w:hAnsi="Calibri"/>
                <w:sz w:val="20"/>
              </w:rPr>
            </w:pPr>
            <w:r>
              <w:rPr>
                <w:rFonts w:ascii="Calibri" w:hAnsi="Calibri"/>
                <w:sz w:val="20"/>
              </w:rPr>
              <w:t>255</w:t>
            </w:r>
          </w:p>
        </w:tc>
        <w:tc>
          <w:tcPr>
            <w:tcW w:w="828" w:type="dxa"/>
            <w:shd w:val="clear" w:color="auto" w:fill="auto"/>
          </w:tcPr>
          <w:p w14:paraId="6CBC85EA" w14:textId="78F9C565" w:rsidR="00404785" w:rsidRPr="004E50E7" w:rsidRDefault="00AD05AD" w:rsidP="008F2513">
            <w:pPr>
              <w:rPr>
                <w:rFonts w:ascii="Calibri" w:hAnsi="Calibri"/>
                <w:sz w:val="20"/>
              </w:rPr>
            </w:pPr>
            <w:r>
              <w:rPr>
                <w:rFonts w:ascii="Calibri" w:hAnsi="Calibri"/>
                <w:sz w:val="20"/>
              </w:rPr>
              <w:t>15.2</w:t>
            </w:r>
          </w:p>
        </w:tc>
      </w:tr>
      <w:tr w:rsidR="00404785" w:rsidRPr="004E50E7" w14:paraId="7CFB73F2" w14:textId="77777777" w:rsidTr="0044066F">
        <w:trPr>
          <w:cantSplit/>
        </w:trPr>
        <w:tc>
          <w:tcPr>
            <w:tcW w:w="1620" w:type="dxa"/>
          </w:tcPr>
          <w:p w14:paraId="6577B842" w14:textId="3E23E08B"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100,000-149,999</w:t>
            </w:r>
          </w:p>
        </w:tc>
        <w:tc>
          <w:tcPr>
            <w:tcW w:w="900" w:type="dxa"/>
          </w:tcPr>
          <w:p w14:paraId="3CE4AE9E" w14:textId="77777777" w:rsidR="00404785" w:rsidRPr="004E50E7" w:rsidRDefault="00691F2E" w:rsidP="008F2513">
            <w:pPr>
              <w:rPr>
                <w:rFonts w:ascii="Calibri" w:hAnsi="Calibri"/>
                <w:sz w:val="20"/>
              </w:rPr>
            </w:pPr>
            <w:r>
              <w:rPr>
                <w:rFonts w:ascii="Calibri" w:hAnsi="Calibri"/>
                <w:sz w:val="20"/>
              </w:rPr>
              <w:t>1,954</w:t>
            </w:r>
          </w:p>
        </w:tc>
        <w:tc>
          <w:tcPr>
            <w:tcW w:w="876" w:type="dxa"/>
            <w:gridSpan w:val="2"/>
          </w:tcPr>
          <w:p w14:paraId="2C0BB9CB" w14:textId="77777777" w:rsidR="00404785" w:rsidRPr="004E50E7" w:rsidRDefault="00691F2E" w:rsidP="008F2513">
            <w:pPr>
              <w:rPr>
                <w:rFonts w:ascii="Calibri" w:hAnsi="Calibri"/>
                <w:sz w:val="20"/>
              </w:rPr>
            </w:pPr>
            <w:r>
              <w:rPr>
                <w:rFonts w:ascii="Calibri" w:hAnsi="Calibri"/>
                <w:sz w:val="20"/>
              </w:rPr>
              <w:t>22.8</w:t>
            </w:r>
          </w:p>
        </w:tc>
        <w:tc>
          <w:tcPr>
            <w:tcW w:w="924" w:type="dxa"/>
            <w:shd w:val="clear" w:color="auto" w:fill="auto"/>
          </w:tcPr>
          <w:p w14:paraId="58E364C8" w14:textId="2EF87FA9" w:rsidR="00404785" w:rsidRPr="004E50E7" w:rsidRDefault="00830B9C" w:rsidP="008F2513">
            <w:pPr>
              <w:rPr>
                <w:rFonts w:ascii="Calibri" w:hAnsi="Calibri"/>
                <w:sz w:val="20"/>
              </w:rPr>
            </w:pPr>
            <w:r>
              <w:rPr>
                <w:rFonts w:ascii="Calibri" w:hAnsi="Calibri"/>
                <w:sz w:val="20"/>
              </w:rPr>
              <w:t>1,383</w:t>
            </w:r>
          </w:p>
        </w:tc>
        <w:tc>
          <w:tcPr>
            <w:tcW w:w="832" w:type="dxa"/>
            <w:shd w:val="clear" w:color="auto" w:fill="auto"/>
          </w:tcPr>
          <w:p w14:paraId="269E23CD" w14:textId="22F814BA" w:rsidR="00404785" w:rsidRPr="004E50E7" w:rsidRDefault="00830B9C" w:rsidP="008F2513">
            <w:pPr>
              <w:rPr>
                <w:rFonts w:ascii="Calibri" w:hAnsi="Calibri"/>
                <w:sz w:val="20"/>
              </w:rPr>
            </w:pPr>
            <w:r>
              <w:rPr>
                <w:rFonts w:ascii="Calibri" w:hAnsi="Calibri"/>
                <w:sz w:val="20"/>
              </w:rPr>
              <w:t>15.2</w:t>
            </w:r>
          </w:p>
        </w:tc>
        <w:tc>
          <w:tcPr>
            <w:tcW w:w="968" w:type="dxa"/>
          </w:tcPr>
          <w:p w14:paraId="1BD02C78" w14:textId="77777777" w:rsidR="00404785" w:rsidRPr="004E50E7" w:rsidRDefault="00404785" w:rsidP="008F2513">
            <w:pPr>
              <w:rPr>
                <w:rFonts w:ascii="Calibri" w:hAnsi="Calibri"/>
                <w:sz w:val="20"/>
              </w:rPr>
            </w:pPr>
            <w:r w:rsidRPr="004E50E7">
              <w:rPr>
                <w:rFonts w:ascii="Calibri" w:hAnsi="Calibri"/>
                <w:sz w:val="20"/>
              </w:rPr>
              <w:t>193</w:t>
            </w:r>
          </w:p>
        </w:tc>
        <w:tc>
          <w:tcPr>
            <w:tcW w:w="900" w:type="dxa"/>
          </w:tcPr>
          <w:p w14:paraId="1C46A587" w14:textId="77777777" w:rsidR="00404785" w:rsidRPr="004E50E7" w:rsidRDefault="00404785" w:rsidP="008F2513">
            <w:pPr>
              <w:rPr>
                <w:rFonts w:ascii="Calibri" w:hAnsi="Calibri"/>
                <w:sz w:val="20"/>
              </w:rPr>
            </w:pPr>
            <w:r w:rsidRPr="004E50E7">
              <w:rPr>
                <w:rFonts w:ascii="Calibri" w:hAnsi="Calibri"/>
                <w:sz w:val="20"/>
              </w:rPr>
              <w:t>9.5</w:t>
            </w:r>
          </w:p>
        </w:tc>
        <w:tc>
          <w:tcPr>
            <w:tcW w:w="900" w:type="dxa"/>
            <w:gridSpan w:val="2"/>
            <w:shd w:val="clear" w:color="auto" w:fill="auto"/>
          </w:tcPr>
          <w:p w14:paraId="5D48ECC8" w14:textId="7BA8FF6F" w:rsidR="00404785" w:rsidRPr="004E50E7" w:rsidRDefault="00AD05AD" w:rsidP="008F2513">
            <w:pPr>
              <w:rPr>
                <w:rFonts w:ascii="Calibri" w:hAnsi="Calibri"/>
                <w:sz w:val="20"/>
              </w:rPr>
            </w:pPr>
            <w:r>
              <w:rPr>
                <w:rFonts w:ascii="Calibri" w:hAnsi="Calibri"/>
                <w:sz w:val="20"/>
              </w:rPr>
              <w:t>158</w:t>
            </w:r>
          </w:p>
        </w:tc>
        <w:tc>
          <w:tcPr>
            <w:tcW w:w="828" w:type="dxa"/>
            <w:shd w:val="clear" w:color="auto" w:fill="auto"/>
          </w:tcPr>
          <w:p w14:paraId="51B08C19" w14:textId="05C5A302" w:rsidR="00404785" w:rsidRPr="004E50E7" w:rsidRDefault="00AD05AD" w:rsidP="008F2513">
            <w:pPr>
              <w:rPr>
                <w:rFonts w:ascii="Calibri" w:hAnsi="Calibri"/>
                <w:sz w:val="20"/>
              </w:rPr>
            </w:pPr>
            <w:r>
              <w:rPr>
                <w:rFonts w:ascii="Calibri" w:hAnsi="Calibri"/>
                <w:sz w:val="20"/>
              </w:rPr>
              <w:t>9.4</w:t>
            </w:r>
          </w:p>
        </w:tc>
      </w:tr>
      <w:tr w:rsidR="00404785" w:rsidRPr="004E50E7" w14:paraId="59A287AA" w14:textId="77777777" w:rsidTr="0044066F">
        <w:trPr>
          <w:cantSplit/>
        </w:trPr>
        <w:tc>
          <w:tcPr>
            <w:tcW w:w="1620" w:type="dxa"/>
          </w:tcPr>
          <w:p w14:paraId="559BF516" w14:textId="016A1588" w:rsidR="00404785" w:rsidRPr="004E50E7" w:rsidRDefault="00FE57DE" w:rsidP="008F2513">
            <w:pPr>
              <w:pStyle w:val="BodyTextIndent"/>
              <w:spacing w:after="0"/>
              <w:ind w:left="0" w:right="-720"/>
              <w:rPr>
                <w:rFonts w:ascii="Calibri" w:hAnsi="Calibri"/>
                <w:sz w:val="20"/>
              </w:rPr>
            </w:pPr>
            <w:r>
              <w:rPr>
                <w:rFonts w:ascii="Calibri" w:hAnsi="Calibri"/>
                <w:sz w:val="20"/>
              </w:rPr>
              <w:t>$</w:t>
            </w:r>
            <w:r w:rsidR="00404785" w:rsidRPr="004E50E7">
              <w:rPr>
                <w:rFonts w:ascii="Calibri" w:hAnsi="Calibri"/>
                <w:sz w:val="20"/>
              </w:rPr>
              <w:t>150,000 +</w:t>
            </w:r>
          </w:p>
        </w:tc>
        <w:tc>
          <w:tcPr>
            <w:tcW w:w="900" w:type="dxa"/>
          </w:tcPr>
          <w:p w14:paraId="5B1635AA" w14:textId="77777777" w:rsidR="00404785" w:rsidRPr="004E50E7" w:rsidRDefault="00691F2E" w:rsidP="008F2513">
            <w:pPr>
              <w:rPr>
                <w:rFonts w:ascii="Calibri" w:hAnsi="Calibri"/>
                <w:sz w:val="20"/>
              </w:rPr>
            </w:pPr>
            <w:r>
              <w:rPr>
                <w:rFonts w:ascii="Calibri" w:hAnsi="Calibri"/>
                <w:sz w:val="20"/>
              </w:rPr>
              <w:t>2,379</w:t>
            </w:r>
          </w:p>
        </w:tc>
        <w:tc>
          <w:tcPr>
            <w:tcW w:w="876" w:type="dxa"/>
            <w:gridSpan w:val="2"/>
          </w:tcPr>
          <w:p w14:paraId="7E15B171" w14:textId="77777777" w:rsidR="00404785" w:rsidRPr="004E50E7" w:rsidRDefault="00691F2E" w:rsidP="008F2513">
            <w:pPr>
              <w:rPr>
                <w:rFonts w:ascii="Calibri" w:hAnsi="Calibri"/>
                <w:sz w:val="20"/>
              </w:rPr>
            </w:pPr>
            <w:r>
              <w:rPr>
                <w:rFonts w:ascii="Calibri" w:hAnsi="Calibri"/>
                <w:sz w:val="20"/>
              </w:rPr>
              <w:t>27.7</w:t>
            </w:r>
          </w:p>
        </w:tc>
        <w:tc>
          <w:tcPr>
            <w:tcW w:w="924" w:type="dxa"/>
            <w:shd w:val="clear" w:color="auto" w:fill="auto"/>
          </w:tcPr>
          <w:p w14:paraId="21453177" w14:textId="66B1B163" w:rsidR="00404785" w:rsidRPr="004E50E7" w:rsidRDefault="00830B9C" w:rsidP="008F2513">
            <w:pPr>
              <w:rPr>
                <w:rFonts w:ascii="Calibri" w:hAnsi="Calibri"/>
                <w:sz w:val="20"/>
              </w:rPr>
            </w:pPr>
            <w:r>
              <w:rPr>
                <w:rFonts w:ascii="Calibri" w:hAnsi="Calibri"/>
                <w:sz w:val="20"/>
              </w:rPr>
              <w:t>5,681</w:t>
            </w:r>
          </w:p>
        </w:tc>
        <w:tc>
          <w:tcPr>
            <w:tcW w:w="832" w:type="dxa"/>
            <w:shd w:val="clear" w:color="auto" w:fill="auto"/>
          </w:tcPr>
          <w:p w14:paraId="76876DFB" w14:textId="6EA5515C" w:rsidR="00404785" w:rsidRPr="004E50E7" w:rsidRDefault="00830B9C" w:rsidP="008F2513">
            <w:pPr>
              <w:rPr>
                <w:rFonts w:ascii="Calibri" w:hAnsi="Calibri"/>
                <w:sz w:val="20"/>
              </w:rPr>
            </w:pPr>
            <w:r>
              <w:rPr>
                <w:rFonts w:ascii="Calibri" w:hAnsi="Calibri"/>
                <w:sz w:val="20"/>
              </w:rPr>
              <w:t>62.5</w:t>
            </w:r>
          </w:p>
        </w:tc>
        <w:tc>
          <w:tcPr>
            <w:tcW w:w="968" w:type="dxa"/>
          </w:tcPr>
          <w:p w14:paraId="44932886" w14:textId="77777777" w:rsidR="00404785" w:rsidRPr="004E50E7" w:rsidRDefault="00404785" w:rsidP="008F2513">
            <w:pPr>
              <w:rPr>
                <w:rFonts w:ascii="Calibri" w:hAnsi="Calibri"/>
                <w:sz w:val="20"/>
              </w:rPr>
            </w:pPr>
            <w:r w:rsidRPr="004E50E7">
              <w:rPr>
                <w:rFonts w:ascii="Calibri" w:hAnsi="Calibri"/>
                <w:sz w:val="20"/>
              </w:rPr>
              <w:t>165</w:t>
            </w:r>
          </w:p>
        </w:tc>
        <w:tc>
          <w:tcPr>
            <w:tcW w:w="900" w:type="dxa"/>
          </w:tcPr>
          <w:p w14:paraId="5C867DB6" w14:textId="77777777" w:rsidR="00404785" w:rsidRPr="004E50E7" w:rsidRDefault="00404785" w:rsidP="008F2513">
            <w:pPr>
              <w:rPr>
                <w:rFonts w:ascii="Calibri" w:hAnsi="Calibri"/>
                <w:sz w:val="20"/>
              </w:rPr>
            </w:pPr>
            <w:r w:rsidRPr="004E50E7">
              <w:rPr>
                <w:rFonts w:ascii="Calibri" w:hAnsi="Calibri"/>
                <w:sz w:val="20"/>
              </w:rPr>
              <w:t>8.1</w:t>
            </w:r>
          </w:p>
        </w:tc>
        <w:tc>
          <w:tcPr>
            <w:tcW w:w="900" w:type="dxa"/>
            <w:gridSpan w:val="2"/>
            <w:shd w:val="clear" w:color="auto" w:fill="auto"/>
          </w:tcPr>
          <w:p w14:paraId="2E919193" w14:textId="7549A259" w:rsidR="00404785" w:rsidRPr="004E50E7" w:rsidRDefault="00AD05AD" w:rsidP="008F2513">
            <w:pPr>
              <w:rPr>
                <w:rFonts w:ascii="Calibri" w:hAnsi="Calibri"/>
                <w:sz w:val="20"/>
              </w:rPr>
            </w:pPr>
            <w:r>
              <w:rPr>
                <w:rFonts w:ascii="Calibri" w:hAnsi="Calibri"/>
                <w:sz w:val="20"/>
              </w:rPr>
              <w:t>262</w:t>
            </w:r>
          </w:p>
        </w:tc>
        <w:tc>
          <w:tcPr>
            <w:tcW w:w="828" w:type="dxa"/>
            <w:shd w:val="clear" w:color="auto" w:fill="auto"/>
          </w:tcPr>
          <w:p w14:paraId="218A81CE" w14:textId="39F64736" w:rsidR="00404785" w:rsidRPr="004E50E7" w:rsidRDefault="00AD05AD" w:rsidP="008F2513">
            <w:pPr>
              <w:rPr>
                <w:rFonts w:ascii="Calibri" w:hAnsi="Calibri"/>
                <w:sz w:val="20"/>
              </w:rPr>
            </w:pPr>
            <w:r>
              <w:rPr>
                <w:rFonts w:ascii="Calibri" w:hAnsi="Calibri"/>
                <w:sz w:val="20"/>
              </w:rPr>
              <w:t>15.7</w:t>
            </w:r>
          </w:p>
        </w:tc>
      </w:tr>
      <w:tr w:rsidR="00404785" w:rsidRPr="004E50E7" w14:paraId="5B9BE1A5" w14:textId="77777777" w:rsidTr="0044066F">
        <w:tc>
          <w:tcPr>
            <w:tcW w:w="1620" w:type="dxa"/>
          </w:tcPr>
          <w:p w14:paraId="4B3B57B4" w14:textId="77777777" w:rsidR="00404785" w:rsidRPr="004E50E7" w:rsidRDefault="00404785" w:rsidP="008F2513">
            <w:pPr>
              <w:pStyle w:val="BodyTextIndent"/>
              <w:spacing w:after="0"/>
              <w:ind w:left="0" w:right="-720"/>
              <w:rPr>
                <w:rFonts w:ascii="Calibri" w:hAnsi="Calibri"/>
                <w:sz w:val="20"/>
              </w:rPr>
            </w:pPr>
            <w:r w:rsidRPr="004E50E7">
              <w:rPr>
                <w:rFonts w:ascii="Calibri" w:hAnsi="Calibri"/>
                <w:sz w:val="20"/>
              </w:rPr>
              <w:t>Total</w:t>
            </w:r>
          </w:p>
        </w:tc>
        <w:tc>
          <w:tcPr>
            <w:tcW w:w="900" w:type="dxa"/>
          </w:tcPr>
          <w:p w14:paraId="3EA07127" w14:textId="77777777" w:rsidR="00404785" w:rsidRPr="004E50E7" w:rsidRDefault="00691F2E" w:rsidP="008F2513">
            <w:pPr>
              <w:rPr>
                <w:rFonts w:ascii="Calibri" w:hAnsi="Calibri"/>
                <w:sz w:val="20"/>
              </w:rPr>
            </w:pPr>
            <w:r>
              <w:rPr>
                <w:rFonts w:ascii="Calibri" w:hAnsi="Calibri"/>
                <w:sz w:val="20"/>
              </w:rPr>
              <w:t>8,584</w:t>
            </w:r>
          </w:p>
        </w:tc>
        <w:tc>
          <w:tcPr>
            <w:tcW w:w="876" w:type="dxa"/>
            <w:gridSpan w:val="2"/>
          </w:tcPr>
          <w:p w14:paraId="2C21BA10" w14:textId="77777777" w:rsidR="00404785" w:rsidRPr="004E50E7" w:rsidRDefault="00691F2E" w:rsidP="008F2513">
            <w:pPr>
              <w:pStyle w:val="FootnoteText"/>
              <w:rPr>
                <w:rFonts w:ascii="Calibri" w:hAnsi="Calibri"/>
                <w:szCs w:val="24"/>
              </w:rPr>
            </w:pPr>
            <w:r>
              <w:rPr>
                <w:rFonts w:ascii="Calibri" w:hAnsi="Calibri"/>
                <w:szCs w:val="24"/>
              </w:rPr>
              <w:t>100.0</w:t>
            </w:r>
          </w:p>
        </w:tc>
        <w:tc>
          <w:tcPr>
            <w:tcW w:w="924" w:type="dxa"/>
            <w:shd w:val="clear" w:color="auto" w:fill="auto"/>
          </w:tcPr>
          <w:p w14:paraId="24EBC9F0" w14:textId="7660ED6E" w:rsidR="00404785" w:rsidRPr="004E50E7" w:rsidRDefault="00830B9C" w:rsidP="008F2513">
            <w:pPr>
              <w:rPr>
                <w:rFonts w:ascii="Calibri" w:hAnsi="Calibri"/>
                <w:sz w:val="20"/>
              </w:rPr>
            </w:pPr>
            <w:r>
              <w:rPr>
                <w:rFonts w:ascii="Calibri" w:hAnsi="Calibri"/>
                <w:sz w:val="20"/>
              </w:rPr>
              <w:t>9,092</w:t>
            </w:r>
          </w:p>
        </w:tc>
        <w:tc>
          <w:tcPr>
            <w:tcW w:w="832" w:type="dxa"/>
            <w:shd w:val="clear" w:color="auto" w:fill="auto"/>
          </w:tcPr>
          <w:p w14:paraId="04AEB2AA" w14:textId="4F191B18" w:rsidR="00404785" w:rsidRPr="004E50E7" w:rsidRDefault="00830B9C" w:rsidP="008F2513">
            <w:pPr>
              <w:pStyle w:val="FootnoteText"/>
              <w:rPr>
                <w:rFonts w:ascii="Calibri" w:hAnsi="Calibri"/>
                <w:szCs w:val="24"/>
              </w:rPr>
            </w:pPr>
            <w:r>
              <w:rPr>
                <w:rFonts w:ascii="Calibri" w:hAnsi="Calibri"/>
                <w:szCs w:val="24"/>
              </w:rPr>
              <w:t>100.0</w:t>
            </w:r>
          </w:p>
        </w:tc>
        <w:tc>
          <w:tcPr>
            <w:tcW w:w="968" w:type="dxa"/>
          </w:tcPr>
          <w:p w14:paraId="3D08D942" w14:textId="77777777" w:rsidR="00404785" w:rsidRPr="004E50E7" w:rsidRDefault="00404785" w:rsidP="008F2513">
            <w:pPr>
              <w:rPr>
                <w:rFonts w:ascii="Calibri" w:hAnsi="Calibri"/>
                <w:sz w:val="20"/>
              </w:rPr>
            </w:pPr>
            <w:r w:rsidRPr="004E50E7">
              <w:rPr>
                <w:rFonts w:ascii="Calibri" w:hAnsi="Calibri"/>
                <w:sz w:val="20"/>
              </w:rPr>
              <w:t>2,028</w:t>
            </w:r>
          </w:p>
        </w:tc>
        <w:tc>
          <w:tcPr>
            <w:tcW w:w="900" w:type="dxa"/>
          </w:tcPr>
          <w:p w14:paraId="178386FB" w14:textId="77777777" w:rsidR="00404785" w:rsidRPr="004E50E7" w:rsidRDefault="00404785" w:rsidP="008F2513">
            <w:pPr>
              <w:rPr>
                <w:rFonts w:ascii="Calibri" w:hAnsi="Calibri"/>
                <w:sz w:val="20"/>
              </w:rPr>
            </w:pPr>
            <w:r w:rsidRPr="004E50E7">
              <w:rPr>
                <w:rFonts w:ascii="Calibri" w:hAnsi="Calibri"/>
                <w:sz w:val="20"/>
              </w:rPr>
              <w:t>100.0</w:t>
            </w:r>
          </w:p>
        </w:tc>
        <w:tc>
          <w:tcPr>
            <w:tcW w:w="900" w:type="dxa"/>
            <w:gridSpan w:val="2"/>
            <w:shd w:val="clear" w:color="auto" w:fill="auto"/>
          </w:tcPr>
          <w:p w14:paraId="2BDE0208" w14:textId="238FCE18" w:rsidR="00404785" w:rsidRPr="004E50E7" w:rsidRDefault="00830B9C" w:rsidP="008F2513">
            <w:pPr>
              <w:rPr>
                <w:rFonts w:ascii="Calibri" w:hAnsi="Calibri"/>
                <w:sz w:val="20"/>
              </w:rPr>
            </w:pPr>
            <w:r>
              <w:rPr>
                <w:rFonts w:ascii="Calibri" w:hAnsi="Calibri"/>
                <w:sz w:val="20"/>
              </w:rPr>
              <w:t>1,673</w:t>
            </w:r>
          </w:p>
        </w:tc>
        <w:tc>
          <w:tcPr>
            <w:tcW w:w="828" w:type="dxa"/>
            <w:shd w:val="clear" w:color="auto" w:fill="auto"/>
          </w:tcPr>
          <w:p w14:paraId="7F00C53E" w14:textId="0F0A271E" w:rsidR="00404785" w:rsidRPr="004E50E7" w:rsidRDefault="00AD05AD" w:rsidP="008F2513">
            <w:pPr>
              <w:rPr>
                <w:rFonts w:ascii="Calibri" w:hAnsi="Calibri"/>
                <w:sz w:val="20"/>
              </w:rPr>
            </w:pPr>
            <w:r>
              <w:rPr>
                <w:rFonts w:ascii="Calibri" w:hAnsi="Calibri"/>
                <w:sz w:val="20"/>
              </w:rPr>
              <w:t>100.0</w:t>
            </w:r>
          </w:p>
        </w:tc>
      </w:tr>
      <w:tr w:rsidR="00404785" w:rsidRPr="004E50E7" w14:paraId="1AAED951" w14:textId="77777777" w:rsidTr="008324CB">
        <w:trPr>
          <w:cantSplit/>
        </w:trPr>
        <w:tc>
          <w:tcPr>
            <w:tcW w:w="1620" w:type="dxa"/>
          </w:tcPr>
          <w:p w14:paraId="062C562E" w14:textId="77777777" w:rsidR="00404785" w:rsidRPr="004E50E7" w:rsidRDefault="00404785" w:rsidP="0044066F">
            <w:pPr>
              <w:pStyle w:val="BodyTextIndent"/>
              <w:spacing w:after="0"/>
              <w:ind w:left="0" w:right="-720"/>
              <w:rPr>
                <w:rFonts w:ascii="Calibri" w:hAnsi="Calibri"/>
                <w:sz w:val="20"/>
              </w:rPr>
            </w:pPr>
            <w:r w:rsidRPr="004E50E7">
              <w:rPr>
                <w:rFonts w:ascii="Calibri" w:hAnsi="Calibri"/>
                <w:sz w:val="20"/>
              </w:rPr>
              <w:t xml:space="preserve">Median </w:t>
            </w:r>
            <w:r>
              <w:rPr>
                <w:rFonts w:ascii="Calibri" w:hAnsi="Calibri"/>
                <w:sz w:val="20"/>
              </w:rPr>
              <w:t>Income</w:t>
            </w:r>
            <w:r w:rsidRPr="004E50E7">
              <w:rPr>
                <w:rFonts w:ascii="Calibri" w:hAnsi="Calibri"/>
                <w:sz w:val="20"/>
              </w:rPr>
              <w:t xml:space="preserve"> </w:t>
            </w:r>
          </w:p>
        </w:tc>
        <w:tc>
          <w:tcPr>
            <w:tcW w:w="1770" w:type="dxa"/>
            <w:gridSpan w:val="2"/>
            <w:tcBorders>
              <w:bottom w:val="single" w:sz="4" w:space="0" w:color="auto"/>
            </w:tcBorders>
          </w:tcPr>
          <w:p w14:paraId="6DF2D104" w14:textId="77777777" w:rsidR="00404785" w:rsidRPr="004E50E7" w:rsidRDefault="00404785" w:rsidP="00691F2E">
            <w:pPr>
              <w:rPr>
                <w:rFonts w:ascii="Calibri" w:hAnsi="Calibri"/>
                <w:sz w:val="20"/>
              </w:rPr>
            </w:pPr>
            <w:r w:rsidRPr="004E50E7">
              <w:rPr>
                <w:rFonts w:ascii="Calibri" w:hAnsi="Calibri"/>
                <w:sz w:val="20"/>
              </w:rPr>
              <w:t>$</w:t>
            </w:r>
            <w:r w:rsidR="00691F2E">
              <w:rPr>
                <w:rFonts w:ascii="Calibri" w:hAnsi="Calibri"/>
                <w:sz w:val="20"/>
              </w:rPr>
              <w:t>100,732</w:t>
            </w:r>
          </w:p>
        </w:tc>
        <w:tc>
          <w:tcPr>
            <w:tcW w:w="1762" w:type="dxa"/>
            <w:gridSpan w:val="3"/>
            <w:tcBorders>
              <w:bottom w:val="single" w:sz="4" w:space="0" w:color="auto"/>
            </w:tcBorders>
          </w:tcPr>
          <w:p w14:paraId="17496A09" w14:textId="4BE888CF" w:rsidR="00404785" w:rsidRPr="004E50E7" w:rsidRDefault="00423090" w:rsidP="008324CB">
            <w:pPr>
              <w:rPr>
                <w:rFonts w:ascii="Calibri" w:hAnsi="Calibri"/>
                <w:sz w:val="20"/>
              </w:rPr>
            </w:pPr>
            <w:r>
              <w:rPr>
                <w:rFonts w:ascii="Calibri" w:hAnsi="Calibri"/>
                <w:sz w:val="20"/>
              </w:rPr>
              <w:t>$203,690</w:t>
            </w:r>
          </w:p>
        </w:tc>
        <w:tc>
          <w:tcPr>
            <w:tcW w:w="1875" w:type="dxa"/>
            <w:gridSpan w:val="3"/>
            <w:tcBorders>
              <w:top w:val="nil"/>
              <w:bottom w:val="single" w:sz="4" w:space="0" w:color="auto"/>
            </w:tcBorders>
          </w:tcPr>
          <w:p w14:paraId="76759E2D" w14:textId="77777777" w:rsidR="00404785" w:rsidRPr="004E50E7" w:rsidRDefault="00404785" w:rsidP="00691F2E">
            <w:pPr>
              <w:rPr>
                <w:rFonts w:ascii="Calibri" w:hAnsi="Calibri"/>
                <w:sz w:val="20"/>
              </w:rPr>
            </w:pPr>
            <w:r w:rsidRPr="004E50E7">
              <w:rPr>
                <w:rFonts w:ascii="Calibri" w:hAnsi="Calibri"/>
                <w:sz w:val="20"/>
              </w:rPr>
              <w:t>$44,</w:t>
            </w:r>
            <w:r w:rsidR="00691F2E">
              <w:rPr>
                <w:rFonts w:ascii="Calibri" w:hAnsi="Calibri"/>
                <w:sz w:val="20"/>
              </w:rPr>
              <w:t>226</w:t>
            </w:r>
          </w:p>
        </w:tc>
        <w:tc>
          <w:tcPr>
            <w:tcW w:w="1721" w:type="dxa"/>
            <w:gridSpan w:val="2"/>
            <w:tcBorders>
              <w:top w:val="nil"/>
              <w:bottom w:val="single" w:sz="4" w:space="0" w:color="auto"/>
            </w:tcBorders>
          </w:tcPr>
          <w:p w14:paraId="19422C6C" w14:textId="4E508EF4" w:rsidR="00404785" w:rsidRPr="004E50E7" w:rsidRDefault="00423090" w:rsidP="008324CB">
            <w:pPr>
              <w:rPr>
                <w:rFonts w:ascii="Calibri" w:hAnsi="Calibri"/>
                <w:sz w:val="20"/>
              </w:rPr>
            </w:pPr>
            <w:r>
              <w:rPr>
                <w:rFonts w:ascii="Calibri" w:hAnsi="Calibri"/>
                <w:sz w:val="20"/>
              </w:rPr>
              <w:t>$44,361</w:t>
            </w:r>
          </w:p>
        </w:tc>
      </w:tr>
    </w:tbl>
    <w:p w14:paraId="40D3C71A" w14:textId="73808D64" w:rsidR="008772FC" w:rsidRPr="004E50E7" w:rsidRDefault="008772FC" w:rsidP="008772FC">
      <w:pPr>
        <w:pStyle w:val="FootnoteText"/>
        <w:rPr>
          <w:rFonts w:ascii="Calibri" w:hAnsi="Calibri"/>
          <w:szCs w:val="24"/>
        </w:rPr>
      </w:pPr>
      <w:r w:rsidRPr="004E50E7">
        <w:rPr>
          <w:rFonts w:ascii="Calibri" w:hAnsi="Calibri"/>
        </w:rPr>
        <w:t xml:space="preserve">Source:  U.S. Census Bureau, 2000 Census and </w:t>
      </w:r>
      <w:r w:rsidRPr="004E50E7">
        <w:rPr>
          <w:rFonts w:ascii="Calibri" w:hAnsi="Calibri"/>
          <w:szCs w:val="24"/>
        </w:rPr>
        <w:t>20</w:t>
      </w:r>
      <w:r>
        <w:rPr>
          <w:rFonts w:ascii="Calibri" w:hAnsi="Calibri"/>
          <w:szCs w:val="24"/>
        </w:rPr>
        <w:t>1</w:t>
      </w:r>
      <w:r w:rsidR="00423090">
        <w:rPr>
          <w:rFonts w:ascii="Calibri" w:hAnsi="Calibri"/>
          <w:szCs w:val="24"/>
        </w:rPr>
        <w:t>6</w:t>
      </w:r>
      <w:r w:rsidRPr="004E50E7">
        <w:rPr>
          <w:rFonts w:ascii="Calibri" w:hAnsi="Calibri"/>
          <w:szCs w:val="24"/>
        </w:rPr>
        <w:t>-20</w:t>
      </w:r>
      <w:r w:rsidR="00423090">
        <w:rPr>
          <w:rFonts w:ascii="Calibri" w:hAnsi="Calibri"/>
          <w:szCs w:val="24"/>
        </w:rPr>
        <w:t>20</w:t>
      </w:r>
      <w:r w:rsidRPr="004E50E7">
        <w:rPr>
          <w:rFonts w:ascii="Calibri" w:hAnsi="Calibri"/>
          <w:szCs w:val="24"/>
        </w:rPr>
        <w:t xml:space="preserve"> American Community Survey</w:t>
      </w:r>
      <w:r w:rsidR="00A56556">
        <w:rPr>
          <w:rFonts w:ascii="Calibri" w:hAnsi="Calibri"/>
          <w:szCs w:val="24"/>
        </w:rPr>
        <w:t xml:space="preserve"> 5-Year Estimates.</w:t>
      </w:r>
    </w:p>
    <w:p w14:paraId="1789FFA6" w14:textId="77777777" w:rsidR="00A52FAA" w:rsidRPr="004E50E7" w:rsidRDefault="00A52FAA" w:rsidP="00303F30">
      <w:pPr>
        <w:pStyle w:val="BodyTextIndent"/>
        <w:spacing w:after="0"/>
        <w:ind w:left="0"/>
        <w:jc w:val="center"/>
        <w:rPr>
          <w:rFonts w:ascii="Calibri" w:hAnsi="Calibri"/>
          <w:b/>
        </w:rPr>
      </w:pPr>
    </w:p>
    <w:p w14:paraId="2421368F" w14:textId="01A0FACC" w:rsidR="008772FC" w:rsidRPr="006A5E56" w:rsidRDefault="00CC15E1" w:rsidP="00303F30">
      <w:pPr>
        <w:pStyle w:val="BodyTextIndent"/>
        <w:spacing w:after="0"/>
        <w:ind w:left="0"/>
        <w:jc w:val="both"/>
        <w:rPr>
          <w:rFonts w:ascii="Calibri" w:hAnsi="Calibri"/>
          <w:b/>
          <w:color w:val="1F497D" w:themeColor="text2"/>
          <w:szCs w:val="22"/>
        </w:rPr>
      </w:pPr>
      <w:r>
        <w:rPr>
          <w:rFonts w:ascii="Calibri" w:hAnsi="Calibri"/>
          <w:b/>
          <w:color w:val="1F497D" w:themeColor="text2"/>
          <w:szCs w:val="22"/>
        </w:rPr>
        <w:t>2</w:t>
      </w:r>
      <w:r w:rsidR="008772FC" w:rsidRPr="006A5E56">
        <w:rPr>
          <w:rFonts w:ascii="Calibri" w:hAnsi="Calibri"/>
          <w:b/>
          <w:color w:val="1F497D" w:themeColor="text2"/>
          <w:szCs w:val="22"/>
        </w:rPr>
        <w:t>.</w:t>
      </w:r>
      <w:r w:rsidR="008772FC" w:rsidRPr="006A5E56">
        <w:rPr>
          <w:rFonts w:ascii="Calibri" w:hAnsi="Calibri"/>
          <w:b/>
          <w:color w:val="1F497D" w:themeColor="text2"/>
          <w:szCs w:val="22"/>
        </w:rPr>
        <w:tab/>
        <w:t xml:space="preserve">   Poverty Status – </w:t>
      </w:r>
      <w:r w:rsidR="00C757DE">
        <w:rPr>
          <w:rFonts w:ascii="Calibri" w:hAnsi="Calibri"/>
          <w:b/>
          <w:color w:val="1F497D" w:themeColor="text2"/>
          <w:szCs w:val="22"/>
        </w:rPr>
        <w:t xml:space="preserve">Low </w:t>
      </w:r>
      <w:r w:rsidR="00B92AD7">
        <w:rPr>
          <w:rFonts w:ascii="Calibri" w:hAnsi="Calibri"/>
          <w:b/>
          <w:color w:val="1F497D" w:themeColor="text2"/>
          <w:szCs w:val="22"/>
        </w:rPr>
        <w:t>and declining</w:t>
      </w:r>
      <w:r w:rsidR="007B7692">
        <w:rPr>
          <w:rFonts w:ascii="Calibri" w:hAnsi="Calibri"/>
          <w:b/>
          <w:color w:val="1F497D" w:themeColor="text2"/>
          <w:szCs w:val="22"/>
        </w:rPr>
        <w:t xml:space="preserve"> except for those age 65 or older</w:t>
      </w:r>
    </w:p>
    <w:p w14:paraId="2936C8B8" w14:textId="493BCBBF" w:rsidR="00B62F84" w:rsidRDefault="008772FC" w:rsidP="00303F30">
      <w:pPr>
        <w:pStyle w:val="BodyTextIndent"/>
        <w:spacing w:after="0"/>
        <w:ind w:left="0"/>
        <w:jc w:val="both"/>
        <w:rPr>
          <w:rFonts w:ascii="Calibri" w:hAnsi="Calibri"/>
          <w:bCs/>
          <w:sz w:val="22"/>
          <w:szCs w:val="22"/>
        </w:rPr>
      </w:pPr>
      <w:r w:rsidRPr="006A5E56">
        <w:rPr>
          <w:rFonts w:ascii="Calibri" w:hAnsi="Calibri"/>
          <w:bCs/>
          <w:sz w:val="22"/>
          <w:szCs w:val="22"/>
        </w:rPr>
        <w:t xml:space="preserve">Table </w:t>
      </w:r>
      <w:r w:rsidR="00B92AD7">
        <w:rPr>
          <w:rFonts w:ascii="Calibri" w:hAnsi="Calibri"/>
          <w:bCs/>
          <w:sz w:val="22"/>
          <w:szCs w:val="22"/>
        </w:rPr>
        <w:t>III-17</w:t>
      </w:r>
      <w:r w:rsidRPr="006A5E56">
        <w:rPr>
          <w:rFonts w:ascii="Calibri" w:hAnsi="Calibri"/>
          <w:bCs/>
          <w:sz w:val="22"/>
          <w:szCs w:val="22"/>
        </w:rPr>
        <w:t xml:space="preserve"> confirms that poverty declined between 1989 and 1999, both in terms of percentages and the numbers of individuals and families living in poverty</w:t>
      </w:r>
      <w:r w:rsidR="00D10151">
        <w:rPr>
          <w:rFonts w:ascii="Calibri" w:hAnsi="Calibri"/>
          <w:bCs/>
          <w:sz w:val="22"/>
          <w:szCs w:val="22"/>
        </w:rPr>
        <w:t>, from 3.3% to 2.5% of all residents</w:t>
      </w:r>
      <w:r w:rsidRPr="006A5E56">
        <w:rPr>
          <w:rFonts w:ascii="Calibri" w:hAnsi="Calibri"/>
          <w:bCs/>
          <w:sz w:val="22"/>
          <w:szCs w:val="22"/>
        </w:rPr>
        <w:t>.  However, between 1999 and 201</w:t>
      </w:r>
      <w:r w:rsidR="00C757DE">
        <w:rPr>
          <w:rFonts w:ascii="Calibri" w:hAnsi="Calibri"/>
          <w:bCs/>
          <w:sz w:val="22"/>
          <w:szCs w:val="22"/>
        </w:rPr>
        <w:t>0</w:t>
      </w:r>
      <w:r w:rsidRPr="006A5E56">
        <w:rPr>
          <w:rFonts w:ascii="Calibri" w:hAnsi="Calibri"/>
          <w:bCs/>
          <w:sz w:val="22"/>
          <w:szCs w:val="22"/>
        </w:rPr>
        <w:t xml:space="preserve"> poverty increased </w:t>
      </w:r>
      <w:r w:rsidR="00D10151">
        <w:rPr>
          <w:rFonts w:ascii="Calibri" w:hAnsi="Calibri"/>
          <w:bCs/>
          <w:sz w:val="22"/>
          <w:szCs w:val="22"/>
        </w:rPr>
        <w:t>to 3.8%</w:t>
      </w:r>
      <w:r w:rsidRPr="006A5E56">
        <w:rPr>
          <w:rFonts w:ascii="Calibri" w:hAnsi="Calibri"/>
          <w:bCs/>
          <w:sz w:val="22"/>
          <w:szCs w:val="22"/>
        </w:rPr>
        <w:t xml:space="preserve">, especially among </w:t>
      </w:r>
      <w:r w:rsidR="009C2942">
        <w:rPr>
          <w:rFonts w:ascii="Calibri" w:hAnsi="Calibri"/>
          <w:bCs/>
          <w:sz w:val="22"/>
          <w:szCs w:val="22"/>
        </w:rPr>
        <w:t>older adult</w:t>
      </w:r>
      <w:r w:rsidRPr="006A5E56">
        <w:rPr>
          <w:rFonts w:ascii="Calibri" w:hAnsi="Calibri"/>
          <w:bCs/>
          <w:sz w:val="22"/>
          <w:szCs w:val="22"/>
        </w:rPr>
        <w:t>s where poverty increased from 0.7% to 5.</w:t>
      </w:r>
      <w:r w:rsidR="00C757DE">
        <w:rPr>
          <w:rFonts w:ascii="Calibri" w:hAnsi="Calibri"/>
          <w:bCs/>
          <w:sz w:val="22"/>
          <w:szCs w:val="22"/>
        </w:rPr>
        <w:t>3</w:t>
      </w:r>
      <w:r w:rsidRPr="006A5E56">
        <w:rPr>
          <w:rFonts w:ascii="Calibri" w:hAnsi="Calibri"/>
          <w:bCs/>
          <w:sz w:val="22"/>
          <w:szCs w:val="22"/>
        </w:rPr>
        <w:t>%</w:t>
      </w:r>
      <w:r w:rsidR="00B92AD7">
        <w:rPr>
          <w:rFonts w:ascii="Calibri" w:hAnsi="Calibri"/>
          <w:bCs/>
          <w:sz w:val="22"/>
          <w:szCs w:val="22"/>
        </w:rPr>
        <w:t>, likely related to the recession towards the end of the decade</w:t>
      </w:r>
      <w:r w:rsidRPr="006A5E56">
        <w:rPr>
          <w:rFonts w:ascii="Calibri" w:hAnsi="Calibri"/>
          <w:bCs/>
          <w:sz w:val="22"/>
          <w:szCs w:val="22"/>
        </w:rPr>
        <w:t xml:space="preserve">.  </w:t>
      </w:r>
      <w:r w:rsidR="00B62F84">
        <w:rPr>
          <w:rFonts w:ascii="Calibri" w:hAnsi="Calibri"/>
          <w:bCs/>
          <w:sz w:val="22"/>
          <w:szCs w:val="22"/>
        </w:rPr>
        <w:t>The 20</w:t>
      </w:r>
      <w:r w:rsidR="00957910">
        <w:rPr>
          <w:rFonts w:ascii="Calibri" w:hAnsi="Calibri"/>
          <w:bCs/>
          <w:sz w:val="22"/>
          <w:szCs w:val="22"/>
        </w:rPr>
        <w:t>20</w:t>
      </w:r>
      <w:r w:rsidR="00B62F84">
        <w:rPr>
          <w:rFonts w:ascii="Calibri" w:hAnsi="Calibri"/>
          <w:bCs/>
          <w:sz w:val="22"/>
          <w:szCs w:val="22"/>
        </w:rPr>
        <w:t xml:space="preserve"> census estimates indicate declines in those living in poverty</w:t>
      </w:r>
      <w:r w:rsidR="00D10151">
        <w:rPr>
          <w:rFonts w:ascii="Calibri" w:hAnsi="Calibri"/>
          <w:bCs/>
          <w:sz w:val="22"/>
          <w:szCs w:val="22"/>
        </w:rPr>
        <w:t xml:space="preserve"> to 2.</w:t>
      </w:r>
      <w:r w:rsidR="00957910">
        <w:rPr>
          <w:rFonts w:ascii="Calibri" w:hAnsi="Calibri"/>
          <w:bCs/>
          <w:sz w:val="22"/>
          <w:szCs w:val="22"/>
        </w:rPr>
        <w:t>4</w:t>
      </w:r>
      <w:r w:rsidR="00D10151">
        <w:rPr>
          <w:rFonts w:ascii="Calibri" w:hAnsi="Calibri"/>
          <w:bCs/>
          <w:sz w:val="22"/>
          <w:szCs w:val="22"/>
        </w:rPr>
        <w:t>% of</w:t>
      </w:r>
      <w:r w:rsidR="00B62F84">
        <w:rPr>
          <w:rFonts w:ascii="Calibri" w:hAnsi="Calibri"/>
          <w:bCs/>
          <w:sz w:val="22"/>
          <w:szCs w:val="22"/>
        </w:rPr>
        <w:t xml:space="preserve"> all residents</w:t>
      </w:r>
      <w:r w:rsidR="00D10151">
        <w:rPr>
          <w:rFonts w:ascii="Calibri" w:hAnsi="Calibri"/>
          <w:bCs/>
          <w:sz w:val="22"/>
          <w:szCs w:val="22"/>
        </w:rPr>
        <w:t xml:space="preserve"> with </w:t>
      </w:r>
      <w:r w:rsidR="007B7692">
        <w:rPr>
          <w:rFonts w:ascii="Calibri" w:hAnsi="Calibri"/>
          <w:bCs/>
          <w:sz w:val="22"/>
          <w:szCs w:val="22"/>
        </w:rPr>
        <w:t xml:space="preserve">a </w:t>
      </w:r>
      <w:r w:rsidR="00D10151">
        <w:rPr>
          <w:rFonts w:ascii="Calibri" w:hAnsi="Calibri"/>
          <w:bCs/>
          <w:sz w:val="22"/>
          <w:szCs w:val="22"/>
        </w:rPr>
        <w:t>de</w:t>
      </w:r>
      <w:r w:rsidR="00FA785E">
        <w:rPr>
          <w:rFonts w:ascii="Calibri" w:hAnsi="Calibri"/>
          <w:bCs/>
          <w:sz w:val="22"/>
          <w:szCs w:val="22"/>
        </w:rPr>
        <w:t>crease</w:t>
      </w:r>
      <w:r w:rsidR="00D10151">
        <w:rPr>
          <w:rFonts w:ascii="Calibri" w:hAnsi="Calibri"/>
          <w:bCs/>
          <w:sz w:val="22"/>
          <w:szCs w:val="22"/>
        </w:rPr>
        <w:t xml:space="preserve"> for </w:t>
      </w:r>
      <w:r w:rsidR="00B62F84">
        <w:rPr>
          <w:rFonts w:ascii="Calibri" w:hAnsi="Calibri"/>
          <w:bCs/>
          <w:sz w:val="22"/>
          <w:szCs w:val="22"/>
        </w:rPr>
        <w:t>families</w:t>
      </w:r>
      <w:r w:rsidR="007B7692">
        <w:rPr>
          <w:rFonts w:ascii="Calibri" w:hAnsi="Calibri"/>
          <w:bCs/>
          <w:sz w:val="22"/>
          <w:szCs w:val="22"/>
        </w:rPr>
        <w:t xml:space="preserve"> as well to 1.9%.  Poverty among</w:t>
      </w:r>
      <w:r w:rsidR="004F4ADD">
        <w:rPr>
          <w:rFonts w:ascii="Calibri" w:hAnsi="Calibri"/>
          <w:bCs/>
          <w:sz w:val="22"/>
          <w:szCs w:val="22"/>
        </w:rPr>
        <w:t xml:space="preserve"> </w:t>
      </w:r>
      <w:r w:rsidR="009C2942">
        <w:rPr>
          <w:rFonts w:ascii="Calibri" w:hAnsi="Calibri"/>
          <w:bCs/>
          <w:sz w:val="22"/>
          <w:szCs w:val="22"/>
        </w:rPr>
        <w:t>older adults</w:t>
      </w:r>
      <w:r w:rsidR="007B7692">
        <w:rPr>
          <w:rFonts w:ascii="Calibri" w:hAnsi="Calibri"/>
          <w:bCs/>
          <w:sz w:val="22"/>
          <w:szCs w:val="22"/>
        </w:rPr>
        <w:t xml:space="preserve"> age 65 or older increased to 5.8% from 5.3% in 2010, and from 249 to 336 individuals</w:t>
      </w:r>
      <w:r w:rsidR="004F4ADD">
        <w:rPr>
          <w:rFonts w:ascii="Calibri" w:hAnsi="Calibri"/>
          <w:bCs/>
          <w:sz w:val="22"/>
          <w:szCs w:val="22"/>
        </w:rPr>
        <w:t>.</w:t>
      </w:r>
      <w:r w:rsidR="00B62F84">
        <w:rPr>
          <w:rFonts w:ascii="Calibri" w:hAnsi="Calibri"/>
          <w:bCs/>
          <w:sz w:val="22"/>
          <w:szCs w:val="22"/>
        </w:rPr>
        <w:t xml:space="preserve"> </w:t>
      </w:r>
    </w:p>
    <w:p w14:paraId="35BEFA3C" w14:textId="77777777" w:rsidR="00B62F84" w:rsidRDefault="00B62F84" w:rsidP="00303F30">
      <w:pPr>
        <w:pStyle w:val="BodyTextIndent"/>
        <w:spacing w:after="0"/>
        <w:ind w:left="0"/>
        <w:jc w:val="both"/>
        <w:rPr>
          <w:rFonts w:ascii="Calibri" w:hAnsi="Calibri"/>
          <w:bCs/>
          <w:sz w:val="22"/>
          <w:szCs w:val="22"/>
        </w:rPr>
      </w:pPr>
    </w:p>
    <w:p w14:paraId="7A929CE5" w14:textId="60A8DAF6" w:rsidR="008772FC" w:rsidRPr="006A5E56" w:rsidRDefault="008772FC" w:rsidP="00303F30">
      <w:pPr>
        <w:pStyle w:val="BodyTextIndent"/>
        <w:spacing w:after="0"/>
        <w:ind w:left="0"/>
        <w:jc w:val="both"/>
        <w:rPr>
          <w:rFonts w:ascii="Calibri" w:hAnsi="Calibri"/>
          <w:bCs/>
          <w:sz w:val="22"/>
          <w:szCs w:val="22"/>
        </w:rPr>
      </w:pPr>
      <w:r w:rsidRPr="006A5E56">
        <w:rPr>
          <w:rFonts w:ascii="Calibri" w:hAnsi="Calibri"/>
          <w:bCs/>
          <w:sz w:val="22"/>
          <w:szCs w:val="22"/>
        </w:rPr>
        <w:t xml:space="preserve">The level of poverty </w:t>
      </w:r>
      <w:r w:rsidR="004F4ADD">
        <w:rPr>
          <w:rFonts w:ascii="Calibri" w:hAnsi="Calibri"/>
          <w:bCs/>
          <w:sz w:val="22"/>
          <w:szCs w:val="22"/>
        </w:rPr>
        <w:t>remains</w:t>
      </w:r>
      <w:r w:rsidRPr="006A5E56">
        <w:rPr>
          <w:rFonts w:ascii="Calibri" w:hAnsi="Calibri"/>
          <w:bCs/>
          <w:sz w:val="22"/>
          <w:szCs w:val="22"/>
        </w:rPr>
        <w:t xml:space="preserve"> lower than the state where </w:t>
      </w:r>
      <w:r w:rsidR="00D24C40">
        <w:rPr>
          <w:rFonts w:ascii="Calibri" w:hAnsi="Calibri"/>
          <w:bCs/>
          <w:sz w:val="22"/>
          <w:szCs w:val="22"/>
        </w:rPr>
        <w:t>9.</w:t>
      </w:r>
      <w:r w:rsidR="00B23AAA">
        <w:rPr>
          <w:rFonts w:ascii="Calibri" w:hAnsi="Calibri"/>
          <w:bCs/>
          <w:sz w:val="22"/>
          <w:szCs w:val="22"/>
        </w:rPr>
        <w:t>8</w:t>
      </w:r>
      <w:r w:rsidRPr="006A5E56">
        <w:rPr>
          <w:rFonts w:ascii="Calibri" w:hAnsi="Calibri"/>
          <w:bCs/>
          <w:sz w:val="22"/>
          <w:szCs w:val="22"/>
        </w:rPr>
        <w:t xml:space="preserve">% of all individuals were </w:t>
      </w:r>
      <w:r w:rsidR="00B62F84">
        <w:rPr>
          <w:rFonts w:ascii="Calibri" w:hAnsi="Calibri"/>
          <w:bCs/>
          <w:sz w:val="22"/>
          <w:szCs w:val="22"/>
        </w:rPr>
        <w:t xml:space="preserve">estimated to be </w:t>
      </w:r>
      <w:r w:rsidRPr="006A5E56">
        <w:rPr>
          <w:rFonts w:ascii="Calibri" w:hAnsi="Calibri"/>
          <w:bCs/>
          <w:sz w:val="22"/>
          <w:szCs w:val="22"/>
        </w:rPr>
        <w:t>living in poverty in 20</w:t>
      </w:r>
      <w:r w:rsidR="007B7692">
        <w:rPr>
          <w:rFonts w:ascii="Calibri" w:hAnsi="Calibri"/>
          <w:bCs/>
          <w:sz w:val="22"/>
          <w:szCs w:val="22"/>
        </w:rPr>
        <w:t>20</w:t>
      </w:r>
      <w:r w:rsidRPr="006A5E56">
        <w:rPr>
          <w:rFonts w:ascii="Calibri" w:hAnsi="Calibri"/>
          <w:bCs/>
          <w:sz w:val="22"/>
          <w:szCs w:val="22"/>
        </w:rPr>
        <w:t xml:space="preserve">, including </w:t>
      </w:r>
      <w:r w:rsidR="00D24C40">
        <w:rPr>
          <w:rFonts w:ascii="Calibri" w:hAnsi="Calibri"/>
          <w:bCs/>
          <w:sz w:val="22"/>
          <w:szCs w:val="22"/>
        </w:rPr>
        <w:t>6.</w:t>
      </w:r>
      <w:r w:rsidR="00B23AAA">
        <w:rPr>
          <w:rFonts w:ascii="Calibri" w:hAnsi="Calibri"/>
          <w:bCs/>
          <w:sz w:val="22"/>
          <w:szCs w:val="22"/>
        </w:rPr>
        <w:t>6</w:t>
      </w:r>
      <w:r w:rsidRPr="006A5E56">
        <w:rPr>
          <w:rFonts w:ascii="Calibri" w:hAnsi="Calibri"/>
          <w:bCs/>
          <w:sz w:val="22"/>
          <w:szCs w:val="22"/>
        </w:rPr>
        <w:t xml:space="preserve">% of all families and </w:t>
      </w:r>
      <w:r w:rsidR="00B23AAA">
        <w:rPr>
          <w:rFonts w:ascii="Calibri" w:hAnsi="Calibri"/>
          <w:bCs/>
          <w:sz w:val="22"/>
          <w:szCs w:val="22"/>
        </w:rPr>
        <w:t>8.9</w:t>
      </w:r>
      <w:r w:rsidRPr="006A5E56">
        <w:rPr>
          <w:rFonts w:ascii="Calibri" w:hAnsi="Calibri"/>
          <w:bCs/>
          <w:sz w:val="22"/>
          <w:szCs w:val="22"/>
        </w:rPr>
        <w:t xml:space="preserve">% of </w:t>
      </w:r>
      <w:r w:rsidR="009C2942">
        <w:rPr>
          <w:rFonts w:ascii="Calibri" w:hAnsi="Calibri"/>
          <w:bCs/>
          <w:sz w:val="22"/>
          <w:szCs w:val="22"/>
        </w:rPr>
        <w:t>older adults</w:t>
      </w:r>
      <w:r w:rsidRPr="006A5E56">
        <w:rPr>
          <w:rFonts w:ascii="Calibri" w:hAnsi="Calibri"/>
          <w:bCs/>
          <w:sz w:val="22"/>
          <w:szCs w:val="22"/>
        </w:rPr>
        <w:t>.</w:t>
      </w:r>
      <w:r w:rsidRPr="006A5E56">
        <w:rPr>
          <w:rStyle w:val="FootnoteReference"/>
          <w:sz w:val="22"/>
          <w:szCs w:val="22"/>
        </w:rPr>
        <w:footnoteReference w:id="17"/>
      </w:r>
      <w:r w:rsidRPr="006A5E56">
        <w:rPr>
          <w:rFonts w:ascii="Calibri" w:hAnsi="Calibri"/>
          <w:bCs/>
          <w:sz w:val="22"/>
          <w:szCs w:val="22"/>
        </w:rPr>
        <w:t xml:space="preserve"> </w:t>
      </w:r>
      <w:r w:rsidR="00B62F84">
        <w:rPr>
          <w:rFonts w:ascii="Calibri" w:hAnsi="Calibri"/>
          <w:bCs/>
          <w:sz w:val="22"/>
          <w:szCs w:val="22"/>
        </w:rPr>
        <w:t>The 20</w:t>
      </w:r>
      <w:r w:rsidR="007B7692">
        <w:rPr>
          <w:rFonts w:ascii="Calibri" w:hAnsi="Calibri"/>
          <w:bCs/>
          <w:sz w:val="22"/>
          <w:szCs w:val="22"/>
        </w:rPr>
        <w:t>20</w:t>
      </w:r>
      <w:r w:rsidR="00B62F84">
        <w:rPr>
          <w:rFonts w:ascii="Calibri" w:hAnsi="Calibri"/>
          <w:bCs/>
          <w:sz w:val="22"/>
          <w:szCs w:val="22"/>
        </w:rPr>
        <w:t xml:space="preserve"> p</w:t>
      </w:r>
      <w:r w:rsidRPr="006A5E56">
        <w:rPr>
          <w:rFonts w:ascii="Calibri" w:hAnsi="Calibri"/>
          <w:bCs/>
          <w:sz w:val="22"/>
          <w:szCs w:val="22"/>
        </w:rPr>
        <w:t xml:space="preserve">overty levels for Norfolk County included </w:t>
      </w:r>
      <w:r w:rsidR="00032EB4">
        <w:rPr>
          <w:rFonts w:ascii="Calibri" w:hAnsi="Calibri"/>
          <w:bCs/>
          <w:sz w:val="22"/>
          <w:szCs w:val="22"/>
        </w:rPr>
        <w:t>6.0</w:t>
      </w:r>
      <w:r w:rsidRPr="006A5E56">
        <w:rPr>
          <w:rFonts w:ascii="Calibri" w:hAnsi="Calibri"/>
          <w:bCs/>
          <w:sz w:val="22"/>
          <w:szCs w:val="22"/>
        </w:rPr>
        <w:t xml:space="preserve">% of all residents, </w:t>
      </w:r>
      <w:r w:rsidR="00032EB4">
        <w:rPr>
          <w:rFonts w:ascii="Calibri" w:hAnsi="Calibri"/>
          <w:bCs/>
          <w:sz w:val="22"/>
          <w:szCs w:val="22"/>
        </w:rPr>
        <w:t>4.0</w:t>
      </w:r>
      <w:r w:rsidRPr="006A5E56">
        <w:rPr>
          <w:rFonts w:ascii="Calibri" w:hAnsi="Calibri"/>
          <w:bCs/>
          <w:sz w:val="22"/>
          <w:szCs w:val="22"/>
        </w:rPr>
        <w:t>% of families</w:t>
      </w:r>
      <w:r w:rsidR="00B62F84">
        <w:rPr>
          <w:rFonts w:ascii="Calibri" w:hAnsi="Calibri"/>
          <w:bCs/>
          <w:sz w:val="22"/>
          <w:szCs w:val="22"/>
        </w:rPr>
        <w:t>,</w:t>
      </w:r>
      <w:r w:rsidRPr="006A5E56">
        <w:rPr>
          <w:rFonts w:ascii="Calibri" w:hAnsi="Calibri"/>
          <w:bCs/>
          <w:sz w:val="22"/>
          <w:szCs w:val="22"/>
        </w:rPr>
        <w:t xml:space="preserve"> and </w:t>
      </w:r>
      <w:r w:rsidR="00032EB4">
        <w:rPr>
          <w:rFonts w:ascii="Calibri" w:hAnsi="Calibri"/>
          <w:bCs/>
          <w:sz w:val="22"/>
          <w:szCs w:val="22"/>
        </w:rPr>
        <w:t>7.2</w:t>
      </w:r>
      <w:r w:rsidRPr="006A5E56">
        <w:rPr>
          <w:rFonts w:ascii="Calibri" w:hAnsi="Calibri"/>
          <w:bCs/>
          <w:sz w:val="22"/>
          <w:szCs w:val="22"/>
        </w:rPr>
        <w:t xml:space="preserve">% of </w:t>
      </w:r>
      <w:r w:rsidR="00B62F84">
        <w:rPr>
          <w:rFonts w:ascii="Calibri" w:hAnsi="Calibri"/>
          <w:bCs/>
          <w:sz w:val="22"/>
          <w:szCs w:val="22"/>
        </w:rPr>
        <w:t>those</w:t>
      </w:r>
      <w:r w:rsidRPr="006A5E56">
        <w:rPr>
          <w:rFonts w:ascii="Calibri" w:hAnsi="Calibri"/>
          <w:bCs/>
          <w:sz w:val="22"/>
          <w:szCs w:val="22"/>
        </w:rPr>
        <w:t xml:space="preserve"> 65 years of age or older.</w:t>
      </w:r>
    </w:p>
    <w:p w14:paraId="6599F9DF" w14:textId="77777777" w:rsidR="00A66C1A" w:rsidRDefault="00A66C1A" w:rsidP="008772FC">
      <w:pPr>
        <w:pStyle w:val="BodyTextIndent"/>
        <w:spacing w:after="0"/>
        <w:ind w:left="0" w:right="-720"/>
        <w:jc w:val="center"/>
        <w:rPr>
          <w:rFonts w:ascii="Calibri" w:hAnsi="Calibri"/>
          <w:b/>
          <w:sz w:val="22"/>
          <w:szCs w:val="22"/>
        </w:rPr>
      </w:pPr>
    </w:p>
    <w:p w14:paraId="5F13C371" w14:textId="6DC4E110" w:rsidR="008772FC" w:rsidRDefault="008772FC" w:rsidP="008772FC">
      <w:pPr>
        <w:pStyle w:val="BodyTextIndent"/>
        <w:spacing w:after="0"/>
        <w:ind w:left="0" w:right="-720"/>
        <w:jc w:val="center"/>
        <w:rPr>
          <w:rFonts w:ascii="Calibri" w:hAnsi="Calibri"/>
          <w:b/>
          <w:sz w:val="22"/>
          <w:szCs w:val="22"/>
        </w:rPr>
      </w:pPr>
      <w:r w:rsidRPr="006A5E56">
        <w:rPr>
          <w:rFonts w:ascii="Calibri" w:hAnsi="Calibri"/>
          <w:b/>
          <w:sz w:val="22"/>
          <w:szCs w:val="22"/>
        </w:rPr>
        <w:t xml:space="preserve">Table </w:t>
      </w:r>
      <w:r w:rsidR="00182CAF">
        <w:rPr>
          <w:rFonts w:ascii="Calibri" w:hAnsi="Calibri"/>
          <w:b/>
          <w:sz w:val="22"/>
          <w:szCs w:val="22"/>
        </w:rPr>
        <w:t>III-17</w:t>
      </w:r>
      <w:r w:rsidRPr="006A5E56">
        <w:rPr>
          <w:rFonts w:ascii="Calibri" w:hAnsi="Calibri"/>
          <w:b/>
          <w:sz w:val="22"/>
          <w:szCs w:val="22"/>
        </w:rPr>
        <w:t>: Poverty Status, 1989 to 20</w:t>
      </w:r>
      <w:r w:rsidR="00864B62">
        <w:rPr>
          <w:rFonts w:ascii="Calibri" w:hAnsi="Calibri"/>
          <w:b/>
          <w:sz w:val="22"/>
          <w:szCs w:val="22"/>
        </w:rPr>
        <w:t>20</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900"/>
        <w:gridCol w:w="900"/>
        <w:gridCol w:w="1080"/>
        <w:gridCol w:w="900"/>
        <w:gridCol w:w="1080"/>
        <w:gridCol w:w="900"/>
        <w:gridCol w:w="1050"/>
        <w:gridCol w:w="930"/>
      </w:tblGrid>
      <w:tr w:rsidR="00BA78BF" w:rsidRPr="006A5E56" w14:paraId="1BBF2873" w14:textId="77777777" w:rsidTr="007359F4">
        <w:trPr>
          <w:cantSplit/>
        </w:trPr>
        <w:tc>
          <w:tcPr>
            <w:tcW w:w="1728" w:type="dxa"/>
            <w:vMerge w:val="restart"/>
            <w:tcBorders>
              <w:top w:val="single" w:sz="4" w:space="0" w:color="auto"/>
              <w:left w:val="single" w:sz="4" w:space="0" w:color="auto"/>
            </w:tcBorders>
          </w:tcPr>
          <w:p w14:paraId="143DA151" w14:textId="77777777" w:rsidR="00BA78BF" w:rsidRDefault="00BA78BF" w:rsidP="009A77B9">
            <w:pPr>
              <w:pStyle w:val="BodyTextIndent"/>
              <w:spacing w:after="0"/>
              <w:ind w:left="0" w:right="-720"/>
              <w:rPr>
                <w:rFonts w:ascii="Calibri" w:hAnsi="Calibri"/>
                <w:b/>
              </w:rPr>
            </w:pPr>
          </w:p>
          <w:p w14:paraId="1B625D0C" w14:textId="77777777" w:rsidR="009A77B9" w:rsidRPr="006A5E56" w:rsidRDefault="009A77B9" w:rsidP="009A77B9">
            <w:pPr>
              <w:pStyle w:val="BodyTextIndent"/>
              <w:spacing w:after="0"/>
              <w:ind w:left="0" w:right="-720"/>
              <w:rPr>
                <w:rFonts w:ascii="Calibri" w:hAnsi="Calibri"/>
                <w:b/>
              </w:rPr>
            </w:pPr>
            <w:r>
              <w:rPr>
                <w:rFonts w:ascii="Calibri" w:hAnsi="Calibri"/>
                <w:b/>
                <w:sz w:val="22"/>
                <w:szCs w:val="22"/>
              </w:rPr>
              <w:t>Populations</w:t>
            </w:r>
          </w:p>
        </w:tc>
        <w:tc>
          <w:tcPr>
            <w:tcW w:w="1800" w:type="dxa"/>
            <w:gridSpan w:val="2"/>
          </w:tcPr>
          <w:p w14:paraId="279846D0" w14:textId="77777777" w:rsidR="00BA78BF" w:rsidRPr="006A5E56" w:rsidRDefault="00BA78BF" w:rsidP="008F2513">
            <w:pPr>
              <w:pStyle w:val="BodyTextIndent"/>
              <w:spacing w:after="0"/>
              <w:ind w:left="0" w:right="-720"/>
              <w:jc w:val="center"/>
              <w:rPr>
                <w:rFonts w:ascii="Calibri" w:hAnsi="Calibri"/>
                <w:b/>
              </w:rPr>
            </w:pPr>
            <w:r w:rsidRPr="006A5E56">
              <w:rPr>
                <w:rFonts w:ascii="Calibri" w:hAnsi="Calibri"/>
                <w:b/>
                <w:sz w:val="22"/>
                <w:szCs w:val="22"/>
              </w:rPr>
              <w:t>1989</w:t>
            </w:r>
          </w:p>
        </w:tc>
        <w:tc>
          <w:tcPr>
            <w:tcW w:w="1980" w:type="dxa"/>
            <w:gridSpan w:val="2"/>
          </w:tcPr>
          <w:p w14:paraId="17E16EE9" w14:textId="77777777" w:rsidR="00BA78BF" w:rsidRPr="006A5E56" w:rsidRDefault="00BA78BF" w:rsidP="008F2513">
            <w:pPr>
              <w:pStyle w:val="BodyTextIndent"/>
              <w:spacing w:after="0"/>
              <w:ind w:left="0" w:right="-720"/>
              <w:jc w:val="center"/>
              <w:rPr>
                <w:rFonts w:ascii="Calibri" w:hAnsi="Calibri"/>
                <w:b/>
              </w:rPr>
            </w:pPr>
            <w:r w:rsidRPr="006A5E56">
              <w:rPr>
                <w:rFonts w:ascii="Calibri" w:hAnsi="Calibri"/>
                <w:b/>
                <w:sz w:val="22"/>
                <w:szCs w:val="22"/>
              </w:rPr>
              <w:t>1999</w:t>
            </w:r>
          </w:p>
        </w:tc>
        <w:tc>
          <w:tcPr>
            <w:tcW w:w="1980" w:type="dxa"/>
            <w:gridSpan w:val="2"/>
            <w:shd w:val="clear" w:color="auto" w:fill="auto"/>
          </w:tcPr>
          <w:p w14:paraId="3E688FDA" w14:textId="77777777" w:rsidR="00BA78BF" w:rsidRPr="006A5E56" w:rsidRDefault="00BA78BF" w:rsidP="00BA78BF">
            <w:pPr>
              <w:jc w:val="center"/>
              <w:rPr>
                <w:rFonts w:ascii="Calibri" w:hAnsi="Calibri"/>
                <w:b/>
              </w:rPr>
            </w:pPr>
            <w:r>
              <w:rPr>
                <w:rFonts w:ascii="Calibri" w:hAnsi="Calibri"/>
                <w:b/>
                <w:sz w:val="22"/>
                <w:szCs w:val="22"/>
              </w:rPr>
              <w:t>2010</w:t>
            </w:r>
          </w:p>
        </w:tc>
        <w:tc>
          <w:tcPr>
            <w:tcW w:w="1980" w:type="dxa"/>
            <w:gridSpan w:val="2"/>
          </w:tcPr>
          <w:p w14:paraId="4C63624E" w14:textId="28630EED" w:rsidR="00BA78BF" w:rsidRDefault="00BA78BF" w:rsidP="00BA78BF">
            <w:pPr>
              <w:jc w:val="center"/>
              <w:rPr>
                <w:rFonts w:ascii="Calibri" w:hAnsi="Calibri"/>
                <w:b/>
              </w:rPr>
            </w:pPr>
            <w:r>
              <w:rPr>
                <w:rFonts w:ascii="Calibri" w:hAnsi="Calibri"/>
                <w:b/>
                <w:sz w:val="22"/>
                <w:szCs w:val="22"/>
              </w:rPr>
              <w:t>20</w:t>
            </w:r>
            <w:r w:rsidR="00864B62">
              <w:rPr>
                <w:rFonts w:ascii="Calibri" w:hAnsi="Calibri"/>
                <w:b/>
                <w:sz w:val="22"/>
                <w:szCs w:val="22"/>
              </w:rPr>
              <w:t>20</w:t>
            </w:r>
          </w:p>
        </w:tc>
      </w:tr>
      <w:tr w:rsidR="00C757DE" w:rsidRPr="004E50E7" w14:paraId="14278104" w14:textId="77777777" w:rsidTr="007359F4">
        <w:trPr>
          <w:cantSplit/>
        </w:trPr>
        <w:tc>
          <w:tcPr>
            <w:tcW w:w="1728" w:type="dxa"/>
            <w:vMerge/>
            <w:tcBorders>
              <w:left w:val="single" w:sz="4" w:space="0" w:color="auto"/>
            </w:tcBorders>
          </w:tcPr>
          <w:p w14:paraId="0F7F7CA7" w14:textId="77777777" w:rsidR="00C757DE" w:rsidRPr="004E50E7" w:rsidRDefault="00C757DE" w:rsidP="008F2513">
            <w:pPr>
              <w:pStyle w:val="BodyTextIndent"/>
              <w:spacing w:after="0"/>
              <w:ind w:left="0" w:right="-720"/>
              <w:jc w:val="center"/>
              <w:rPr>
                <w:rFonts w:ascii="Calibri" w:hAnsi="Calibri"/>
                <w:b/>
              </w:rPr>
            </w:pPr>
          </w:p>
        </w:tc>
        <w:tc>
          <w:tcPr>
            <w:tcW w:w="900" w:type="dxa"/>
          </w:tcPr>
          <w:p w14:paraId="28DDC0FA" w14:textId="77777777" w:rsidR="00C757DE" w:rsidRPr="004E50E7" w:rsidRDefault="00C757DE" w:rsidP="008F2513">
            <w:pPr>
              <w:pStyle w:val="BodyTextIndent"/>
              <w:spacing w:after="0"/>
              <w:ind w:left="0" w:right="-720"/>
              <w:rPr>
                <w:rFonts w:ascii="Calibri" w:hAnsi="Calibri"/>
                <w:b/>
              </w:rPr>
            </w:pPr>
            <w:r>
              <w:rPr>
                <w:rFonts w:ascii="Calibri" w:hAnsi="Calibri"/>
                <w:b/>
              </w:rPr>
              <w:t xml:space="preserve">      </w:t>
            </w:r>
            <w:r w:rsidRPr="004E50E7">
              <w:rPr>
                <w:rFonts w:ascii="Calibri" w:hAnsi="Calibri"/>
                <w:b/>
              </w:rPr>
              <w:t>#</w:t>
            </w:r>
          </w:p>
        </w:tc>
        <w:tc>
          <w:tcPr>
            <w:tcW w:w="900" w:type="dxa"/>
          </w:tcPr>
          <w:p w14:paraId="5E40F409" w14:textId="77777777" w:rsidR="00C757DE" w:rsidRPr="004E50E7" w:rsidRDefault="00C757DE" w:rsidP="008F2513">
            <w:pPr>
              <w:pStyle w:val="BodyTextIndent"/>
              <w:spacing w:after="0"/>
              <w:ind w:left="0" w:right="-720"/>
              <w:rPr>
                <w:rFonts w:ascii="Calibri" w:hAnsi="Calibri"/>
                <w:b/>
              </w:rPr>
            </w:pPr>
            <w:r>
              <w:rPr>
                <w:rFonts w:ascii="Calibri" w:hAnsi="Calibri"/>
                <w:b/>
              </w:rPr>
              <w:t xml:space="preserve">      </w:t>
            </w:r>
            <w:r w:rsidRPr="004E50E7">
              <w:rPr>
                <w:rFonts w:ascii="Calibri" w:hAnsi="Calibri"/>
                <w:b/>
              </w:rPr>
              <w:t>%</w:t>
            </w:r>
          </w:p>
        </w:tc>
        <w:tc>
          <w:tcPr>
            <w:tcW w:w="1080" w:type="dxa"/>
          </w:tcPr>
          <w:p w14:paraId="7CDEE677" w14:textId="77777777" w:rsidR="00C757DE" w:rsidRPr="004E50E7" w:rsidRDefault="00C757DE" w:rsidP="008F2513">
            <w:pPr>
              <w:pStyle w:val="BodyTextIndent"/>
              <w:spacing w:after="0"/>
              <w:ind w:left="0" w:right="-720"/>
              <w:rPr>
                <w:rFonts w:ascii="Calibri" w:hAnsi="Calibri"/>
                <w:b/>
              </w:rPr>
            </w:pPr>
            <w:r>
              <w:rPr>
                <w:rFonts w:ascii="Calibri" w:hAnsi="Calibri"/>
                <w:b/>
              </w:rPr>
              <w:t xml:space="preserve">       </w:t>
            </w:r>
            <w:r w:rsidRPr="004E50E7">
              <w:rPr>
                <w:rFonts w:ascii="Calibri" w:hAnsi="Calibri"/>
                <w:b/>
              </w:rPr>
              <w:t>#</w:t>
            </w:r>
          </w:p>
        </w:tc>
        <w:tc>
          <w:tcPr>
            <w:tcW w:w="900" w:type="dxa"/>
          </w:tcPr>
          <w:p w14:paraId="0E3C6456" w14:textId="77777777" w:rsidR="00C757DE" w:rsidRPr="004E50E7" w:rsidRDefault="00C757DE" w:rsidP="008F2513">
            <w:pPr>
              <w:pStyle w:val="BodyTextIndent"/>
              <w:spacing w:after="0"/>
              <w:ind w:left="0" w:right="-720"/>
              <w:rPr>
                <w:rFonts w:ascii="Calibri" w:hAnsi="Calibri"/>
                <w:b/>
              </w:rPr>
            </w:pPr>
            <w:r>
              <w:rPr>
                <w:rFonts w:ascii="Calibri" w:hAnsi="Calibri"/>
                <w:b/>
              </w:rPr>
              <w:t xml:space="preserve">     </w:t>
            </w:r>
            <w:r w:rsidRPr="004E50E7">
              <w:rPr>
                <w:rFonts w:ascii="Calibri" w:hAnsi="Calibri"/>
                <w:b/>
              </w:rPr>
              <w:t>%</w:t>
            </w:r>
          </w:p>
        </w:tc>
        <w:tc>
          <w:tcPr>
            <w:tcW w:w="1080" w:type="dxa"/>
            <w:shd w:val="clear" w:color="auto" w:fill="auto"/>
          </w:tcPr>
          <w:p w14:paraId="3DE1E985" w14:textId="77777777" w:rsidR="00C757DE" w:rsidRPr="004E50E7" w:rsidRDefault="00C757DE" w:rsidP="008F2513">
            <w:pPr>
              <w:jc w:val="center"/>
              <w:rPr>
                <w:rFonts w:ascii="Calibri" w:hAnsi="Calibri"/>
                <w:b/>
              </w:rPr>
            </w:pPr>
            <w:r>
              <w:rPr>
                <w:rFonts w:ascii="Calibri" w:hAnsi="Calibri"/>
                <w:b/>
                <w:sz w:val="22"/>
              </w:rPr>
              <w:t>#</w:t>
            </w:r>
          </w:p>
        </w:tc>
        <w:tc>
          <w:tcPr>
            <w:tcW w:w="900" w:type="dxa"/>
            <w:shd w:val="clear" w:color="auto" w:fill="auto"/>
          </w:tcPr>
          <w:p w14:paraId="1EC86896" w14:textId="77777777" w:rsidR="00C757DE" w:rsidRPr="004E50E7" w:rsidRDefault="00C757DE" w:rsidP="008F2513">
            <w:pPr>
              <w:jc w:val="center"/>
              <w:rPr>
                <w:rFonts w:ascii="Calibri" w:hAnsi="Calibri"/>
                <w:b/>
              </w:rPr>
            </w:pPr>
            <w:r>
              <w:rPr>
                <w:rFonts w:ascii="Calibri" w:hAnsi="Calibri"/>
                <w:b/>
                <w:sz w:val="22"/>
              </w:rPr>
              <w:t>%</w:t>
            </w:r>
          </w:p>
        </w:tc>
        <w:tc>
          <w:tcPr>
            <w:tcW w:w="1050" w:type="dxa"/>
          </w:tcPr>
          <w:p w14:paraId="09611118" w14:textId="77777777" w:rsidR="00C757DE" w:rsidRPr="004E50E7" w:rsidRDefault="00C757DE" w:rsidP="00B23BD9">
            <w:pPr>
              <w:jc w:val="center"/>
              <w:rPr>
                <w:rFonts w:ascii="Calibri" w:hAnsi="Calibri"/>
                <w:b/>
              </w:rPr>
            </w:pPr>
            <w:r>
              <w:rPr>
                <w:rFonts w:ascii="Calibri" w:hAnsi="Calibri"/>
                <w:b/>
                <w:sz w:val="22"/>
              </w:rPr>
              <w:t>#</w:t>
            </w:r>
          </w:p>
        </w:tc>
        <w:tc>
          <w:tcPr>
            <w:tcW w:w="930" w:type="dxa"/>
          </w:tcPr>
          <w:p w14:paraId="6BD98DF3" w14:textId="77777777" w:rsidR="00C757DE" w:rsidRPr="004E50E7" w:rsidRDefault="00C757DE" w:rsidP="00B23BD9">
            <w:pPr>
              <w:jc w:val="center"/>
              <w:rPr>
                <w:rFonts w:ascii="Calibri" w:hAnsi="Calibri"/>
                <w:b/>
              </w:rPr>
            </w:pPr>
            <w:r>
              <w:rPr>
                <w:rFonts w:ascii="Calibri" w:hAnsi="Calibri"/>
                <w:b/>
                <w:sz w:val="22"/>
              </w:rPr>
              <w:t>%</w:t>
            </w:r>
          </w:p>
        </w:tc>
      </w:tr>
      <w:tr w:rsidR="00C757DE" w:rsidRPr="004E50E7" w14:paraId="56B82031" w14:textId="77777777" w:rsidTr="007359F4">
        <w:trPr>
          <w:cantSplit/>
        </w:trPr>
        <w:tc>
          <w:tcPr>
            <w:tcW w:w="1728" w:type="dxa"/>
          </w:tcPr>
          <w:p w14:paraId="4A8D32EC" w14:textId="77777777" w:rsidR="00C757DE" w:rsidRPr="009A77B9" w:rsidRDefault="00C757DE" w:rsidP="008F2513">
            <w:pPr>
              <w:pStyle w:val="BodyTextIndent"/>
              <w:spacing w:after="0"/>
              <w:ind w:left="0" w:right="-720"/>
              <w:rPr>
                <w:rFonts w:ascii="Calibri" w:hAnsi="Calibri"/>
                <w:bCs/>
                <w:sz w:val="20"/>
              </w:rPr>
            </w:pPr>
            <w:r w:rsidRPr="009A77B9">
              <w:rPr>
                <w:rFonts w:ascii="Calibri" w:hAnsi="Calibri"/>
                <w:bCs/>
                <w:sz w:val="20"/>
              </w:rPr>
              <w:t>Individuals</w:t>
            </w:r>
          </w:p>
          <w:p w14:paraId="25E7519E" w14:textId="77777777" w:rsidR="00C757DE" w:rsidRPr="009A77B9" w:rsidRDefault="00C757DE" w:rsidP="008F2513">
            <w:pPr>
              <w:pStyle w:val="BodyTextIndent"/>
              <w:spacing w:after="0"/>
              <w:ind w:left="0" w:right="-720"/>
              <w:rPr>
                <w:rFonts w:ascii="Calibri" w:hAnsi="Calibri"/>
                <w:bCs/>
                <w:sz w:val="20"/>
              </w:rPr>
            </w:pPr>
            <w:r w:rsidRPr="009A77B9">
              <w:rPr>
                <w:rFonts w:ascii="Calibri" w:hAnsi="Calibri"/>
                <w:bCs/>
                <w:sz w:val="20"/>
              </w:rPr>
              <w:t>Below Poverty *</w:t>
            </w:r>
          </w:p>
        </w:tc>
        <w:tc>
          <w:tcPr>
            <w:tcW w:w="900" w:type="dxa"/>
          </w:tcPr>
          <w:p w14:paraId="3632D19F"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896</w:t>
            </w:r>
          </w:p>
        </w:tc>
        <w:tc>
          <w:tcPr>
            <w:tcW w:w="900" w:type="dxa"/>
          </w:tcPr>
          <w:p w14:paraId="56A09594"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3.3</w:t>
            </w:r>
          </w:p>
        </w:tc>
        <w:tc>
          <w:tcPr>
            <w:tcW w:w="1080" w:type="dxa"/>
          </w:tcPr>
          <w:p w14:paraId="69974048"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705</w:t>
            </w:r>
          </w:p>
        </w:tc>
        <w:tc>
          <w:tcPr>
            <w:tcW w:w="900" w:type="dxa"/>
          </w:tcPr>
          <w:p w14:paraId="6A89EB1C"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2.5</w:t>
            </w:r>
          </w:p>
        </w:tc>
        <w:tc>
          <w:tcPr>
            <w:tcW w:w="1080" w:type="dxa"/>
            <w:shd w:val="clear" w:color="auto" w:fill="auto"/>
          </w:tcPr>
          <w:p w14:paraId="480D9306" w14:textId="77777777" w:rsidR="00C757DE" w:rsidRPr="004E50E7" w:rsidRDefault="00C757DE" w:rsidP="008F2513">
            <w:pPr>
              <w:jc w:val="center"/>
              <w:rPr>
                <w:rFonts w:ascii="Calibri" w:hAnsi="Calibri"/>
                <w:bCs/>
                <w:sz w:val="20"/>
              </w:rPr>
            </w:pPr>
            <w:r>
              <w:rPr>
                <w:rFonts w:ascii="Calibri" w:hAnsi="Calibri"/>
                <w:bCs/>
                <w:sz w:val="20"/>
              </w:rPr>
              <w:t>1,098</w:t>
            </w:r>
          </w:p>
        </w:tc>
        <w:tc>
          <w:tcPr>
            <w:tcW w:w="900" w:type="dxa"/>
            <w:shd w:val="clear" w:color="auto" w:fill="auto"/>
          </w:tcPr>
          <w:p w14:paraId="4BCE1EB4" w14:textId="77777777" w:rsidR="00C757DE" w:rsidRPr="004E50E7" w:rsidRDefault="00C757DE" w:rsidP="008F2513">
            <w:pPr>
              <w:pStyle w:val="FootnoteText"/>
              <w:jc w:val="center"/>
              <w:rPr>
                <w:rFonts w:ascii="Calibri" w:hAnsi="Calibri"/>
                <w:bCs/>
                <w:szCs w:val="24"/>
              </w:rPr>
            </w:pPr>
            <w:r>
              <w:rPr>
                <w:rFonts w:ascii="Calibri" w:hAnsi="Calibri"/>
                <w:bCs/>
                <w:szCs w:val="24"/>
              </w:rPr>
              <w:t>3.8</w:t>
            </w:r>
          </w:p>
        </w:tc>
        <w:tc>
          <w:tcPr>
            <w:tcW w:w="1050" w:type="dxa"/>
          </w:tcPr>
          <w:p w14:paraId="3D7CAAD8" w14:textId="14AD36E5" w:rsidR="00C757DE" w:rsidRPr="004E50E7" w:rsidRDefault="00957910" w:rsidP="008F2513">
            <w:pPr>
              <w:pStyle w:val="FootnoteText"/>
              <w:jc w:val="center"/>
              <w:rPr>
                <w:rFonts w:ascii="Calibri" w:hAnsi="Calibri"/>
                <w:bCs/>
                <w:szCs w:val="24"/>
              </w:rPr>
            </w:pPr>
            <w:r>
              <w:rPr>
                <w:rFonts w:ascii="Calibri" w:hAnsi="Calibri"/>
                <w:bCs/>
                <w:szCs w:val="24"/>
              </w:rPr>
              <w:t>716</w:t>
            </w:r>
          </w:p>
        </w:tc>
        <w:tc>
          <w:tcPr>
            <w:tcW w:w="930" w:type="dxa"/>
          </w:tcPr>
          <w:p w14:paraId="72B2F6EF" w14:textId="0B5F990C" w:rsidR="00C757DE" w:rsidRPr="004E50E7" w:rsidRDefault="00864B62" w:rsidP="008F2513">
            <w:pPr>
              <w:pStyle w:val="FootnoteText"/>
              <w:jc w:val="center"/>
              <w:rPr>
                <w:rFonts w:ascii="Calibri" w:hAnsi="Calibri"/>
                <w:bCs/>
                <w:szCs w:val="24"/>
              </w:rPr>
            </w:pPr>
            <w:r>
              <w:rPr>
                <w:rFonts w:ascii="Calibri" w:hAnsi="Calibri"/>
                <w:bCs/>
                <w:szCs w:val="24"/>
              </w:rPr>
              <w:t>2.4</w:t>
            </w:r>
          </w:p>
        </w:tc>
      </w:tr>
      <w:tr w:rsidR="00C757DE" w:rsidRPr="004E50E7" w14:paraId="08C0067D" w14:textId="77777777" w:rsidTr="007359F4">
        <w:trPr>
          <w:cantSplit/>
        </w:trPr>
        <w:tc>
          <w:tcPr>
            <w:tcW w:w="1728" w:type="dxa"/>
          </w:tcPr>
          <w:p w14:paraId="70B7CAE5" w14:textId="77777777" w:rsidR="00C757DE" w:rsidRPr="009A77B9" w:rsidRDefault="00C757DE" w:rsidP="008F2513">
            <w:pPr>
              <w:pStyle w:val="BodyText"/>
              <w:spacing w:after="0"/>
              <w:ind w:right="-720"/>
              <w:rPr>
                <w:rFonts w:ascii="Calibri" w:hAnsi="Calibri"/>
                <w:bCs/>
                <w:sz w:val="20"/>
              </w:rPr>
            </w:pPr>
            <w:r w:rsidRPr="009A77B9">
              <w:rPr>
                <w:rFonts w:ascii="Calibri" w:hAnsi="Calibri"/>
                <w:bCs/>
                <w:sz w:val="20"/>
              </w:rPr>
              <w:t>Families **</w:t>
            </w:r>
          </w:p>
        </w:tc>
        <w:tc>
          <w:tcPr>
            <w:tcW w:w="900" w:type="dxa"/>
          </w:tcPr>
          <w:p w14:paraId="55EF9DE3"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140</w:t>
            </w:r>
          </w:p>
        </w:tc>
        <w:tc>
          <w:tcPr>
            <w:tcW w:w="900" w:type="dxa"/>
          </w:tcPr>
          <w:p w14:paraId="6489007A" w14:textId="77777777" w:rsidR="00C757DE" w:rsidRPr="004E50E7" w:rsidRDefault="00C757DE" w:rsidP="008F2513">
            <w:pPr>
              <w:pStyle w:val="Footer"/>
              <w:jc w:val="center"/>
              <w:rPr>
                <w:rFonts w:ascii="Calibri" w:hAnsi="Calibri"/>
                <w:sz w:val="20"/>
              </w:rPr>
            </w:pPr>
            <w:r w:rsidRPr="004E50E7">
              <w:rPr>
                <w:rFonts w:ascii="Calibri" w:hAnsi="Calibri"/>
                <w:sz w:val="20"/>
              </w:rPr>
              <w:t>1.8</w:t>
            </w:r>
          </w:p>
        </w:tc>
        <w:tc>
          <w:tcPr>
            <w:tcW w:w="1080" w:type="dxa"/>
          </w:tcPr>
          <w:p w14:paraId="76E4418D" w14:textId="77777777" w:rsidR="00C757DE" w:rsidRPr="004E50E7" w:rsidRDefault="00C757DE" w:rsidP="008F2513">
            <w:pPr>
              <w:pStyle w:val="Footer"/>
              <w:jc w:val="center"/>
              <w:rPr>
                <w:rFonts w:ascii="Calibri" w:hAnsi="Calibri"/>
                <w:sz w:val="20"/>
              </w:rPr>
            </w:pPr>
            <w:r w:rsidRPr="004E50E7">
              <w:rPr>
                <w:rFonts w:ascii="Calibri" w:hAnsi="Calibri"/>
                <w:sz w:val="20"/>
              </w:rPr>
              <w:t>121</w:t>
            </w:r>
          </w:p>
        </w:tc>
        <w:tc>
          <w:tcPr>
            <w:tcW w:w="900" w:type="dxa"/>
          </w:tcPr>
          <w:p w14:paraId="2DB3BA61" w14:textId="77777777" w:rsidR="00C757DE" w:rsidRPr="004E50E7" w:rsidRDefault="00C757DE" w:rsidP="008F2513">
            <w:pPr>
              <w:pStyle w:val="Footer"/>
              <w:jc w:val="center"/>
              <w:rPr>
                <w:rFonts w:ascii="Calibri" w:hAnsi="Calibri"/>
                <w:sz w:val="20"/>
              </w:rPr>
            </w:pPr>
            <w:r w:rsidRPr="004E50E7">
              <w:rPr>
                <w:rFonts w:ascii="Calibri" w:hAnsi="Calibri"/>
                <w:sz w:val="20"/>
              </w:rPr>
              <w:t>1.6</w:t>
            </w:r>
          </w:p>
        </w:tc>
        <w:tc>
          <w:tcPr>
            <w:tcW w:w="1080" w:type="dxa"/>
            <w:shd w:val="clear" w:color="auto" w:fill="auto"/>
          </w:tcPr>
          <w:p w14:paraId="6301F454" w14:textId="77777777" w:rsidR="00C757DE" w:rsidRPr="004E50E7" w:rsidRDefault="00C757DE" w:rsidP="008F2513">
            <w:pPr>
              <w:jc w:val="center"/>
              <w:rPr>
                <w:rFonts w:ascii="Calibri" w:hAnsi="Calibri"/>
                <w:bCs/>
                <w:sz w:val="20"/>
              </w:rPr>
            </w:pPr>
            <w:r>
              <w:rPr>
                <w:rFonts w:ascii="Calibri" w:hAnsi="Calibri"/>
                <w:bCs/>
                <w:sz w:val="20"/>
              </w:rPr>
              <w:t>234</w:t>
            </w:r>
          </w:p>
        </w:tc>
        <w:tc>
          <w:tcPr>
            <w:tcW w:w="900" w:type="dxa"/>
            <w:shd w:val="clear" w:color="auto" w:fill="auto"/>
          </w:tcPr>
          <w:p w14:paraId="5D07133B" w14:textId="77777777" w:rsidR="00C757DE" w:rsidRPr="004E50E7" w:rsidRDefault="00C757DE" w:rsidP="008F2513">
            <w:pPr>
              <w:jc w:val="center"/>
              <w:rPr>
                <w:rFonts w:ascii="Calibri" w:hAnsi="Calibri"/>
                <w:bCs/>
                <w:sz w:val="20"/>
              </w:rPr>
            </w:pPr>
            <w:r>
              <w:rPr>
                <w:rFonts w:ascii="Calibri" w:hAnsi="Calibri"/>
                <w:bCs/>
                <w:sz w:val="20"/>
              </w:rPr>
              <w:t>3.0</w:t>
            </w:r>
          </w:p>
        </w:tc>
        <w:tc>
          <w:tcPr>
            <w:tcW w:w="1050" w:type="dxa"/>
          </w:tcPr>
          <w:p w14:paraId="73799AAB" w14:textId="4EFC0A4B" w:rsidR="00C757DE" w:rsidRPr="004E50E7" w:rsidRDefault="00957910" w:rsidP="008F2513">
            <w:pPr>
              <w:jc w:val="center"/>
              <w:rPr>
                <w:rFonts w:ascii="Calibri" w:hAnsi="Calibri"/>
                <w:bCs/>
                <w:sz w:val="20"/>
              </w:rPr>
            </w:pPr>
            <w:r>
              <w:rPr>
                <w:rFonts w:ascii="Calibri" w:hAnsi="Calibri"/>
                <w:bCs/>
                <w:sz w:val="20"/>
              </w:rPr>
              <w:t>166</w:t>
            </w:r>
          </w:p>
        </w:tc>
        <w:tc>
          <w:tcPr>
            <w:tcW w:w="930" w:type="dxa"/>
          </w:tcPr>
          <w:p w14:paraId="1B2F82F7" w14:textId="6C83C0AB" w:rsidR="00C757DE" w:rsidRPr="004E50E7" w:rsidRDefault="0094516B" w:rsidP="008F2513">
            <w:pPr>
              <w:jc w:val="center"/>
              <w:rPr>
                <w:rFonts w:ascii="Calibri" w:hAnsi="Calibri"/>
                <w:bCs/>
                <w:sz w:val="20"/>
              </w:rPr>
            </w:pPr>
            <w:r>
              <w:rPr>
                <w:rFonts w:ascii="Calibri" w:hAnsi="Calibri"/>
                <w:bCs/>
                <w:sz w:val="20"/>
              </w:rPr>
              <w:t>1.9</w:t>
            </w:r>
          </w:p>
        </w:tc>
      </w:tr>
      <w:tr w:rsidR="00C757DE" w:rsidRPr="004E50E7" w14:paraId="5DB3851D" w14:textId="77777777" w:rsidTr="007359F4">
        <w:trPr>
          <w:cantSplit/>
        </w:trPr>
        <w:tc>
          <w:tcPr>
            <w:tcW w:w="1728" w:type="dxa"/>
          </w:tcPr>
          <w:p w14:paraId="49C5AB32" w14:textId="77777777" w:rsidR="00C757DE" w:rsidRPr="009A77B9" w:rsidRDefault="00C757DE" w:rsidP="008F2513">
            <w:pPr>
              <w:pStyle w:val="BodyTextIndent"/>
              <w:spacing w:after="0"/>
              <w:ind w:left="0" w:right="-720"/>
              <w:rPr>
                <w:rFonts w:ascii="Calibri" w:hAnsi="Calibri"/>
                <w:bCs/>
                <w:sz w:val="20"/>
              </w:rPr>
            </w:pPr>
            <w:r w:rsidRPr="009A77B9">
              <w:rPr>
                <w:rFonts w:ascii="Calibri" w:hAnsi="Calibri"/>
                <w:bCs/>
                <w:sz w:val="20"/>
              </w:rPr>
              <w:t xml:space="preserve">Individuals </w:t>
            </w:r>
          </w:p>
          <w:p w14:paraId="3F458970" w14:textId="284B01B9" w:rsidR="00C757DE" w:rsidRPr="009A77B9" w:rsidRDefault="00C757DE" w:rsidP="008F2513">
            <w:pPr>
              <w:pStyle w:val="BodyTextIndent"/>
              <w:spacing w:after="0"/>
              <w:ind w:left="0" w:right="-720"/>
              <w:rPr>
                <w:rFonts w:ascii="Calibri" w:hAnsi="Calibri"/>
                <w:bCs/>
                <w:sz w:val="20"/>
              </w:rPr>
            </w:pPr>
            <w:r w:rsidRPr="009A77B9">
              <w:rPr>
                <w:rFonts w:ascii="Calibri" w:hAnsi="Calibri"/>
                <w:bCs/>
                <w:sz w:val="20"/>
              </w:rPr>
              <w:t>65</w:t>
            </w:r>
            <w:r w:rsidR="007359F4">
              <w:rPr>
                <w:rFonts w:ascii="Calibri" w:hAnsi="Calibri"/>
                <w:bCs/>
                <w:sz w:val="20"/>
              </w:rPr>
              <w:t>+</w:t>
            </w:r>
            <w:r w:rsidRPr="009A77B9">
              <w:rPr>
                <w:rFonts w:ascii="Calibri" w:hAnsi="Calibri"/>
                <w:bCs/>
                <w:sz w:val="20"/>
              </w:rPr>
              <w:t>***</w:t>
            </w:r>
          </w:p>
        </w:tc>
        <w:tc>
          <w:tcPr>
            <w:tcW w:w="900" w:type="dxa"/>
          </w:tcPr>
          <w:p w14:paraId="69B65338"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42</w:t>
            </w:r>
          </w:p>
        </w:tc>
        <w:tc>
          <w:tcPr>
            <w:tcW w:w="900" w:type="dxa"/>
          </w:tcPr>
          <w:p w14:paraId="12A37AC4"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0.9</w:t>
            </w:r>
          </w:p>
        </w:tc>
        <w:tc>
          <w:tcPr>
            <w:tcW w:w="1080" w:type="dxa"/>
          </w:tcPr>
          <w:p w14:paraId="24A96881"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36</w:t>
            </w:r>
          </w:p>
        </w:tc>
        <w:tc>
          <w:tcPr>
            <w:tcW w:w="900" w:type="dxa"/>
          </w:tcPr>
          <w:p w14:paraId="121AD24A" w14:textId="77777777" w:rsidR="00C757DE" w:rsidRPr="004E50E7" w:rsidRDefault="00C757DE" w:rsidP="008F2513">
            <w:pPr>
              <w:pStyle w:val="BodyTextIndent"/>
              <w:spacing w:after="0"/>
              <w:ind w:left="0"/>
              <w:jc w:val="center"/>
              <w:rPr>
                <w:rFonts w:ascii="Calibri" w:hAnsi="Calibri"/>
                <w:sz w:val="20"/>
              </w:rPr>
            </w:pPr>
            <w:r w:rsidRPr="004E50E7">
              <w:rPr>
                <w:rFonts w:ascii="Calibri" w:hAnsi="Calibri"/>
                <w:sz w:val="20"/>
              </w:rPr>
              <w:t>0.7</w:t>
            </w:r>
          </w:p>
        </w:tc>
        <w:tc>
          <w:tcPr>
            <w:tcW w:w="1080" w:type="dxa"/>
            <w:shd w:val="clear" w:color="auto" w:fill="auto"/>
          </w:tcPr>
          <w:p w14:paraId="2A0227EB" w14:textId="77777777" w:rsidR="00C757DE" w:rsidRPr="004E50E7" w:rsidRDefault="00C757DE" w:rsidP="008F2513">
            <w:pPr>
              <w:jc w:val="center"/>
              <w:rPr>
                <w:rFonts w:ascii="Calibri" w:hAnsi="Calibri"/>
                <w:bCs/>
                <w:sz w:val="20"/>
              </w:rPr>
            </w:pPr>
            <w:r>
              <w:rPr>
                <w:rFonts w:ascii="Calibri" w:hAnsi="Calibri"/>
                <w:bCs/>
                <w:sz w:val="20"/>
              </w:rPr>
              <w:t>249</w:t>
            </w:r>
          </w:p>
        </w:tc>
        <w:tc>
          <w:tcPr>
            <w:tcW w:w="900" w:type="dxa"/>
            <w:shd w:val="clear" w:color="auto" w:fill="auto"/>
          </w:tcPr>
          <w:p w14:paraId="2FC21D57" w14:textId="77777777" w:rsidR="00C757DE" w:rsidRPr="004E50E7" w:rsidRDefault="00C757DE" w:rsidP="008F2513">
            <w:pPr>
              <w:jc w:val="center"/>
              <w:rPr>
                <w:rFonts w:ascii="Calibri" w:hAnsi="Calibri"/>
                <w:bCs/>
                <w:sz w:val="20"/>
              </w:rPr>
            </w:pPr>
            <w:r>
              <w:rPr>
                <w:rFonts w:ascii="Calibri" w:hAnsi="Calibri"/>
                <w:bCs/>
                <w:sz w:val="20"/>
              </w:rPr>
              <w:t>5.3</w:t>
            </w:r>
          </w:p>
        </w:tc>
        <w:tc>
          <w:tcPr>
            <w:tcW w:w="1050" w:type="dxa"/>
          </w:tcPr>
          <w:p w14:paraId="44EC6A92" w14:textId="17F0CEA2" w:rsidR="00C757DE" w:rsidRPr="004E50E7" w:rsidRDefault="00957910" w:rsidP="008F2513">
            <w:pPr>
              <w:jc w:val="center"/>
              <w:rPr>
                <w:rFonts w:ascii="Calibri" w:hAnsi="Calibri"/>
                <w:bCs/>
                <w:sz w:val="20"/>
              </w:rPr>
            </w:pPr>
            <w:r>
              <w:rPr>
                <w:rFonts w:ascii="Calibri" w:hAnsi="Calibri"/>
                <w:bCs/>
                <w:sz w:val="20"/>
              </w:rPr>
              <w:t>336</w:t>
            </w:r>
          </w:p>
        </w:tc>
        <w:tc>
          <w:tcPr>
            <w:tcW w:w="930" w:type="dxa"/>
          </w:tcPr>
          <w:p w14:paraId="3CC14652" w14:textId="276208B6" w:rsidR="00C757DE" w:rsidRPr="004E50E7" w:rsidRDefault="00864B62" w:rsidP="008F2513">
            <w:pPr>
              <w:jc w:val="center"/>
              <w:rPr>
                <w:rFonts w:ascii="Calibri" w:hAnsi="Calibri"/>
                <w:bCs/>
                <w:sz w:val="20"/>
              </w:rPr>
            </w:pPr>
            <w:r>
              <w:rPr>
                <w:rFonts w:ascii="Calibri" w:hAnsi="Calibri"/>
                <w:bCs/>
                <w:sz w:val="20"/>
              </w:rPr>
              <w:t>5.8</w:t>
            </w:r>
          </w:p>
        </w:tc>
      </w:tr>
    </w:tbl>
    <w:p w14:paraId="4B0694C2" w14:textId="57D0A1BB" w:rsidR="008772FC" w:rsidRPr="004E50E7" w:rsidRDefault="008772FC" w:rsidP="008772FC">
      <w:pPr>
        <w:ind w:left="720" w:right="-720"/>
        <w:rPr>
          <w:rFonts w:ascii="Calibri" w:hAnsi="Calibri"/>
          <w:sz w:val="20"/>
        </w:rPr>
      </w:pPr>
      <w:r w:rsidRPr="004E50E7">
        <w:rPr>
          <w:rFonts w:ascii="Calibri" w:hAnsi="Calibri"/>
          <w:sz w:val="20"/>
        </w:rPr>
        <w:t xml:space="preserve">Sources:  U.S. Census Bureau, Census 1990 and 2000 Summary File 3 and </w:t>
      </w:r>
      <w:r w:rsidR="009A77B9">
        <w:rPr>
          <w:rFonts w:ascii="Calibri" w:hAnsi="Calibri"/>
          <w:sz w:val="20"/>
        </w:rPr>
        <w:t>2006-</w:t>
      </w:r>
      <w:r w:rsidRPr="004E50E7">
        <w:rPr>
          <w:rFonts w:ascii="Calibri" w:hAnsi="Calibri"/>
          <w:sz w:val="20"/>
        </w:rPr>
        <w:t>20</w:t>
      </w:r>
      <w:r>
        <w:rPr>
          <w:rFonts w:ascii="Calibri" w:hAnsi="Calibri"/>
          <w:sz w:val="20"/>
        </w:rPr>
        <w:t>10</w:t>
      </w:r>
      <w:r w:rsidR="00C757DE">
        <w:rPr>
          <w:rFonts w:ascii="Calibri" w:hAnsi="Calibri"/>
          <w:sz w:val="20"/>
        </w:rPr>
        <w:t xml:space="preserve"> and 201</w:t>
      </w:r>
      <w:r w:rsidR="00864B62">
        <w:rPr>
          <w:rFonts w:ascii="Calibri" w:hAnsi="Calibri"/>
          <w:sz w:val="20"/>
        </w:rPr>
        <w:t>6</w:t>
      </w:r>
      <w:r w:rsidR="00C757DE">
        <w:rPr>
          <w:rFonts w:ascii="Calibri" w:hAnsi="Calibri"/>
          <w:sz w:val="20"/>
        </w:rPr>
        <w:t>-20</w:t>
      </w:r>
      <w:r w:rsidR="00864B62">
        <w:rPr>
          <w:rFonts w:ascii="Calibri" w:hAnsi="Calibri"/>
          <w:sz w:val="20"/>
        </w:rPr>
        <w:t>20</w:t>
      </w:r>
      <w:r>
        <w:rPr>
          <w:rFonts w:ascii="Calibri" w:hAnsi="Calibri"/>
          <w:sz w:val="20"/>
        </w:rPr>
        <w:t xml:space="preserve"> </w:t>
      </w:r>
      <w:r w:rsidRPr="004E50E7">
        <w:rPr>
          <w:rFonts w:ascii="Calibri" w:hAnsi="Calibri"/>
          <w:sz w:val="20"/>
        </w:rPr>
        <w:t xml:space="preserve">American Community Survey </w:t>
      </w:r>
      <w:r w:rsidR="00C757DE">
        <w:rPr>
          <w:rFonts w:ascii="Calibri" w:hAnsi="Calibri"/>
          <w:sz w:val="20"/>
        </w:rPr>
        <w:t>5-Year Estimates.</w:t>
      </w:r>
    </w:p>
    <w:p w14:paraId="615F89E2" w14:textId="77777777" w:rsidR="008772FC" w:rsidRPr="004E50E7" w:rsidRDefault="008772FC" w:rsidP="008772FC">
      <w:pPr>
        <w:pStyle w:val="BodyTextIndent"/>
        <w:spacing w:after="0"/>
        <w:ind w:left="0" w:right="-720"/>
        <w:rPr>
          <w:rFonts w:ascii="Calibri" w:hAnsi="Calibri"/>
          <w:bCs/>
        </w:rPr>
      </w:pPr>
    </w:p>
    <w:p w14:paraId="29397B85" w14:textId="3DDEFD80" w:rsidR="008772FC" w:rsidRPr="006A5E56" w:rsidRDefault="00CC15E1" w:rsidP="00303F30">
      <w:pPr>
        <w:jc w:val="both"/>
        <w:rPr>
          <w:rFonts w:ascii="Calibri" w:hAnsi="Calibri"/>
          <w:b/>
          <w:bCs/>
          <w:color w:val="1F497D" w:themeColor="text2"/>
        </w:rPr>
      </w:pPr>
      <w:r>
        <w:rPr>
          <w:rFonts w:ascii="Calibri" w:hAnsi="Calibri"/>
          <w:b/>
          <w:bCs/>
          <w:color w:val="1F497D" w:themeColor="text2"/>
        </w:rPr>
        <w:t>3</w:t>
      </w:r>
      <w:r w:rsidR="008772FC" w:rsidRPr="006A5E56">
        <w:rPr>
          <w:rFonts w:ascii="Calibri" w:hAnsi="Calibri"/>
          <w:b/>
          <w:bCs/>
          <w:color w:val="1F497D" w:themeColor="text2"/>
        </w:rPr>
        <w:t>.</w:t>
      </w:r>
      <w:r w:rsidR="008772FC" w:rsidRPr="006A5E56">
        <w:rPr>
          <w:rFonts w:ascii="Calibri" w:hAnsi="Calibri"/>
          <w:b/>
          <w:bCs/>
          <w:color w:val="1F497D" w:themeColor="text2"/>
        </w:rPr>
        <w:tab/>
        <w:t xml:space="preserve">Employment – </w:t>
      </w:r>
      <w:r w:rsidR="00D71D8F">
        <w:rPr>
          <w:rFonts w:ascii="Calibri" w:hAnsi="Calibri"/>
          <w:b/>
          <w:bCs/>
          <w:color w:val="1F497D" w:themeColor="text2"/>
        </w:rPr>
        <w:t>Diverse economic base</w:t>
      </w:r>
      <w:r w:rsidR="008772FC" w:rsidRPr="006A5E56">
        <w:rPr>
          <w:rFonts w:ascii="Calibri" w:hAnsi="Calibri"/>
          <w:b/>
          <w:bCs/>
          <w:color w:val="1F497D" w:themeColor="text2"/>
        </w:rPr>
        <w:t xml:space="preserve"> with high average wages </w:t>
      </w:r>
    </w:p>
    <w:p w14:paraId="1D445DAF" w14:textId="53DCFC1B" w:rsidR="008772FC" w:rsidRDefault="008772FC" w:rsidP="00303F30">
      <w:pPr>
        <w:pStyle w:val="BodyText"/>
        <w:spacing w:after="0"/>
        <w:jc w:val="both"/>
        <w:rPr>
          <w:rFonts w:ascii="Calibri" w:hAnsi="Calibri"/>
          <w:sz w:val="22"/>
          <w:szCs w:val="22"/>
        </w:rPr>
      </w:pPr>
      <w:r w:rsidRPr="006A5E56">
        <w:rPr>
          <w:rFonts w:ascii="Calibri" w:hAnsi="Calibri"/>
          <w:sz w:val="22"/>
          <w:szCs w:val="22"/>
        </w:rPr>
        <w:t xml:space="preserve">Needham has a strong and diverse economic base.  Early agricultural, grazing, lumbering and tanneries gave way to manufacturing with the extension of the railroad and the removal of the community’s </w:t>
      </w:r>
      <w:r w:rsidRPr="006A5E56">
        <w:rPr>
          <w:rFonts w:ascii="Calibri" w:hAnsi="Calibri"/>
          <w:sz w:val="22"/>
          <w:szCs w:val="22"/>
        </w:rPr>
        <w:lastRenderedPageBreak/>
        <w:t xml:space="preserve">relative isolation within the loop of the Charles River. Land speculation, housing development and knitwear became the foundation of the </w:t>
      </w:r>
      <w:r w:rsidR="00CA2448">
        <w:rPr>
          <w:rFonts w:ascii="Calibri" w:hAnsi="Calibri"/>
          <w:sz w:val="22"/>
          <w:szCs w:val="22"/>
        </w:rPr>
        <w:t>community</w:t>
      </w:r>
      <w:r w:rsidRPr="006A5E56">
        <w:rPr>
          <w:rFonts w:ascii="Calibri" w:hAnsi="Calibri"/>
          <w:sz w:val="22"/>
          <w:szCs w:val="22"/>
        </w:rPr>
        <w:t>’s economy well into the 20</w:t>
      </w:r>
      <w:r w:rsidRPr="006A5E56">
        <w:rPr>
          <w:rFonts w:ascii="Calibri" w:hAnsi="Calibri"/>
          <w:sz w:val="22"/>
          <w:szCs w:val="22"/>
          <w:vertAlign w:val="superscript"/>
        </w:rPr>
        <w:t>th</w:t>
      </w:r>
      <w:r w:rsidRPr="006A5E56">
        <w:rPr>
          <w:rFonts w:ascii="Calibri" w:hAnsi="Calibri"/>
          <w:sz w:val="22"/>
          <w:szCs w:val="22"/>
        </w:rPr>
        <w:t xml:space="preserve"> Century.  The construction of Route 128 enabled the town to become part of the high-tech highway after World War II, further expanding the local economy. </w:t>
      </w:r>
    </w:p>
    <w:p w14:paraId="081C63DF" w14:textId="77777777" w:rsidR="00417300" w:rsidRPr="006A5E56" w:rsidRDefault="00417300" w:rsidP="00303F30">
      <w:pPr>
        <w:pStyle w:val="BodyText"/>
        <w:spacing w:after="0"/>
        <w:jc w:val="both"/>
        <w:rPr>
          <w:rFonts w:ascii="Calibri" w:hAnsi="Calibri"/>
          <w:sz w:val="22"/>
          <w:szCs w:val="22"/>
        </w:rPr>
      </w:pPr>
    </w:p>
    <w:p w14:paraId="15E20075" w14:textId="1011AF53" w:rsidR="008772FC" w:rsidRPr="006A5E56" w:rsidRDefault="008772FC" w:rsidP="00303F30">
      <w:pPr>
        <w:pStyle w:val="BodyText"/>
        <w:spacing w:after="0"/>
        <w:jc w:val="both"/>
        <w:rPr>
          <w:rFonts w:ascii="Calibri" w:hAnsi="Calibri"/>
          <w:sz w:val="22"/>
          <w:szCs w:val="22"/>
        </w:rPr>
      </w:pPr>
      <w:r w:rsidRPr="006A5E56">
        <w:rPr>
          <w:rFonts w:ascii="Calibri" w:hAnsi="Calibri"/>
          <w:sz w:val="22"/>
          <w:szCs w:val="22"/>
        </w:rPr>
        <w:t xml:space="preserve">Of those </w:t>
      </w:r>
      <w:r w:rsidR="0094516B">
        <w:rPr>
          <w:rFonts w:ascii="Calibri" w:hAnsi="Calibri"/>
          <w:sz w:val="22"/>
          <w:szCs w:val="22"/>
        </w:rPr>
        <w:t>23,761</w:t>
      </w:r>
      <w:r w:rsidR="00CA2448">
        <w:rPr>
          <w:rFonts w:ascii="Calibri" w:hAnsi="Calibri"/>
          <w:sz w:val="22"/>
          <w:szCs w:val="22"/>
        </w:rPr>
        <w:t xml:space="preserve"> </w:t>
      </w:r>
      <w:r w:rsidRPr="006A5E56">
        <w:rPr>
          <w:rFonts w:ascii="Calibri" w:hAnsi="Calibri"/>
          <w:sz w:val="22"/>
          <w:szCs w:val="22"/>
        </w:rPr>
        <w:t>Needham residents</w:t>
      </w:r>
      <w:r w:rsidR="0020031D">
        <w:rPr>
          <w:rFonts w:ascii="Calibri" w:hAnsi="Calibri"/>
          <w:sz w:val="22"/>
          <w:szCs w:val="22"/>
        </w:rPr>
        <w:t xml:space="preserve"> </w:t>
      </w:r>
      <w:r w:rsidR="0094516B">
        <w:rPr>
          <w:rFonts w:ascii="Calibri" w:hAnsi="Calibri"/>
          <w:sz w:val="22"/>
          <w:szCs w:val="22"/>
        </w:rPr>
        <w:t>over the</w:t>
      </w:r>
      <w:r w:rsidRPr="006A5E56">
        <w:rPr>
          <w:rFonts w:ascii="Calibri" w:hAnsi="Calibri"/>
          <w:sz w:val="22"/>
          <w:szCs w:val="22"/>
        </w:rPr>
        <w:t xml:space="preserve"> age</w:t>
      </w:r>
      <w:r w:rsidR="00A9079E">
        <w:rPr>
          <w:rFonts w:ascii="Calibri" w:hAnsi="Calibri"/>
          <w:sz w:val="22"/>
          <w:szCs w:val="22"/>
        </w:rPr>
        <w:t xml:space="preserve"> </w:t>
      </w:r>
      <w:r w:rsidRPr="006A5E56">
        <w:rPr>
          <w:rFonts w:ascii="Calibri" w:hAnsi="Calibri"/>
          <w:sz w:val="22"/>
          <w:szCs w:val="22"/>
        </w:rPr>
        <w:t>of 16</w:t>
      </w:r>
      <w:r w:rsidR="0094516B">
        <w:rPr>
          <w:rFonts w:ascii="Calibri" w:hAnsi="Calibri"/>
          <w:sz w:val="22"/>
          <w:szCs w:val="22"/>
        </w:rPr>
        <w:t xml:space="preserve"> in 2020</w:t>
      </w:r>
      <w:r w:rsidRPr="006A5E56">
        <w:rPr>
          <w:rFonts w:ascii="Calibri" w:hAnsi="Calibri"/>
          <w:sz w:val="22"/>
          <w:szCs w:val="22"/>
        </w:rPr>
        <w:t xml:space="preserve">, </w:t>
      </w:r>
      <w:r w:rsidR="0094516B">
        <w:rPr>
          <w:rFonts w:ascii="Calibri" w:hAnsi="Calibri"/>
          <w:sz w:val="22"/>
          <w:szCs w:val="22"/>
        </w:rPr>
        <w:t>15,392</w:t>
      </w:r>
      <w:r w:rsidRPr="006A5E56">
        <w:rPr>
          <w:rFonts w:ascii="Calibri" w:hAnsi="Calibri"/>
          <w:sz w:val="22"/>
          <w:szCs w:val="22"/>
        </w:rPr>
        <w:t xml:space="preserve"> </w:t>
      </w:r>
      <w:r w:rsidR="003A4719">
        <w:rPr>
          <w:rFonts w:ascii="Calibri" w:hAnsi="Calibri"/>
          <w:sz w:val="22"/>
          <w:szCs w:val="22"/>
        </w:rPr>
        <w:t xml:space="preserve">or </w:t>
      </w:r>
      <w:r w:rsidR="0094516B">
        <w:rPr>
          <w:rFonts w:ascii="Calibri" w:hAnsi="Calibri"/>
          <w:sz w:val="22"/>
          <w:szCs w:val="22"/>
        </w:rPr>
        <w:t>64.7</w:t>
      </w:r>
      <w:r w:rsidR="0020031D">
        <w:rPr>
          <w:rFonts w:ascii="Calibri" w:hAnsi="Calibri"/>
          <w:sz w:val="22"/>
          <w:szCs w:val="22"/>
        </w:rPr>
        <w:t>%</w:t>
      </w:r>
      <w:r w:rsidRPr="006A5E56">
        <w:rPr>
          <w:rFonts w:ascii="Calibri" w:hAnsi="Calibri"/>
          <w:sz w:val="22"/>
          <w:szCs w:val="22"/>
        </w:rPr>
        <w:t xml:space="preserve"> were in the labor market.  </w:t>
      </w:r>
      <w:r w:rsidR="00A62CDB" w:rsidRPr="00A62CDB">
        <w:rPr>
          <w:rFonts w:ascii="Calibri" w:hAnsi="Calibri"/>
          <w:i/>
          <w:sz w:val="22"/>
          <w:szCs w:val="22"/>
        </w:rPr>
        <w:t xml:space="preserve">Of these, </w:t>
      </w:r>
      <w:r w:rsidR="00915516">
        <w:rPr>
          <w:rFonts w:ascii="Calibri" w:hAnsi="Calibri"/>
          <w:i/>
          <w:sz w:val="22"/>
          <w:szCs w:val="22"/>
        </w:rPr>
        <w:t>3,816</w:t>
      </w:r>
      <w:r w:rsidR="00A62CDB" w:rsidRPr="00A62CDB">
        <w:rPr>
          <w:rFonts w:ascii="Calibri" w:hAnsi="Calibri"/>
          <w:i/>
          <w:sz w:val="22"/>
          <w:szCs w:val="22"/>
        </w:rPr>
        <w:t xml:space="preserve"> or 2</w:t>
      </w:r>
      <w:r w:rsidR="00915516">
        <w:rPr>
          <w:rFonts w:ascii="Calibri" w:hAnsi="Calibri"/>
          <w:i/>
          <w:sz w:val="22"/>
          <w:szCs w:val="22"/>
        </w:rPr>
        <w:t>5</w:t>
      </w:r>
      <w:r w:rsidR="00A62CDB" w:rsidRPr="00A62CDB">
        <w:rPr>
          <w:rFonts w:ascii="Calibri" w:hAnsi="Calibri"/>
          <w:i/>
          <w:sz w:val="22"/>
          <w:szCs w:val="22"/>
        </w:rPr>
        <w:t>%</w:t>
      </w:r>
      <w:r w:rsidR="00A62CDB">
        <w:rPr>
          <w:rFonts w:ascii="Calibri" w:hAnsi="Calibri"/>
          <w:sz w:val="22"/>
          <w:szCs w:val="22"/>
        </w:rPr>
        <w:t xml:space="preserve"> </w:t>
      </w:r>
      <w:r w:rsidRPr="006A5E56">
        <w:rPr>
          <w:rFonts w:ascii="Calibri" w:hAnsi="Calibri"/>
          <w:i/>
          <w:iCs/>
          <w:sz w:val="22"/>
          <w:szCs w:val="22"/>
        </w:rPr>
        <w:t>worked in the community.</w:t>
      </w:r>
      <w:r w:rsidRPr="006A5E56">
        <w:rPr>
          <w:rFonts w:ascii="Calibri" w:hAnsi="Calibri"/>
          <w:sz w:val="22"/>
          <w:szCs w:val="22"/>
        </w:rPr>
        <w:t xml:space="preserve">  It should also be noted that </w:t>
      </w:r>
      <w:r w:rsidR="0094516B">
        <w:rPr>
          <w:rFonts w:ascii="Calibri" w:hAnsi="Calibri"/>
          <w:sz w:val="22"/>
          <w:szCs w:val="22"/>
        </w:rPr>
        <w:t>66.7</w:t>
      </w:r>
      <w:r w:rsidRPr="006A5E56">
        <w:rPr>
          <w:rFonts w:ascii="Calibri" w:hAnsi="Calibri"/>
          <w:sz w:val="22"/>
          <w:szCs w:val="22"/>
        </w:rPr>
        <w:t xml:space="preserve">% of workers drove alone to work </w:t>
      </w:r>
      <w:r w:rsidR="00BF547E">
        <w:rPr>
          <w:rFonts w:ascii="Calibri" w:hAnsi="Calibri"/>
          <w:sz w:val="22"/>
          <w:szCs w:val="22"/>
        </w:rPr>
        <w:t xml:space="preserve">and </w:t>
      </w:r>
      <w:r w:rsidRPr="006A5E56">
        <w:rPr>
          <w:rFonts w:ascii="Calibri" w:hAnsi="Calibri"/>
          <w:sz w:val="22"/>
          <w:szCs w:val="22"/>
        </w:rPr>
        <w:t xml:space="preserve">another </w:t>
      </w:r>
      <w:r w:rsidR="0020031D">
        <w:rPr>
          <w:rFonts w:ascii="Calibri" w:hAnsi="Calibri"/>
          <w:sz w:val="22"/>
          <w:szCs w:val="22"/>
        </w:rPr>
        <w:t>3</w:t>
      </w:r>
      <w:r w:rsidR="00E70045">
        <w:rPr>
          <w:rFonts w:ascii="Calibri" w:hAnsi="Calibri"/>
          <w:sz w:val="22"/>
          <w:szCs w:val="22"/>
        </w:rPr>
        <w:t>.9</w:t>
      </w:r>
      <w:r w:rsidRPr="006A5E56">
        <w:rPr>
          <w:rFonts w:ascii="Calibri" w:hAnsi="Calibri"/>
          <w:sz w:val="22"/>
          <w:szCs w:val="22"/>
        </w:rPr>
        <w:t>% carpooled</w:t>
      </w:r>
      <w:r w:rsidR="00BF547E">
        <w:rPr>
          <w:rFonts w:ascii="Calibri" w:hAnsi="Calibri"/>
          <w:sz w:val="22"/>
          <w:szCs w:val="22"/>
        </w:rPr>
        <w:t xml:space="preserve">. </w:t>
      </w:r>
      <w:r w:rsidR="0094516B">
        <w:rPr>
          <w:rFonts w:ascii="Calibri" w:hAnsi="Calibri"/>
          <w:sz w:val="22"/>
          <w:szCs w:val="22"/>
        </w:rPr>
        <w:t xml:space="preserve"> </w:t>
      </w:r>
      <w:r w:rsidR="00BF547E">
        <w:rPr>
          <w:rFonts w:ascii="Calibri" w:hAnsi="Calibri"/>
          <w:sz w:val="22"/>
          <w:szCs w:val="22"/>
        </w:rPr>
        <w:t>Almost 13</w:t>
      </w:r>
      <w:r w:rsidRPr="006A5E56">
        <w:rPr>
          <w:rFonts w:ascii="Calibri" w:hAnsi="Calibri"/>
          <w:sz w:val="22"/>
          <w:szCs w:val="22"/>
        </w:rPr>
        <w:t xml:space="preserve">% used public transportation, </w:t>
      </w:r>
      <w:r w:rsidR="0020031D">
        <w:rPr>
          <w:rFonts w:ascii="Calibri" w:hAnsi="Calibri"/>
          <w:sz w:val="22"/>
          <w:szCs w:val="22"/>
        </w:rPr>
        <w:t xml:space="preserve">up from </w:t>
      </w:r>
      <w:r w:rsidR="0014658A">
        <w:rPr>
          <w:rFonts w:ascii="Calibri" w:hAnsi="Calibri"/>
          <w:sz w:val="22"/>
          <w:szCs w:val="22"/>
        </w:rPr>
        <w:t>11.6% in 2012</w:t>
      </w:r>
      <w:r w:rsidR="0020031D">
        <w:rPr>
          <w:rFonts w:ascii="Calibri" w:hAnsi="Calibri"/>
          <w:sz w:val="22"/>
          <w:szCs w:val="22"/>
        </w:rPr>
        <w:t xml:space="preserve"> and 10.6% in 2017</w:t>
      </w:r>
      <w:r w:rsidR="0014658A">
        <w:rPr>
          <w:rFonts w:ascii="Calibri" w:hAnsi="Calibri"/>
          <w:sz w:val="22"/>
          <w:szCs w:val="22"/>
        </w:rPr>
        <w:t xml:space="preserve">.  </w:t>
      </w:r>
      <w:r w:rsidRPr="006A5E56">
        <w:rPr>
          <w:rFonts w:ascii="Calibri" w:hAnsi="Calibri"/>
          <w:sz w:val="22"/>
          <w:szCs w:val="22"/>
        </w:rPr>
        <w:t>The average commuting time was 3</w:t>
      </w:r>
      <w:r w:rsidR="0020031D">
        <w:rPr>
          <w:rFonts w:ascii="Calibri" w:hAnsi="Calibri"/>
          <w:sz w:val="22"/>
          <w:szCs w:val="22"/>
        </w:rPr>
        <w:t>2</w:t>
      </w:r>
      <w:r w:rsidR="0014658A">
        <w:rPr>
          <w:rFonts w:ascii="Calibri" w:hAnsi="Calibri"/>
          <w:sz w:val="22"/>
          <w:szCs w:val="22"/>
        </w:rPr>
        <w:t>.</w:t>
      </w:r>
      <w:r w:rsidR="00E70045">
        <w:rPr>
          <w:rFonts w:ascii="Calibri" w:hAnsi="Calibri"/>
          <w:sz w:val="22"/>
          <w:szCs w:val="22"/>
        </w:rPr>
        <w:t>5</w:t>
      </w:r>
      <w:r w:rsidRPr="006A5E56">
        <w:rPr>
          <w:rFonts w:ascii="Calibri" w:hAnsi="Calibri"/>
          <w:sz w:val="22"/>
          <w:szCs w:val="22"/>
        </w:rPr>
        <w:t xml:space="preserve"> minutes.</w:t>
      </w:r>
    </w:p>
    <w:p w14:paraId="1A384A72" w14:textId="77777777" w:rsidR="008772FC" w:rsidRPr="006A5E56" w:rsidRDefault="008772FC" w:rsidP="00303F30">
      <w:pPr>
        <w:pStyle w:val="BodyText"/>
        <w:spacing w:after="0"/>
        <w:jc w:val="both"/>
        <w:rPr>
          <w:rFonts w:ascii="Calibri" w:hAnsi="Calibri"/>
          <w:sz w:val="22"/>
          <w:szCs w:val="22"/>
        </w:rPr>
      </w:pPr>
    </w:p>
    <w:p w14:paraId="7C8CA4E4" w14:textId="6AE356BD" w:rsidR="008772FC" w:rsidRDefault="008772FC" w:rsidP="00303F30">
      <w:pPr>
        <w:pStyle w:val="BodyText"/>
        <w:spacing w:after="0"/>
        <w:jc w:val="both"/>
        <w:rPr>
          <w:rFonts w:ascii="Calibri" w:hAnsi="Calibri"/>
          <w:sz w:val="22"/>
          <w:szCs w:val="22"/>
        </w:rPr>
      </w:pPr>
      <w:r w:rsidRPr="006A5E56">
        <w:rPr>
          <w:rFonts w:ascii="Calibri" w:hAnsi="Calibri"/>
          <w:sz w:val="22"/>
          <w:szCs w:val="22"/>
        </w:rPr>
        <w:t>The 20</w:t>
      </w:r>
      <w:r w:rsidR="00E70045">
        <w:rPr>
          <w:rFonts w:ascii="Calibri" w:hAnsi="Calibri"/>
          <w:sz w:val="22"/>
          <w:szCs w:val="22"/>
        </w:rPr>
        <w:t>20</w:t>
      </w:r>
      <w:r w:rsidR="0014658A">
        <w:rPr>
          <w:rFonts w:ascii="Calibri" w:hAnsi="Calibri"/>
          <w:sz w:val="22"/>
          <w:szCs w:val="22"/>
        </w:rPr>
        <w:t xml:space="preserve"> census estimates </w:t>
      </w:r>
      <w:r w:rsidRPr="006A5E56">
        <w:rPr>
          <w:rFonts w:ascii="Calibri" w:hAnsi="Calibri"/>
          <w:sz w:val="22"/>
          <w:szCs w:val="22"/>
        </w:rPr>
        <w:t xml:space="preserve">also provide information on the concentration of Needham </w:t>
      </w:r>
      <w:r w:rsidR="002F2D5E">
        <w:rPr>
          <w:rFonts w:ascii="Calibri" w:hAnsi="Calibri"/>
          <w:sz w:val="22"/>
          <w:szCs w:val="22"/>
        </w:rPr>
        <w:t>working resident</w:t>
      </w:r>
      <w:r w:rsidRPr="006A5E56">
        <w:rPr>
          <w:rFonts w:ascii="Calibri" w:hAnsi="Calibri"/>
          <w:sz w:val="22"/>
          <w:szCs w:val="22"/>
        </w:rPr>
        <w:t xml:space="preserve">s by industry, indicating that </w:t>
      </w:r>
      <w:r w:rsidR="00E70045">
        <w:rPr>
          <w:rFonts w:ascii="Calibri" w:hAnsi="Calibri"/>
          <w:sz w:val="22"/>
          <w:szCs w:val="22"/>
        </w:rPr>
        <w:t>more than</w:t>
      </w:r>
      <w:r w:rsidRPr="006A5E56">
        <w:rPr>
          <w:rFonts w:ascii="Calibri" w:hAnsi="Calibri"/>
          <w:sz w:val="22"/>
          <w:szCs w:val="22"/>
        </w:rPr>
        <w:t xml:space="preserve"> two-thirds were involved in management or professional occupations (6</w:t>
      </w:r>
      <w:r w:rsidR="003A4719">
        <w:rPr>
          <w:rFonts w:ascii="Calibri" w:hAnsi="Calibri"/>
          <w:sz w:val="22"/>
          <w:szCs w:val="22"/>
        </w:rPr>
        <w:t>8</w:t>
      </w:r>
      <w:r w:rsidR="00E70045">
        <w:rPr>
          <w:rFonts w:ascii="Calibri" w:hAnsi="Calibri"/>
          <w:sz w:val="22"/>
          <w:szCs w:val="22"/>
        </w:rPr>
        <w:t>.3</w:t>
      </w:r>
      <w:r w:rsidRPr="006A5E56">
        <w:rPr>
          <w:rFonts w:ascii="Calibri" w:hAnsi="Calibri"/>
          <w:sz w:val="22"/>
          <w:szCs w:val="22"/>
        </w:rPr>
        <w:t xml:space="preserve">%), </w:t>
      </w:r>
      <w:r w:rsidR="00E70045">
        <w:rPr>
          <w:rFonts w:ascii="Calibri" w:hAnsi="Calibri"/>
          <w:sz w:val="22"/>
          <w:szCs w:val="22"/>
        </w:rPr>
        <w:t>20.5</w:t>
      </w:r>
      <w:r w:rsidRPr="006A5E56">
        <w:rPr>
          <w:rFonts w:ascii="Calibri" w:hAnsi="Calibri"/>
          <w:sz w:val="22"/>
          <w:szCs w:val="22"/>
        </w:rPr>
        <w:t xml:space="preserve">% in sales and office occupations, </w:t>
      </w:r>
      <w:r w:rsidR="00E70045">
        <w:rPr>
          <w:rFonts w:ascii="Calibri" w:hAnsi="Calibri"/>
          <w:sz w:val="22"/>
          <w:szCs w:val="22"/>
        </w:rPr>
        <w:t>6.0</w:t>
      </w:r>
      <w:r w:rsidRPr="006A5E56">
        <w:rPr>
          <w:rFonts w:ascii="Calibri" w:hAnsi="Calibri"/>
          <w:sz w:val="22"/>
          <w:szCs w:val="22"/>
        </w:rPr>
        <w:t>% in service occupations,</w:t>
      </w:r>
      <w:r w:rsidR="0014658A">
        <w:rPr>
          <w:rFonts w:ascii="Calibri" w:hAnsi="Calibri"/>
          <w:sz w:val="22"/>
          <w:szCs w:val="22"/>
        </w:rPr>
        <w:t xml:space="preserve"> </w:t>
      </w:r>
      <w:r w:rsidR="00E70045">
        <w:rPr>
          <w:rFonts w:ascii="Calibri" w:hAnsi="Calibri"/>
          <w:sz w:val="22"/>
          <w:szCs w:val="22"/>
        </w:rPr>
        <w:t>2.3</w:t>
      </w:r>
      <w:r w:rsidR="0014658A">
        <w:rPr>
          <w:rFonts w:ascii="Calibri" w:hAnsi="Calibri"/>
          <w:sz w:val="22"/>
          <w:szCs w:val="22"/>
        </w:rPr>
        <w:t>% in construction or maintenance jobs,</w:t>
      </w:r>
      <w:r w:rsidRPr="006A5E56">
        <w:rPr>
          <w:rFonts w:ascii="Calibri" w:hAnsi="Calibri"/>
          <w:sz w:val="22"/>
          <w:szCs w:val="22"/>
        </w:rPr>
        <w:t xml:space="preserve"> and </w:t>
      </w:r>
      <w:r w:rsidR="003A4719">
        <w:rPr>
          <w:rFonts w:ascii="Calibri" w:hAnsi="Calibri"/>
          <w:sz w:val="22"/>
          <w:szCs w:val="22"/>
        </w:rPr>
        <w:t>2.</w:t>
      </w:r>
      <w:r w:rsidR="00E70045">
        <w:rPr>
          <w:rFonts w:ascii="Calibri" w:hAnsi="Calibri"/>
          <w:sz w:val="22"/>
          <w:szCs w:val="22"/>
        </w:rPr>
        <w:t>9</w:t>
      </w:r>
      <w:r w:rsidRPr="006A5E56">
        <w:rPr>
          <w:rFonts w:ascii="Calibri" w:hAnsi="Calibri"/>
          <w:sz w:val="22"/>
          <w:szCs w:val="22"/>
        </w:rPr>
        <w:t xml:space="preserve">% in production and transportation work.  </w:t>
      </w:r>
      <w:r w:rsidR="003A4719">
        <w:rPr>
          <w:rFonts w:ascii="Calibri" w:hAnsi="Calibri"/>
          <w:sz w:val="22"/>
          <w:szCs w:val="22"/>
        </w:rPr>
        <w:t>About 8</w:t>
      </w:r>
      <w:r w:rsidR="00E70045">
        <w:rPr>
          <w:rFonts w:ascii="Calibri" w:hAnsi="Calibri"/>
          <w:sz w:val="22"/>
          <w:szCs w:val="22"/>
        </w:rPr>
        <w:t>2</w:t>
      </w:r>
      <w:r w:rsidR="003A4719">
        <w:rPr>
          <w:rFonts w:ascii="Calibri" w:hAnsi="Calibri"/>
          <w:sz w:val="22"/>
          <w:szCs w:val="22"/>
        </w:rPr>
        <w:t xml:space="preserve">% </w:t>
      </w:r>
      <w:r w:rsidR="00C35BF2">
        <w:rPr>
          <w:rFonts w:ascii="Calibri" w:hAnsi="Calibri"/>
          <w:sz w:val="22"/>
          <w:szCs w:val="22"/>
        </w:rPr>
        <w:t xml:space="preserve">were </w:t>
      </w:r>
      <w:r w:rsidR="0014658A">
        <w:rPr>
          <w:rFonts w:ascii="Calibri" w:hAnsi="Calibri"/>
          <w:sz w:val="22"/>
          <w:szCs w:val="22"/>
        </w:rPr>
        <w:t xml:space="preserve">private </w:t>
      </w:r>
      <w:r w:rsidRPr="006A5E56">
        <w:rPr>
          <w:rFonts w:ascii="Calibri" w:hAnsi="Calibri"/>
          <w:sz w:val="22"/>
          <w:szCs w:val="22"/>
        </w:rPr>
        <w:t>salaried</w:t>
      </w:r>
      <w:r w:rsidR="0014658A">
        <w:rPr>
          <w:rFonts w:ascii="Calibri" w:hAnsi="Calibri"/>
          <w:sz w:val="22"/>
          <w:szCs w:val="22"/>
        </w:rPr>
        <w:t xml:space="preserve"> or wage</w:t>
      </w:r>
      <w:r w:rsidRPr="006A5E56">
        <w:rPr>
          <w:rFonts w:ascii="Calibri" w:hAnsi="Calibri"/>
          <w:sz w:val="22"/>
          <w:szCs w:val="22"/>
        </w:rPr>
        <w:t xml:space="preserve"> workers, another </w:t>
      </w:r>
      <w:r w:rsidR="003A4719">
        <w:rPr>
          <w:rFonts w:ascii="Calibri" w:hAnsi="Calibri"/>
          <w:sz w:val="22"/>
          <w:szCs w:val="22"/>
        </w:rPr>
        <w:t>9.</w:t>
      </w:r>
      <w:r w:rsidR="00E70045">
        <w:rPr>
          <w:rFonts w:ascii="Calibri" w:hAnsi="Calibri"/>
          <w:sz w:val="22"/>
          <w:szCs w:val="22"/>
        </w:rPr>
        <w:t>9</w:t>
      </w:r>
      <w:r w:rsidRPr="006A5E56">
        <w:rPr>
          <w:rFonts w:ascii="Calibri" w:hAnsi="Calibri"/>
          <w:sz w:val="22"/>
          <w:szCs w:val="22"/>
        </w:rPr>
        <w:t xml:space="preserve">% were government workers, and </w:t>
      </w:r>
      <w:r w:rsidR="00E70045">
        <w:rPr>
          <w:rFonts w:ascii="Calibri" w:hAnsi="Calibri"/>
          <w:sz w:val="22"/>
          <w:szCs w:val="22"/>
        </w:rPr>
        <w:t>8.1</w:t>
      </w:r>
      <w:r w:rsidRPr="006A5E56">
        <w:rPr>
          <w:rFonts w:ascii="Calibri" w:hAnsi="Calibri"/>
          <w:sz w:val="22"/>
          <w:szCs w:val="22"/>
        </w:rPr>
        <w:t xml:space="preserve">% were self-employed.  </w:t>
      </w:r>
    </w:p>
    <w:p w14:paraId="3A9EC8D9" w14:textId="77777777" w:rsidR="0014658A" w:rsidRDefault="0014658A" w:rsidP="00303F30">
      <w:pPr>
        <w:pStyle w:val="BodyText"/>
        <w:spacing w:after="0"/>
        <w:jc w:val="both"/>
        <w:rPr>
          <w:rFonts w:ascii="Calibri" w:hAnsi="Calibri"/>
          <w:sz w:val="22"/>
          <w:szCs w:val="22"/>
        </w:rPr>
      </w:pPr>
    </w:p>
    <w:p w14:paraId="788BF6C8" w14:textId="3C04E44B" w:rsidR="007F4846" w:rsidRPr="004E50E7" w:rsidRDefault="007F4846" w:rsidP="007F4846">
      <w:pPr>
        <w:pStyle w:val="CM27"/>
        <w:spacing w:after="0"/>
        <w:jc w:val="both"/>
        <w:rPr>
          <w:rFonts w:ascii="Calibri" w:hAnsi="Calibri"/>
          <w:sz w:val="22"/>
        </w:rPr>
      </w:pPr>
      <w:r w:rsidRPr="004E50E7">
        <w:rPr>
          <w:rFonts w:ascii="Calibri" w:hAnsi="Calibri"/>
          <w:sz w:val="22"/>
        </w:rPr>
        <w:t>Detailed labor and workforce data from the state on employment patterns</w:t>
      </w:r>
      <w:r w:rsidR="008E318A">
        <w:rPr>
          <w:rFonts w:ascii="Calibri" w:hAnsi="Calibri"/>
          <w:sz w:val="22"/>
        </w:rPr>
        <w:t xml:space="preserve"> for establishments located</w:t>
      </w:r>
      <w:r w:rsidRPr="004E50E7">
        <w:rPr>
          <w:rFonts w:ascii="Calibri" w:hAnsi="Calibri"/>
          <w:sz w:val="22"/>
        </w:rPr>
        <w:t xml:space="preserve"> in Needham is presented in Table </w:t>
      </w:r>
      <w:r w:rsidR="00182CAF">
        <w:rPr>
          <w:rFonts w:ascii="Calibri" w:hAnsi="Calibri"/>
          <w:sz w:val="22"/>
        </w:rPr>
        <w:t>III-18</w:t>
      </w:r>
      <w:r w:rsidRPr="004E50E7">
        <w:rPr>
          <w:rFonts w:ascii="Calibri" w:hAnsi="Calibri"/>
          <w:sz w:val="22"/>
        </w:rPr>
        <w:t xml:space="preserve">.  This information shows an average employment of </w:t>
      </w:r>
      <w:r w:rsidR="00BF547E">
        <w:rPr>
          <w:rFonts w:ascii="Calibri" w:hAnsi="Calibri"/>
          <w:sz w:val="22"/>
        </w:rPr>
        <w:t>19,951</w:t>
      </w:r>
      <w:r w:rsidR="0014658A">
        <w:rPr>
          <w:rFonts w:ascii="Calibri" w:hAnsi="Calibri"/>
          <w:sz w:val="22"/>
        </w:rPr>
        <w:t xml:space="preserve"> </w:t>
      </w:r>
      <w:r w:rsidRPr="004E50E7">
        <w:rPr>
          <w:rFonts w:ascii="Calibri" w:hAnsi="Calibri"/>
          <w:sz w:val="22"/>
        </w:rPr>
        <w:t>workers</w:t>
      </w:r>
      <w:r>
        <w:rPr>
          <w:rFonts w:ascii="Calibri" w:hAnsi="Calibri"/>
          <w:sz w:val="22"/>
        </w:rPr>
        <w:t xml:space="preserve"> employed in Needham</w:t>
      </w:r>
      <w:r w:rsidR="00182CAF">
        <w:rPr>
          <w:rFonts w:ascii="Calibri" w:hAnsi="Calibri"/>
          <w:sz w:val="22"/>
        </w:rPr>
        <w:t xml:space="preserve"> in 2020</w:t>
      </w:r>
      <w:r w:rsidR="0014658A">
        <w:rPr>
          <w:rFonts w:ascii="Calibri" w:hAnsi="Calibri"/>
          <w:sz w:val="22"/>
        </w:rPr>
        <w:t xml:space="preserve">, up from </w:t>
      </w:r>
      <w:r w:rsidR="0014658A" w:rsidRPr="004E50E7">
        <w:rPr>
          <w:rFonts w:ascii="Calibri" w:hAnsi="Calibri"/>
          <w:sz w:val="22"/>
        </w:rPr>
        <w:t>1</w:t>
      </w:r>
      <w:r w:rsidR="0014658A">
        <w:rPr>
          <w:rFonts w:ascii="Calibri" w:hAnsi="Calibri"/>
          <w:sz w:val="22"/>
        </w:rPr>
        <w:t>9,212 in 2012</w:t>
      </w:r>
      <w:r w:rsidR="00182CAF">
        <w:rPr>
          <w:rFonts w:ascii="Calibri" w:hAnsi="Calibri"/>
          <w:sz w:val="22"/>
        </w:rPr>
        <w:t>, but down from 22,788 in 2017</w:t>
      </w:r>
      <w:r w:rsidRPr="004E50E7">
        <w:rPr>
          <w:rFonts w:ascii="Calibri" w:hAnsi="Calibri"/>
          <w:sz w:val="22"/>
        </w:rPr>
        <w:t>.  The data also confirms a mix of employment opportunities with a concentration of higher paying professional jobs that brings the average weekly wage for those working in Needham to a relatively high level of</w:t>
      </w:r>
      <w:r w:rsidR="0014658A">
        <w:rPr>
          <w:rFonts w:ascii="Calibri" w:hAnsi="Calibri"/>
          <w:sz w:val="22"/>
        </w:rPr>
        <w:t xml:space="preserve"> $</w:t>
      </w:r>
      <w:r w:rsidR="00182CAF">
        <w:rPr>
          <w:rFonts w:ascii="Calibri" w:hAnsi="Calibri"/>
          <w:sz w:val="22"/>
        </w:rPr>
        <w:t>2,105</w:t>
      </w:r>
      <w:r w:rsidR="00A62CDB">
        <w:rPr>
          <w:rFonts w:ascii="Calibri" w:hAnsi="Calibri"/>
          <w:sz w:val="22"/>
        </w:rPr>
        <w:t>,</w:t>
      </w:r>
      <w:r w:rsidR="0014658A">
        <w:rPr>
          <w:rFonts w:ascii="Calibri" w:hAnsi="Calibri"/>
          <w:sz w:val="22"/>
        </w:rPr>
        <w:t xml:space="preserve"> up from </w:t>
      </w:r>
      <w:r w:rsidR="0014658A" w:rsidRPr="004E50E7">
        <w:rPr>
          <w:rFonts w:ascii="Calibri" w:hAnsi="Calibri"/>
          <w:sz w:val="22"/>
        </w:rPr>
        <w:t>$1,6</w:t>
      </w:r>
      <w:r w:rsidR="0014658A">
        <w:rPr>
          <w:rFonts w:ascii="Calibri" w:hAnsi="Calibri"/>
          <w:sz w:val="22"/>
        </w:rPr>
        <w:t>98 in 201</w:t>
      </w:r>
      <w:r w:rsidR="00D71D8F">
        <w:rPr>
          <w:rFonts w:ascii="Calibri" w:hAnsi="Calibri"/>
          <w:sz w:val="22"/>
        </w:rPr>
        <w:t>2</w:t>
      </w:r>
      <w:r w:rsidR="00182CAF">
        <w:rPr>
          <w:rFonts w:ascii="Calibri" w:hAnsi="Calibri"/>
          <w:sz w:val="22"/>
        </w:rPr>
        <w:t xml:space="preserve"> and </w:t>
      </w:r>
      <w:r w:rsidR="00D71D8F">
        <w:rPr>
          <w:rFonts w:ascii="Calibri" w:hAnsi="Calibri"/>
          <w:sz w:val="22"/>
        </w:rPr>
        <w:t>$</w:t>
      </w:r>
      <w:r w:rsidR="00182CAF">
        <w:rPr>
          <w:rFonts w:ascii="Calibri" w:hAnsi="Calibri"/>
          <w:sz w:val="22"/>
        </w:rPr>
        <w:t>1,829 in 2017</w:t>
      </w:r>
      <w:r w:rsidR="00A62CDB">
        <w:rPr>
          <w:rFonts w:ascii="Calibri" w:hAnsi="Calibri"/>
          <w:sz w:val="22"/>
        </w:rPr>
        <w:t>,</w:t>
      </w:r>
      <w:r w:rsidR="0014658A">
        <w:rPr>
          <w:rFonts w:ascii="Calibri" w:hAnsi="Calibri"/>
          <w:sz w:val="22"/>
        </w:rPr>
        <w:t xml:space="preserve"> and </w:t>
      </w:r>
      <w:r w:rsidR="00E5360A">
        <w:rPr>
          <w:rFonts w:ascii="Calibri" w:hAnsi="Calibri"/>
          <w:sz w:val="22"/>
        </w:rPr>
        <w:t>almost as high as</w:t>
      </w:r>
      <w:r w:rsidRPr="004E50E7">
        <w:rPr>
          <w:rFonts w:ascii="Calibri" w:hAnsi="Calibri"/>
          <w:sz w:val="22"/>
        </w:rPr>
        <w:t xml:space="preserve"> Boston’s average weekly wage </w:t>
      </w:r>
      <w:r w:rsidR="00A62CDB">
        <w:rPr>
          <w:rFonts w:ascii="Calibri" w:hAnsi="Calibri"/>
          <w:sz w:val="22"/>
        </w:rPr>
        <w:t>of</w:t>
      </w:r>
      <w:r w:rsidRPr="004E50E7">
        <w:rPr>
          <w:rFonts w:ascii="Calibri" w:hAnsi="Calibri"/>
          <w:sz w:val="22"/>
        </w:rPr>
        <w:t xml:space="preserve"> $</w:t>
      </w:r>
      <w:r w:rsidR="00182CAF">
        <w:rPr>
          <w:rFonts w:ascii="Calibri" w:hAnsi="Calibri"/>
          <w:sz w:val="22"/>
        </w:rPr>
        <w:t>2,281</w:t>
      </w:r>
      <w:r>
        <w:rPr>
          <w:rFonts w:ascii="Calibri" w:hAnsi="Calibri"/>
          <w:sz w:val="22"/>
        </w:rPr>
        <w:t xml:space="preserve">. </w:t>
      </w:r>
      <w:r w:rsidR="00E5360A">
        <w:rPr>
          <w:rFonts w:ascii="Calibri" w:hAnsi="Calibri"/>
          <w:sz w:val="22"/>
        </w:rPr>
        <w:t xml:space="preserve"> </w:t>
      </w:r>
      <w:r>
        <w:rPr>
          <w:rFonts w:ascii="Calibri" w:hAnsi="Calibri"/>
          <w:sz w:val="22"/>
        </w:rPr>
        <w:t>Needham’</w:t>
      </w:r>
      <w:r w:rsidRPr="004E50E7">
        <w:rPr>
          <w:rFonts w:ascii="Calibri" w:hAnsi="Calibri"/>
          <w:sz w:val="22"/>
        </w:rPr>
        <w:t xml:space="preserve">s </w:t>
      </w:r>
      <w:r>
        <w:rPr>
          <w:rFonts w:ascii="Calibri" w:hAnsi="Calibri"/>
          <w:sz w:val="22"/>
        </w:rPr>
        <w:t xml:space="preserve">average </w:t>
      </w:r>
      <w:r w:rsidRPr="004E50E7">
        <w:rPr>
          <w:rFonts w:ascii="Calibri" w:hAnsi="Calibri"/>
          <w:sz w:val="22"/>
        </w:rPr>
        <w:t>weekly wage translates into an annual income of approximately $</w:t>
      </w:r>
      <w:r w:rsidR="00182CAF">
        <w:rPr>
          <w:rFonts w:ascii="Calibri" w:hAnsi="Calibri"/>
          <w:sz w:val="22"/>
        </w:rPr>
        <w:t>109,880</w:t>
      </w:r>
      <w:r w:rsidRPr="004E50E7">
        <w:rPr>
          <w:rFonts w:ascii="Calibri" w:hAnsi="Calibri"/>
          <w:sz w:val="22"/>
        </w:rPr>
        <w:t xml:space="preserve">, </w:t>
      </w:r>
      <w:r w:rsidR="00E5360A">
        <w:rPr>
          <w:rFonts w:ascii="Calibri" w:hAnsi="Calibri"/>
          <w:sz w:val="22"/>
        </w:rPr>
        <w:t>lower than Needham’s median household income of $</w:t>
      </w:r>
      <w:r w:rsidR="00C35BF2">
        <w:rPr>
          <w:rFonts w:ascii="Calibri" w:hAnsi="Calibri"/>
          <w:sz w:val="22"/>
        </w:rPr>
        <w:t>174,707</w:t>
      </w:r>
      <w:r w:rsidR="00E5360A">
        <w:rPr>
          <w:rFonts w:ascii="Calibri" w:hAnsi="Calibri"/>
          <w:sz w:val="22"/>
        </w:rPr>
        <w:t xml:space="preserve"> but </w:t>
      </w:r>
      <w:r w:rsidRPr="004E50E7">
        <w:rPr>
          <w:rFonts w:ascii="Calibri" w:hAnsi="Calibri"/>
          <w:sz w:val="22"/>
        </w:rPr>
        <w:t>well over the state’s median of $</w:t>
      </w:r>
      <w:r w:rsidR="00C35BF2">
        <w:rPr>
          <w:rFonts w:ascii="Calibri" w:hAnsi="Calibri"/>
          <w:sz w:val="22"/>
        </w:rPr>
        <w:t>84,385</w:t>
      </w:r>
      <w:r w:rsidR="00E5360A">
        <w:rPr>
          <w:rFonts w:ascii="Calibri" w:hAnsi="Calibri"/>
          <w:sz w:val="22"/>
        </w:rPr>
        <w:t xml:space="preserve">.  </w:t>
      </w:r>
      <w:r w:rsidRPr="004E50E7">
        <w:rPr>
          <w:rFonts w:ascii="Calibri" w:hAnsi="Calibri"/>
          <w:sz w:val="22"/>
        </w:rPr>
        <w:t xml:space="preserve">As another point of comparison, the unemployment level as of </w:t>
      </w:r>
      <w:r w:rsidR="00182CAF">
        <w:rPr>
          <w:rFonts w:ascii="Calibri" w:hAnsi="Calibri"/>
          <w:sz w:val="22"/>
        </w:rPr>
        <w:t>August 2021 was 3.7%, up from 2.1% in 2019 prior to the pandemic, but down from 5.7% in 2020.  Needham’s unemployment rate was in fact lower than Boston’s at 5.7</w:t>
      </w:r>
      <w:r w:rsidR="00525C26">
        <w:rPr>
          <w:rFonts w:ascii="Calibri" w:hAnsi="Calibri"/>
          <w:sz w:val="22"/>
        </w:rPr>
        <w:t xml:space="preserve">% as of August 2021. </w:t>
      </w:r>
    </w:p>
    <w:p w14:paraId="2C876193" w14:textId="77777777" w:rsidR="007F4846" w:rsidRDefault="007F4846" w:rsidP="00303F30">
      <w:pPr>
        <w:pStyle w:val="BodyText"/>
        <w:spacing w:after="0"/>
        <w:jc w:val="both"/>
        <w:rPr>
          <w:rFonts w:ascii="Calibri" w:hAnsi="Calibri"/>
          <w:sz w:val="22"/>
          <w:szCs w:val="22"/>
        </w:rPr>
      </w:pPr>
    </w:p>
    <w:p w14:paraId="60B71540" w14:textId="31DF429F" w:rsidR="008772FC" w:rsidRPr="004E50E7" w:rsidRDefault="008772FC" w:rsidP="008772FC">
      <w:pPr>
        <w:pStyle w:val="Default"/>
        <w:jc w:val="center"/>
        <w:rPr>
          <w:rFonts w:ascii="Calibri" w:hAnsi="Calibri"/>
          <w:b/>
          <w:bCs/>
          <w:color w:val="auto"/>
          <w:sz w:val="22"/>
        </w:rPr>
      </w:pPr>
      <w:r w:rsidRPr="004E50E7">
        <w:rPr>
          <w:rFonts w:ascii="Calibri" w:hAnsi="Calibri"/>
          <w:b/>
          <w:bCs/>
          <w:color w:val="auto"/>
          <w:sz w:val="22"/>
        </w:rPr>
        <w:t xml:space="preserve">Table </w:t>
      </w:r>
      <w:r w:rsidR="00182CAF">
        <w:rPr>
          <w:rFonts w:ascii="Calibri" w:hAnsi="Calibri"/>
          <w:b/>
          <w:bCs/>
          <w:color w:val="auto"/>
          <w:sz w:val="22"/>
        </w:rPr>
        <w:t>III-18</w:t>
      </w:r>
      <w:r>
        <w:rPr>
          <w:rFonts w:ascii="Calibri" w:hAnsi="Calibri"/>
          <w:b/>
          <w:bCs/>
          <w:color w:val="auto"/>
          <w:sz w:val="22"/>
        </w:rPr>
        <w:t>: Average Employment and Wages b</w:t>
      </w:r>
      <w:r w:rsidRPr="004E50E7">
        <w:rPr>
          <w:rFonts w:ascii="Calibri" w:hAnsi="Calibri"/>
          <w:b/>
          <w:bCs/>
          <w:color w:val="auto"/>
          <w:sz w:val="22"/>
        </w:rPr>
        <w:t>y Industry, 201</w:t>
      </w:r>
      <w:r>
        <w:rPr>
          <w:rFonts w:ascii="Calibri" w:hAnsi="Calibri"/>
          <w:b/>
          <w:bCs/>
          <w:color w:val="auto"/>
          <w:sz w:val="22"/>
        </w:rPr>
        <w:t>2</w:t>
      </w:r>
      <w:r w:rsidR="004B757B">
        <w:rPr>
          <w:rFonts w:ascii="Calibri" w:hAnsi="Calibri"/>
          <w:b/>
          <w:bCs/>
          <w:color w:val="auto"/>
          <w:sz w:val="22"/>
        </w:rPr>
        <w:t>/20</w:t>
      </w:r>
      <w:r w:rsidR="00525C26">
        <w:rPr>
          <w:rFonts w:ascii="Calibri" w:hAnsi="Calibri"/>
          <w:b/>
          <w:bCs/>
          <w:color w:val="auto"/>
          <w:sz w:val="22"/>
        </w:rPr>
        <w:t>17/20</w:t>
      </w:r>
      <w:r w:rsidR="00182CAF">
        <w:rPr>
          <w:rFonts w:ascii="Calibri" w:hAnsi="Calibri"/>
          <w:b/>
          <w:bCs/>
          <w:color w:val="auto"/>
          <w:sz w:val="22"/>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4"/>
        <w:gridCol w:w="1814"/>
        <w:gridCol w:w="1610"/>
        <w:gridCol w:w="1558"/>
        <w:gridCol w:w="1264"/>
      </w:tblGrid>
      <w:tr w:rsidR="008772FC" w:rsidRPr="004E50E7" w14:paraId="4031D388" w14:textId="77777777" w:rsidTr="008F2513">
        <w:tc>
          <w:tcPr>
            <w:tcW w:w="1681" w:type="pct"/>
          </w:tcPr>
          <w:p w14:paraId="6AB711B6" w14:textId="77777777" w:rsidR="008772FC" w:rsidRPr="004E50E7" w:rsidRDefault="008772FC" w:rsidP="008F2513">
            <w:pPr>
              <w:pStyle w:val="Default"/>
              <w:rPr>
                <w:rFonts w:ascii="Calibri" w:hAnsi="Calibri"/>
                <w:b/>
                <w:bCs/>
                <w:color w:val="auto"/>
                <w:sz w:val="22"/>
              </w:rPr>
            </w:pPr>
          </w:p>
          <w:p w14:paraId="0C2F6EAD" w14:textId="77777777" w:rsidR="008772FC" w:rsidRPr="004E50E7" w:rsidRDefault="008772FC" w:rsidP="008F2513">
            <w:pPr>
              <w:pStyle w:val="Default"/>
              <w:rPr>
                <w:rFonts w:ascii="Calibri" w:hAnsi="Calibri"/>
                <w:b/>
                <w:bCs/>
                <w:color w:val="auto"/>
                <w:sz w:val="22"/>
              </w:rPr>
            </w:pPr>
            <w:r w:rsidRPr="004E50E7">
              <w:rPr>
                <w:rFonts w:ascii="Calibri" w:hAnsi="Calibri"/>
                <w:b/>
                <w:bCs/>
                <w:color w:val="auto"/>
                <w:sz w:val="22"/>
              </w:rPr>
              <w:t>Industry</w:t>
            </w:r>
          </w:p>
        </w:tc>
        <w:tc>
          <w:tcPr>
            <w:tcW w:w="991" w:type="pct"/>
          </w:tcPr>
          <w:p w14:paraId="12B5AA7B" w14:textId="77777777" w:rsidR="008772FC" w:rsidRPr="004E50E7" w:rsidRDefault="008772FC" w:rsidP="008F2513">
            <w:pPr>
              <w:pStyle w:val="Default"/>
              <w:jc w:val="center"/>
              <w:rPr>
                <w:rFonts w:ascii="Calibri" w:hAnsi="Calibri"/>
                <w:b/>
                <w:bCs/>
                <w:color w:val="auto"/>
                <w:sz w:val="22"/>
              </w:rPr>
            </w:pPr>
          </w:p>
          <w:p w14:paraId="5E59FD09" w14:textId="77777777" w:rsidR="008772FC" w:rsidRPr="004E50E7" w:rsidRDefault="008772FC" w:rsidP="008F2513">
            <w:pPr>
              <w:pStyle w:val="Default"/>
              <w:jc w:val="center"/>
              <w:rPr>
                <w:rFonts w:ascii="Calibri" w:hAnsi="Calibri"/>
                <w:b/>
                <w:bCs/>
                <w:color w:val="auto"/>
                <w:sz w:val="22"/>
              </w:rPr>
            </w:pPr>
            <w:r w:rsidRPr="004E50E7">
              <w:rPr>
                <w:rFonts w:ascii="Calibri" w:hAnsi="Calibri"/>
                <w:b/>
                <w:bCs/>
                <w:color w:val="auto"/>
                <w:sz w:val="22"/>
              </w:rPr>
              <w:t># Establishments</w:t>
            </w:r>
          </w:p>
        </w:tc>
        <w:tc>
          <w:tcPr>
            <w:tcW w:w="776" w:type="pct"/>
          </w:tcPr>
          <w:p w14:paraId="3D4D1FA1" w14:textId="77777777" w:rsidR="008772FC" w:rsidRPr="004E50E7" w:rsidRDefault="008772FC" w:rsidP="008F2513">
            <w:pPr>
              <w:pStyle w:val="Default"/>
              <w:rPr>
                <w:rFonts w:ascii="Calibri" w:hAnsi="Calibri"/>
                <w:b/>
                <w:bCs/>
                <w:color w:val="auto"/>
                <w:sz w:val="22"/>
              </w:rPr>
            </w:pPr>
          </w:p>
          <w:p w14:paraId="52C349C4" w14:textId="77777777" w:rsidR="008772FC" w:rsidRPr="004E50E7" w:rsidRDefault="008772FC" w:rsidP="008F2513">
            <w:pPr>
              <w:pStyle w:val="Default"/>
              <w:rPr>
                <w:rFonts w:ascii="Calibri" w:hAnsi="Calibri"/>
                <w:b/>
                <w:bCs/>
                <w:color w:val="auto"/>
                <w:sz w:val="22"/>
              </w:rPr>
            </w:pPr>
            <w:r w:rsidRPr="004E50E7">
              <w:rPr>
                <w:rFonts w:ascii="Calibri" w:hAnsi="Calibri"/>
                <w:b/>
                <w:bCs/>
                <w:color w:val="auto"/>
                <w:sz w:val="22"/>
              </w:rPr>
              <w:t>Total Wages</w:t>
            </w:r>
          </w:p>
        </w:tc>
        <w:tc>
          <w:tcPr>
            <w:tcW w:w="854" w:type="pct"/>
          </w:tcPr>
          <w:p w14:paraId="28F1BBB9" w14:textId="77777777" w:rsidR="008772FC" w:rsidRPr="004E50E7" w:rsidRDefault="008772FC" w:rsidP="008F2513">
            <w:pPr>
              <w:pStyle w:val="Default"/>
              <w:jc w:val="center"/>
              <w:rPr>
                <w:rFonts w:ascii="Calibri" w:hAnsi="Calibri"/>
                <w:b/>
                <w:bCs/>
                <w:color w:val="auto"/>
                <w:sz w:val="22"/>
              </w:rPr>
            </w:pPr>
          </w:p>
          <w:p w14:paraId="5CBB61AD" w14:textId="77777777" w:rsidR="008772FC" w:rsidRPr="004E50E7" w:rsidRDefault="008772FC" w:rsidP="008F2513">
            <w:pPr>
              <w:pStyle w:val="Default"/>
              <w:jc w:val="center"/>
              <w:rPr>
                <w:rFonts w:ascii="Calibri" w:hAnsi="Calibri"/>
                <w:b/>
                <w:bCs/>
                <w:color w:val="auto"/>
                <w:sz w:val="22"/>
              </w:rPr>
            </w:pPr>
            <w:r w:rsidRPr="004E50E7">
              <w:rPr>
                <w:rFonts w:ascii="Calibri" w:hAnsi="Calibri"/>
                <w:b/>
                <w:bCs/>
                <w:color w:val="auto"/>
                <w:sz w:val="22"/>
              </w:rPr>
              <w:t>Average Employment</w:t>
            </w:r>
          </w:p>
        </w:tc>
        <w:tc>
          <w:tcPr>
            <w:tcW w:w="697" w:type="pct"/>
          </w:tcPr>
          <w:p w14:paraId="1B9F0FE7" w14:textId="77777777" w:rsidR="008772FC" w:rsidRPr="004E50E7" w:rsidRDefault="008772FC" w:rsidP="008F2513">
            <w:pPr>
              <w:pStyle w:val="Default"/>
              <w:jc w:val="center"/>
              <w:rPr>
                <w:rFonts w:ascii="Calibri" w:hAnsi="Calibri"/>
                <w:b/>
                <w:bCs/>
                <w:color w:val="auto"/>
                <w:sz w:val="22"/>
              </w:rPr>
            </w:pPr>
            <w:r w:rsidRPr="004E50E7">
              <w:rPr>
                <w:rFonts w:ascii="Calibri" w:hAnsi="Calibri"/>
                <w:b/>
                <w:bCs/>
                <w:color w:val="auto"/>
                <w:sz w:val="22"/>
              </w:rPr>
              <w:t>Average Weekly Wage</w:t>
            </w:r>
          </w:p>
        </w:tc>
      </w:tr>
      <w:tr w:rsidR="008772FC" w:rsidRPr="004E50E7" w14:paraId="1571BDF5" w14:textId="77777777" w:rsidTr="008F2513">
        <w:tc>
          <w:tcPr>
            <w:tcW w:w="1681" w:type="pct"/>
          </w:tcPr>
          <w:p w14:paraId="528CCE3D"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Construction</w:t>
            </w:r>
          </w:p>
        </w:tc>
        <w:tc>
          <w:tcPr>
            <w:tcW w:w="991" w:type="pct"/>
          </w:tcPr>
          <w:p w14:paraId="7ED0DF16" w14:textId="7D095EF4" w:rsidR="008772FC" w:rsidRPr="004E50E7" w:rsidRDefault="008772FC" w:rsidP="008F2513">
            <w:pPr>
              <w:pStyle w:val="Default"/>
              <w:jc w:val="center"/>
              <w:rPr>
                <w:rFonts w:ascii="Calibri" w:hAnsi="Calibri"/>
                <w:color w:val="auto"/>
                <w:sz w:val="20"/>
              </w:rPr>
            </w:pPr>
            <w:r>
              <w:rPr>
                <w:rFonts w:ascii="Calibri" w:hAnsi="Calibri"/>
                <w:color w:val="auto"/>
                <w:sz w:val="20"/>
              </w:rPr>
              <w:t>91</w:t>
            </w:r>
            <w:r w:rsidR="00D30F46">
              <w:rPr>
                <w:rFonts w:ascii="Calibri" w:hAnsi="Calibri"/>
                <w:color w:val="auto"/>
                <w:sz w:val="20"/>
              </w:rPr>
              <w:t>/97</w:t>
            </w:r>
            <w:r w:rsidR="00525C26">
              <w:rPr>
                <w:rFonts w:ascii="Calibri" w:hAnsi="Calibri"/>
                <w:color w:val="auto"/>
                <w:sz w:val="20"/>
              </w:rPr>
              <w:t>/93</w:t>
            </w:r>
          </w:p>
        </w:tc>
        <w:tc>
          <w:tcPr>
            <w:tcW w:w="776" w:type="pct"/>
          </w:tcPr>
          <w:p w14:paraId="2E0B4288" w14:textId="77777777" w:rsidR="008772FC" w:rsidRDefault="008772FC" w:rsidP="008F2513">
            <w:pPr>
              <w:pStyle w:val="Default"/>
              <w:rPr>
                <w:rFonts w:ascii="Calibri" w:hAnsi="Calibri"/>
                <w:color w:val="auto"/>
                <w:sz w:val="20"/>
              </w:rPr>
            </w:pPr>
            <w:r w:rsidRPr="004E50E7">
              <w:rPr>
                <w:rFonts w:ascii="Calibri" w:hAnsi="Calibri"/>
                <w:color w:val="auto"/>
                <w:sz w:val="20"/>
              </w:rPr>
              <w:t>$4</w:t>
            </w:r>
            <w:r>
              <w:rPr>
                <w:rFonts w:ascii="Calibri" w:hAnsi="Calibri"/>
                <w:color w:val="auto"/>
                <w:sz w:val="20"/>
              </w:rPr>
              <w:t>2</w:t>
            </w:r>
            <w:r w:rsidRPr="004E50E7">
              <w:rPr>
                <w:rFonts w:ascii="Calibri" w:hAnsi="Calibri"/>
                <w:color w:val="auto"/>
                <w:sz w:val="20"/>
              </w:rPr>
              <w:t>,</w:t>
            </w:r>
            <w:r>
              <w:rPr>
                <w:rFonts w:ascii="Calibri" w:hAnsi="Calibri"/>
                <w:color w:val="auto"/>
                <w:sz w:val="20"/>
              </w:rPr>
              <w:t>622,017</w:t>
            </w:r>
            <w:r w:rsidR="00D30F46">
              <w:rPr>
                <w:rFonts w:ascii="Calibri" w:hAnsi="Calibri"/>
                <w:color w:val="auto"/>
                <w:sz w:val="20"/>
              </w:rPr>
              <w:t>/</w:t>
            </w:r>
          </w:p>
          <w:p w14:paraId="47C3C839" w14:textId="77777777" w:rsidR="00D30F46" w:rsidRDefault="00D30F46" w:rsidP="008F2513">
            <w:pPr>
              <w:pStyle w:val="Default"/>
              <w:rPr>
                <w:rFonts w:ascii="Calibri" w:hAnsi="Calibri"/>
                <w:color w:val="auto"/>
                <w:sz w:val="20"/>
              </w:rPr>
            </w:pPr>
            <w:r>
              <w:rPr>
                <w:rFonts w:ascii="Calibri" w:hAnsi="Calibri"/>
                <w:color w:val="auto"/>
                <w:sz w:val="20"/>
              </w:rPr>
              <w:t>$63,363,569</w:t>
            </w:r>
            <w:r w:rsidR="00525C26">
              <w:rPr>
                <w:rFonts w:ascii="Calibri" w:hAnsi="Calibri"/>
                <w:color w:val="auto"/>
                <w:sz w:val="20"/>
              </w:rPr>
              <w:t>/</w:t>
            </w:r>
          </w:p>
          <w:p w14:paraId="010438D9" w14:textId="0AA9A1D4" w:rsidR="00525C26" w:rsidRPr="004E50E7" w:rsidRDefault="00525C26" w:rsidP="008F2513">
            <w:pPr>
              <w:pStyle w:val="Default"/>
              <w:rPr>
                <w:rFonts w:ascii="Calibri" w:hAnsi="Calibri"/>
                <w:color w:val="auto"/>
                <w:sz w:val="20"/>
              </w:rPr>
            </w:pPr>
            <w:r>
              <w:rPr>
                <w:rFonts w:ascii="Calibri" w:hAnsi="Calibri"/>
                <w:color w:val="auto"/>
                <w:sz w:val="20"/>
              </w:rPr>
              <w:t>$71,658,524</w:t>
            </w:r>
          </w:p>
        </w:tc>
        <w:tc>
          <w:tcPr>
            <w:tcW w:w="854" w:type="pct"/>
          </w:tcPr>
          <w:p w14:paraId="1A057D5B" w14:textId="5E668674" w:rsidR="008772FC" w:rsidRPr="004E50E7" w:rsidRDefault="008772FC" w:rsidP="008F2513">
            <w:pPr>
              <w:pStyle w:val="Default"/>
              <w:jc w:val="center"/>
              <w:rPr>
                <w:rFonts w:ascii="Calibri" w:hAnsi="Calibri"/>
                <w:color w:val="auto"/>
                <w:sz w:val="20"/>
              </w:rPr>
            </w:pPr>
            <w:r w:rsidRPr="004E50E7">
              <w:rPr>
                <w:rFonts w:ascii="Calibri" w:hAnsi="Calibri"/>
                <w:color w:val="auto"/>
                <w:sz w:val="20"/>
              </w:rPr>
              <w:t>6</w:t>
            </w:r>
            <w:r>
              <w:rPr>
                <w:rFonts w:ascii="Calibri" w:hAnsi="Calibri"/>
                <w:color w:val="auto"/>
                <w:sz w:val="20"/>
              </w:rPr>
              <w:t>07</w:t>
            </w:r>
            <w:r w:rsidR="00D30F46">
              <w:rPr>
                <w:rFonts w:ascii="Calibri" w:hAnsi="Calibri"/>
                <w:color w:val="auto"/>
                <w:sz w:val="20"/>
              </w:rPr>
              <w:t>/737</w:t>
            </w:r>
            <w:r w:rsidR="00525C26">
              <w:rPr>
                <w:rFonts w:ascii="Calibri" w:hAnsi="Calibri"/>
                <w:color w:val="auto"/>
                <w:sz w:val="20"/>
              </w:rPr>
              <w:t>/791</w:t>
            </w:r>
          </w:p>
        </w:tc>
        <w:tc>
          <w:tcPr>
            <w:tcW w:w="697" w:type="pct"/>
          </w:tcPr>
          <w:p w14:paraId="5FA6B917"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$1,35</w:t>
            </w:r>
            <w:r>
              <w:rPr>
                <w:rFonts w:ascii="Calibri" w:hAnsi="Calibri"/>
                <w:color w:val="auto"/>
                <w:sz w:val="20"/>
              </w:rPr>
              <w:t>0</w:t>
            </w:r>
            <w:r w:rsidR="00D30F46">
              <w:rPr>
                <w:rFonts w:ascii="Calibri" w:hAnsi="Calibri"/>
                <w:color w:val="auto"/>
                <w:sz w:val="20"/>
              </w:rPr>
              <w:t>/</w:t>
            </w:r>
          </w:p>
          <w:p w14:paraId="3AD8D9CE" w14:textId="2A687C2D" w:rsidR="00D30F46" w:rsidRDefault="00D30F46" w:rsidP="008F2513">
            <w:pPr>
              <w:pStyle w:val="Default"/>
              <w:jc w:val="center"/>
              <w:rPr>
                <w:rFonts w:ascii="Calibri" w:hAnsi="Calibri"/>
                <w:color w:val="auto"/>
                <w:sz w:val="20"/>
              </w:rPr>
            </w:pPr>
            <w:r>
              <w:rPr>
                <w:rFonts w:ascii="Calibri" w:hAnsi="Calibri"/>
                <w:color w:val="auto"/>
                <w:sz w:val="20"/>
              </w:rPr>
              <w:t>$1,653</w:t>
            </w:r>
            <w:r w:rsidR="00525C26">
              <w:rPr>
                <w:rFonts w:ascii="Calibri" w:hAnsi="Calibri"/>
                <w:color w:val="auto"/>
                <w:sz w:val="20"/>
              </w:rPr>
              <w:t>/</w:t>
            </w:r>
          </w:p>
          <w:p w14:paraId="1A179311" w14:textId="2450791C" w:rsidR="00525C26" w:rsidRPr="004E50E7" w:rsidRDefault="00525C26" w:rsidP="00525C26">
            <w:pPr>
              <w:pStyle w:val="Default"/>
              <w:jc w:val="center"/>
              <w:rPr>
                <w:rFonts w:ascii="Calibri" w:hAnsi="Calibri"/>
                <w:color w:val="auto"/>
                <w:sz w:val="20"/>
              </w:rPr>
            </w:pPr>
            <w:r>
              <w:rPr>
                <w:rFonts w:ascii="Calibri" w:hAnsi="Calibri"/>
                <w:color w:val="auto"/>
                <w:sz w:val="20"/>
              </w:rPr>
              <w:t>$1,742</w:t>
            </w:r>
          </w:p>
        </w:tc>
      </w:tr>
      <w:tr w:rsidR="008772FC" w:rsidRPr="004E50E7" w14:paraId="110BA694" w14:textId="77777777" w:rsidTr="008F2513">
        <w:tc>
          <w:tcPr>
            <w:tcW w:w="1681" w:type="pct"/>
          </w:tcPr>
          <w:p w14:paraId="47911E1F"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Manufacturing</w:t>
            </w:r>
          </w:p>
        </w:tc>
        <w:tc>
          <w:tcPr>
            <w:tcW w:w="991" w:type="pct"/>
          </w:tcPr>
          <w:p w14:paraId="253D54FE" w14:textId="7EA4C845" w:rsidR="008772FC" w:rsidRPr="004E50E7" w:rsidRDefault="008772FC" w:rsidP="008F2513">
            <w:pPr>
              <w:pStyle w:val="Default"/>
              <w:jc w:val="center"/>
              <w:rPr>
                <w:rFonts w:ascii="Calibri" w:hAnsi="Calibri"/>
                <w:color w:val="auto"/>
                <w:sz w:val="20"/>
              </w:rPr>
            </w:pPr>
            <w:r w:rsidRPr="004E50E7">
              <w:rPr>
                <w:rFonts w:ascii="Calibri" w:hAnsi="Calibri"/>
                <w:color w:val="auto"/>
                <w:sz w:val="20"/>
              </w:rPr>
              <w:t>3</w:t>
            </w:r>
            <w:r>
              <w:rPr>
                <w:rFonts w:ascii="Calibri" w:hAnsi="Calibri"/>
                <w:color w:val="auto"/>
                <w:sz w:val="20"/>
              </w:rPr>
              <w:t>4</w:t>
            </w:r>
            <w:r w:rsidR="00D30F46">
              <w:rPr>
                <w:rFonts w:ascii="Calibri" w:hAnsi="Calibri"/>
                <w:color w:val="auto"/>
                <w:sz w:val="20"/>
              </w:rPr>
              <w:t>/30</w:t>
            </w:r>
            <w:r w:rsidR="00525C26">
              <w:rPr>
                <w:rFonts w:ascii="Calibri" w:hAnsi="Calibri"/>
                <w:color w:val="auto"/>
                <w:sz w:val="20"/>
              </w:rPr>
              <w:t>/27</w:t>
            </w:r>
          </w:p>
        </w:tc>
        <w:tc>
          <w:tcPr>
            <w:tcW w:w="776" w:type="pct"/>
          </w:tcPr>
          <w:p w14:paraId="3CF263EC" w14:textId="77777777" w:rsidR="008772FC" w:rsidRDefault="008772FC" w:rsidP="008F2513">
            <w:pPr>
              <w:pStyle w:val="Default"/>
              <w:rPr>
                <w:rFonts w:ascii="Calibri" w:hAnsi="Calibri"/>
                <w:color w:val="auto"/>
                <w:sz w:val="20"/>
              </w:rPr>
            </w:pPr>
            <w:r w:rsidRPr="004E50E7">
              <w:rPr>
                <w:rFonts w:ascii="Calibri" w:hAnsi="Calibri"/>
                <w:color w:val="auto"/>
                <w:sz w:val="20"/>
              </w:rPr>
              <w:t>$6</w:t>
            </w:r>
            <w:r>
              <w:rPr>
                <w:rFonts w:ascii="Calibri" w:hAnsi="Calibri"/>
                <w:color w:val="auto"/>
                <w:sz w:val="20"/>
              </w:rPr>
              <w:t>3</w:t>
            </w:r>
            <w:r w:rsidR="00A62CDB">
              <w:rPr>
                <w:rFonts w:ascii="Calibri" w:hAnsi="Calibri"/>
                <w:color w:val="auto"/>
                <w:sz w:val="20"/>
              </w:rPr>
              <w:t>,</w:t>
            </w:r>
            <w:r>
              <w:rPr>
                <w:rFonts w:ascii="Calibri" w:hAnsi="Calibri"/>
                <w:color w:val="auto"/>
                <w:sz w:val="20"/>
              </w:rPr>
              <w:t>547,622</w:t>
            </w:r>
            <w:r w:rsidR="00D30F46">
              <w:rPr>
                <w:rFonts w:ascii="Calibri" w:hAnsi="Calibri"/>
                <w:color w:val="auto"/>
                <w:sz w:val="20"/>
              </w:rPr>
              <w:t>/</w:t>
            </w:r>
          </w:p>
          <w:p w14:paraId="18D6931B" w14:textId="77777777" w:rsidR="00D30F46" w:rsidRDefault="00D30F46" w:rsidP="008F2513">
            <w:pPr>
              <w:pStyle w:val="Default"/>
              <w:rPr>
                <w:rFonts w:ascii="Calibri" w:hAnsi="Calibri"/>
                <w:color w:val="auto"/>
                <w:sz w:val="20"/>
              </w:rPr>
            </w:pPr>
            <w:r>
              <w:rPr>
                <w:rFonts w:ascii="Calibri" w:hAnsi="Calibri"/>
                <w:color w:val="auto"/>
                <w:sz w:val="20"/>
              </w:rPr>
              <w:t>$58,946,451</w:t>
            </w:r>
            <w:r w:rsidR="00525C26">
              <w:rPr>
                <w:rFonts w:ascii="Calibri" w:hAnsi="Calibri"/>
                <w:color w:val="auto"/>
                <w:sz w:val="20"/>
              </w:rPr>
              <w:t>/</w:t>
            </w:r>
          </w:p>
          <w:p w14:paraId="39F031CC" w14:textId="0C6C06E2" w:rsidR="00525C26" w:rsidRPr="004E50E7" w:rsidRDefault="00525C26" w:rsidP="008F2513">
            <w:pPr>
              <w:pStyle w:val="Default"/>
              <w:rPr>
                <w:rFonts w:ascii="Calibri" w:hAnsi="Calibri"/>
                <w:color w:val="auto"/>
                <w:sz w:val="20"/>
              </w:rPr>
            </w:pPr>
            <w:r>
              <w:rPr>
                <w:rFonts w:ascii="Calibri" w:hAnsi="Calibri"/>
                <w:color w:val="auto"/>
                <w:sz w:val="20"/>
              </w:rPr>
              <w:t>$57,157,442</w:t>
            </w:r>
          </w:p>
        </w:tc>
        <w:tc>
          <w:tcPr>
            <w:tcW w:w="854" w:type="pct"/>
          </w:tcPr>
          <w:p w14:paraId="4EB32983" w14:textId="3815DBF6" w:rsidR="008772FC" w:rsidRPr="004E50E7" w:rsidRDefault="008772FC" w:rsidP="008F2513">
            <w:pPr>
              <w:pStyle w:val="Default"/>
              <w:jc w:val="center"/>
              <w:rPr>
                <w:rFonts w:ascii="Calibri" w:hAnsi="Calibri"/>
                <w:color w:val="auto"/>
                <w:sz w:val="20"/>
              </w:rPr>
            </w:pPr>
            <w:r w:rsidRPr="004E50E7">
              <w:rPr>
                <w:rFonts w:ascii="Calibri" w:hAnsi="Calibri"/>
                <w:color w:val="auto"/>
                <w:sz w:val="20"/>
              </w:rPr>
              <w:t>9</w:t>
            </w:r>
            <w:r>
              <w:rPr>
                <w:rFonts w:ascii="Calibri" w:hAnsi="Calibri"/>
                <w:color w:val="auto"/>
                <w:sz w:val="20"/>
              </w:rPr>
              <w:t>05</w:t>
            </w:r>
            <w:r w:rsidR="00D30F46">
              <w:rPr>
                <w:rFonts w:ascii="Calibri" w:hAnsi="Calibri"/>
                <w:color w:val="auto"/>
                <w:sz w:val="20"/>
              </w:rPr>
              <w:t>/994</w:t>
            </w:r>
            <w:r w:rsidR="00525C26">
              <w:rPr>
                <w:rFonts w:ascii="Calibri" w:hAnsi="Calibri"/>
                <w:color w:val="auto"/>
                <w:sz w:val="20"/>
              </w:rPr>
              <w:t>/788</w:t>
            </w:r>
          </w:p>
        </w:tc>
        <w:tc>
          <w:tcPr>
            <w:tcW w:w="697" w:type="pct"/>
          </w:tcPr>
          <w:p w14:paraId="4A4C6E97"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$1,3</w:t>
            </w:r>
            <w:r>
              <w:rPr>
                <w:rFonts w:ascii="Calibri" w:hAnsi="Calibri"/>
                <w:color w:val="auto"/>
                <w:sz w:val="20"/>
              </w:rPr>
              <w:t>50</w:t>
            </w:r>
            <w:r w:rsidR="00D30F46">
              <w:rPr>
                <w:rFonts w:ascii="Calibri" w:hAnsi="Calibri"/>
                <w:color w:val="auto"/>
                <w:sz w:val="20"/>
              </w:rPr>
              <w:t>/</w:t>
            </w:r>
          </w:p>
          <w:p w14:paraId="520997F5" w14:textId="77777777" w:rsidR="00D30F46" w:rsidRDefault="00D30F46" w:rsidP="008F2513">
            <w:pPr>
              <w:pStyle w:val="Default"/>
              <w:jc w:val="center"/>
              <w:rPr>
                <w:rFonts w:ascii="Calibri" w:hAnsi="Calibri"/>
                <w:color w:val="auto"/>
                <w:sz w:val="20"/>
              </w:rPr>
            </w:pPr>
            <w:r>
              <w:rPr>
                <w:rFonts w:ascii="Calibri" w:hAnsi="Calibri"/>
                <w:color w:val="auto"/>
                <w:sz w:val="20"/>
              </w:rPr>
              <w:t>$1,140</w:t>
            </w:r>
            <w:r w:rsidR="00525C26">
              <w:rPr>
                <w:rFonts w:ascii="Calibri" w:hAnsi="Calibri"/>
                <w:color w:val="auto"/>
                <w:sz w:val="20"/>
              </w:rPr>
              <w:t>/</w:t>
            </w:r>
          </w:p>
          <w:p w14:paraId="713B7530" w14:textId="7BEC1827" w:rsidR="00525C26" w:rsidRPr="004E50E7" w:rsidRDefault="00525C26" w:rsidP="008F2513">
            <w:pPr>
              <w:pStyle w:val="Default"/>
              <w:jc w:val="center"/>
              <w:rPr>
                <w:rFonts w:ascii="Calibri" w:hAnsi="Calibri"/>
                <w:color w:val="auto"/>
                <w:sz w:val="20"/>
              </w:rPr>
            </w:pPr>
            <w:r>
              <w:rPr>
                <w:rFonts w:ascii="Calibri" w:hAnsi="Calibri"/>
                <w:color w:val="auto"/>
                <w:sz w:val="20"/>
              </w:rPr>
              <w:t>$1,395</w:t>
            </w:r>
          </w:p>
        </w:tc>
      </w:tr>
      <w:tr w:rsidR="008772FC" w:rsidRPr="004E50E7" w14:paraId="4678297B" w14:textId="77777777" w:rsidTr="00525C26">
        <w:tc>
          <w:tcPr>
            <w:tcW w:w="1681" w:type="pct"/>
            <w:shd w:val="clear" w:color="auto" w:fill="B6DDE8" w:themeFill="accent5" w:themeFillTint="66"/>
          </w:tcPr>
          <w:p w14:paraId="0702443A"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Wholesale trade</w:t>
            </w:r>
          </w:p>
        </w:tc>
        <w:tc>
          <w:tcPr>
            <w:tcW w:w="991" w:type="pct"/>
            <w:shd w:val="clear" w:color="auto" w:fill="B6DDE8" w:themeFill="accent5" w:themeFillTint="66"/>
          </w:tcPr>
          <w:p w14:paraId="7D000AFB" w14:textId="582AA6DD" w:rsidR="008772FC" w:rsidRPr="004E50E7" w:rsidRDefault="008772FC" w:rsidP="008F2513">
            <w:pPr>
              <w:pStyle w:val="Default"/>
              <w:jc w:val="center"/>
              <w:rPr>
                <w:rFonts w:ascii="Calibri" w:hAnsi="Calibri"/>
                <w:color w:val="auto"/>
                <w:sz w:val="20"/>
              </w:rPr>
            </w:pPr>
            <w:r>
              <w:rPr>
                <w:rFonts w:ascii="Calibri" w:hAnsi="Calibri"/>
                <w:color w:val="auto"/>
                <w:sz w:val="20"/>
              </w:rPr>
              <w:t>85</w:t>
            </w:r>
            <w:r w:rsidR="00D30F46">
              <w:rPr>
                <w:rFonts w:ascii="Calibri" w:hAnsi="Calibri"/>
                <w:color w:val="auto"/>
                <w:sz w:val="20"/>
              </w:rPr>
              <w:t>/91</w:t>
            </w:r>
            <w:r w:rsidR="00525C26">
              <w:rPr>
                <w:rFonts w:ascii="Calibri" w:hAnsi="Calibri"/>
                <w:color w:val="auto"/>
                <w:sz w:val="20"/>
              </w:rPr>
              <w:t>/75</w:t>
            </w:r>
          </w:p>
        </w:tc>
        <w:tc>
          <w:tcPr>
            <w:tcW w:w="776" w:type="pct"/>
            <w:shd w:val="clear" w:color="auto" w:fill="B6DDE8" w:themeFill="accent5" w:themeFillTint="66"/>
          </w:tcPr>
          <w:p w14:paraId="05B23BF1"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71,748,277</w:t>
            </w:r>
            <w:r w:rsidR="00D30F46">
              <w:rPr>
                <w:rFonts w:ascii="Calibri" w:hAnsi="Calibri"/>
                <w:color w:val="auto"/>
                <w:sz w:val="20"/>
              </w:rPr>
              <w:t>/</w:t>
            </w:r>
          </w:p>
          <w:p w14:paraId="514CD5C5" w14:textId="77777777" w:rsidR="00D30F46" w:rsidRDefault="00D30F46" w:rsidP="008F2513">
            <w:pPr>
              <w:pStyle w:val="Default"/>
              <w:rPr>
                <w:rFonts w:ascii="Calibri" w:hAnsi="Calibri"/>
                <w:color w:val="auto"/>
                <w:sz w:val="20"/>
              </w:rPr>
            </w:pPr>
            <w:r>
              <w:rPr>
                <w:rFonts w:ascii="Calibri" w:hAnsi="Calibri"/>
                <w:color w:val="auto"/>
                <w:sz w:val="20"/>
              </w:rPr>
              <w:t>$83,824,817</w:t>
            </w:r>
            <w:r w:rsidR="00525C26">
              <w:rPr>
                <w:rFonts w:ascii="Calibri" w:hAnsi="Calibri"/>
                <w:color w:val="auto"/>
                <w:sz w:val="20"/>
              </w:rPr>
              <w:t>/</w:t>
            </w:r>
          </w:p>
          <w:p w14:paraId="21B250AA" w14:textId="5AE2520F" w:rsidR="00525C26" w:rsidRPr="004E50E7" w:rsidRDefault="00525C26" w:rsidP="008F2513">
            <w:pPr>
              <w:pStyle w:val="Default"/>
              <w:rPr>
                <w:rFonts w:ascii="Calibri" w:hAnsi="Calibri"/>
                <w:color w:val="auto"/>
                <w:sz w:val="20"/>
              </w:rPr>
            </w:pPr>
            <w:r>
              <w:rPr>
                <w:rFonts w:ascii="Calibri" w:hAnsi="Calibri"/>
                <w:color w:val="auto"/>
                <w:sz w:val="20"/>
              </w:rPr>
              <w:t>$168,380,722</w:t>
            </w:r>
          </w:p>
        </w:tc>
        <w:tc>
          <w:tcPr>
            <w:tcW w:w="854" w:type="pct"/>
            <w:shd w:val="clear" w:color="auto" w:fill="B6DDE8" w:themeFill="accent5" w:themeFillTint="66"/>
          </w:tcPr>
          <w:p w14:paraId="50CD4181" w14:textId="17646949" w:rsidR="008772FC" w:rsidRPr="004E50E7" w:rsidRDefault="008772FC" w:rsidP="008F2513">
            <w:pPr>
              <w:pStyle w:val="Default"/>
              <w:jc w:val="center"/>
              <w:rPr>
                <w:rFonts w:ascii="Calibri" w:hAnsi="Calibri"/>
                <w:color w:val="auto"/>
                <w:sz w:val="20"/>
              </w:rPr>
            </w:pPr>
            <w:r>
              <w:rPr>
                <w:rFonts w:ascii="Calibri" w:hAnsi="Calibri"/>
                <w:color w:val="auto"/>
                <w:sz w:val="20"/>
              </w:rPr>
              <w:t>704</w:t>
            </w:r>
            <w:r w:rsidR="00D30F46">
              <w:rPr>
                <w:rFonts w:ascii="Calibri" w:hAnsi="Calibri"/>
                <w:color w:val="auto"/>
                <w:sz w:val="20"/>
              </w:rPr>
              <w:t>/757</w:t>
            </w:r>
            <w:r w:rsidR="00525C26">
              <w:rPr>
                <w:rFonts w:ascii="Calibri" w:hAnsi="Calibri"/>
                <w:color w:val="auto"/>
                <w:sz w:val="20"/>
              </w:rPr>
              <w:t>/1,378</w:t>
            </w:r>
          </w:p>
        </w:tc>
        <w:tc>
          <w:tcPr>
            <w:tcW w:w="697" w:type="pct"/>
            <w:shd w:val="clear" w:color="auto" w:fill="B6DDE8" w:themeFill="accent5" w:themeFillTint="66"/>
          </w:tcPr>
          <w:p w14:paraId="6D56D118"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w:t>
            </w:r>
            <w:r>
              <w:rPr>
                <w:rFonts w:ascii="Calibri" w:hAnsi="Calibri"/>
                <w:color w:val="auto"/>
                <w:sz w:val="20"/>
              </w:rPr>
              <w:t>960</w:t>
            </w:r>
            <w:r w:rsidR="00D30F46">
              <w:rPr>
                <w:rFonts w:ascii="Calibri" w:hAnsi="Calibri"/>
                <w:color w:val="auto"/>
                <w:sz w:val="20"/>
              </w:rPr>
              <w:t>/</w:t>
            </w:r>
          </w:p>
          <w:p w14:paraId="5DC8A39A" w14:textId="77777777" w:rsidR="00D30F46" w:rsidRDefault="00D30F46" w:rsidP="008F2513">
            <w:pPr>
              <w:pStyle w:val="Default"/>
              <w:jc w:val="center"/>
              <w:rPr>
                <w:rFonts w:ascii="Calibri" w:hAnsi="Calibri"/>
                <w:color w:val="auto"/>
                <w:sz w:val="20"/>
              </w:rPr>
            </w:pPr>
            <w:r>
              <w:rPr>
                <w:rFonts w:ascii="Calibri" w:hAnsi="Calibri"/>
                <w:color w:val="auto"/>
                <w:sz w:val="20"/>
              </w:rPr>
              <w:t>$2,129</w:t>
            </w:r>
            <w:r w:rsidR="00525C26">
              <w:rPr>
                <w:rFonts w:ascii="Calibri" w:hAnsi="Calibri"/>
                <w:color w:val="auto"/>
                <w:sz w:val="20"/>
              </w:rPr>
              <w:t>/</w:t>
            </w:r>
          </w:p>
          <w:p w14:paraId="36A080C0" w14:textId="2AAAC8F1" w:rsidR="00525C26" w:rsidRPr="004E50E7" w:rsidRDefault="00525C26" w:rsidP="008F2513">
            <w:pPr>
              <w:pStyle w:val="Default"/>
              <w:jc w:val="center"/>
              <w:rPr>
                <w:rFonts w:ascii="Calibri" w:hAnsi="Calibri"/>
                <w:color w:val="auto"/>
                <w:sz w:val="20"/>
              </w:rPr>
            </w:pPr>
            <w:r>
              <w:rPr>
                <w:rFonts w:ascii="Calibri" w:hAnsi="Calibri"/>
                <w:color w:val="auto"/>
                <w:sz w:val="20"/>
              </w:rPr>
              <w:t>$2,350</w:t>
            </w:r>
          </w:p>
        </w:tc>
      </w:tr>
      <w:tr w:rsidR="008772FC" w:rsidRPr="004E50E7" w14:paraId="6EA66792" w14:textId="77777777" w:rsidTr="0014658A">
        <w:tc>
          <w:tcPr>
            <w:tcW w:w="1681" w:type="pct"/>
            <w:shd w:val="clear" w:color="auto" w:fill="B6DDE8" w:themeFill="accent5" w:themeFillTint="66"/>
          </w:tcPr>
          <w:p w14:paraId="0ADC2476"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Retail trade</w:t>
            </w:r>
          </w:p>
        </w:tc>
        <w:tc>
          <w:tcPr>
            <w:tcW w:w="991" w:type="pct"/>
            <w:shd w:val="clear" w:color="auto" w:fill="B6DDE8" w:themeFill="accent5" w:themeFillTint="66"/>
          </w:tcPr>
          <w:p w14:paraId="3A6F6F00" w14:textId="48601EF8" w:rsidR="008772FC" w:rsidRPr="004E50E7" w:rsidRDefault="008772FC" w:rsidP="008F2513">
            <w:pPr>
              <w:pStyle w:val="Default"/>
              <w:jc w:val="center"/>
              <w:rPr>
                <w:rFonts w:ascii="Calibri" w:hAnsi="Calibri"/>
                <w:color w:val="auto"/>
                <w:sz w:val="20"/>
              </w:rPr>
            </w:pPr>
            <w:r>
              <w:rPr>
                <w:rFonts w:ascii="Calibri" w:hAnsi="Calibri"/>
                <w:color w:val="auto"/>
                <w:sz w:val="20"/>
              </w:rPr>
              <w:t>88</w:t>
            </w:r>
            <w:r w:rsidR="00D30F46">
              <w:rPr>
                <w:rFonts w:ascii="Calibri" w:hAnsi="Calibri"/>
                <w:color w:val="auto"/>
                <w:sz w:val="20"/>
              </w:rPr>
              <w:t>/91</w:t>
            </w:r>
            <w:r w:rsidR="00525C26">
              <w:rPr>
                <w:rFonts w:ascii="Calibri" w:hAnsi="Calibri"/>
                <w:color w:val="auto"/>
                <w:sz w:val="20"/>
              </w:rPr>
              <w:t>/88</w:t>
            </w:r>
          </w:p>
        </w:tc>
        <w:tc>
          <w:tcPr>
            <w:tcW w:w="776" w:type="pct"/>
            <w:shd w:val="clear" w:color="auto" w:fill="B6DDE8" w:themeFill="accent5" w:themeFillTint="66"/>
          </w:tcPr>
          <w:p w14:paraId="60022C50"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44,685,144</w:t>
            </w:r>
            <w:r w:rsidR="00D30F46">
              <w:rPr>
                <w:rFonts w:ascii="Calibri" w:hAnsi="Calibri"/>
                <w:color w:val="auto"/>
                <w:sz w:val="20"/>
              </w:rPr>
              <w:t>/</w:t>
            </w:r>
          </w:p>
          <w:p w14:paraId="7A5D59E3" w14:textId="77777777" w:rsidR="00D30F46" w:rsidRDefault="00D30F46" w:rsidP="008F2513">
            <w:pPr>
              <w:pStyle w:val="Default"/>
              <w:rPr>
                <w:rFonts w:ascii="Calibri" w:hAnsi="Calibri"/>
                <w:color w:val="auto"/>
                <w:sz w:val="20"/>
              </w:rPr>
            </w:pPr>
            <w:r>
              <w:rPr>
                <w:rFonts w:ascii="Calibri" w:hAnsi="Calibri"/>
                <w:color w:val="auto"/>
                <w:sz w:val="20"/>
              </w:rPr>
              <w:t>$47,792,522</w:t>
            </w:r>
            <w:r w:rsidR="00525C26">
              <w:rPr>
                <w:rFonts w:ascii="Calibri" w:hAnsi="Calibri"/>
                <w:color w:val="auto"/>
                <w:sz w:val="20"/>
              </w:rPr>
              <w:t>/</w:t>
            </w:r>
          </w:p>
          <w:p w14:paraId="4E6AE6AF" w14:textId="54597525" w:rsidR="00525C26" w:rsidRPr="004E50E7" w:rsidRDefault="00525C26" w:rsidP="008F2513">
            <w:pPr>
              <w:pStyle w:val="Default"/>
              <w:rPr>
                <w:rFonts w:ascii="Calibri" w:hAnsi="Calibri"/>
                <w:color w:val="auto"/>
                <w:sz w:val="20"/>
              </w:rPr>
            </w:pPr>
            <w:r>
              <w:rPr>
                <w:rFonts w:ascii="Calibri" w:hAnsi="Calibri"/>
                <w:color w:val="auto"/>
                <w:sz w:val="20"/>
              </w:rPr>
              <w:t>$54,086,597</w:t>
            </w:r>
          </w:p>
        </w:tc>
        <w:tc>
          <w:tcPr>
            <w:tcW w:w="854" w:type="pct"/>
            <w:shd w:val="clear" w:color="auto" w:fill="B6DDE8" w:themeFill="accent5" w:themeFillTint="66"/>
          </w:tcPr>
          <w:p w14:paraId="2429BC58" w14:textId="77777777" w:rsidR="008772FC" w:rsidRDefault="008772FC" w:rsidP="008F2513">
            <w:pPr>
              <w:pStyle w:val="Default"/>
              <w:jc w:val="center"/>
              <w:rPr>
                <w:rFonts w:ascii="Calibri" w:hAnsi="Calibri"/>
                <w:color w:val="auto"/>
                <w:sz w:val="20"/>
              </w:rPr>
            </w:pPr>
            <w:r>
              <w:rPr>
                <w:rFonts w:ascii="Calibri" w:hAnsi="Calibri"/>
                <w:color w:val="auto"/>
                <w:sz w:val="20"/>
              </w:rPr>
              <w:t>1,195</w:t>
            </w:r>
            <w:r w:rsidR="00D30F46">
              <w:rPr>
                <w:rFonts w:ascii="Calibri" w:hAnsi="Calibri"/>
                <w:color w:val="auto"/>
                <w:sz w:val="20"/>
              </w:rPr>
              <w:t>/1,166</w:t>
            </w:r>
            <w:r w:rsidR="00525C26">
              <w:rPr>
                <w:rFonts w:ascii="Calibri" w:hAnsi="Calibri"/>
                <w:color w:val="auto"/>
                <w:sz w:val="20"/>
              </w:rPr>
              <w:t>/</w:t>
            </w:r>
          </w:p>
          <w:p w14:paraId="76209772" w14:textId="61FD1A06" w:rsidR="00525C26" w:rsidRPr="004E50E7" w:rsidRDefault="00525C26" w:rsidP="008F2513">
            <w:pPr>
              <w:pStyle w:val="Default"/>
              <w:jc w:val="center"/>
              <w:rPr>
                <w:rFonts w:ascii="Calibri" w:hAnsi="Calibri"/>
                <w:color w:val="auto"/>
                <w:sz w:val="20"/>
              </w:rPr>
            </w:pPr>
            <w:r>
              <w:rPr>
                <w:rFonts w:ascii="Calibri" w:hAnsi="Calibri"/>
                <w:color w:val="auto"/>
                <w:sz w:val="20"/>
              </w:rPr>
              <w:t>1,071</w:t>
            </w:r>
          </w:p>
        </w:tc>
        <w:tc>
          <w:tcPr>
            <w:tcW w:w="697" w:type="pct"/>
            <w:shd w:val="clear" w:color="auto" w:fill="B6DDE8" w:themeFill="accent5" w:themeFillTint="66"/>
          </w:tcPr>
          <w:p w14:paraId="5B5EE261"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w:t>
            </w:r>
            <w:r>
              <w:rPr>
                <w:rFonts w:ascii="Calibri" w:hAnsi="Calibri"/>
                <w:color w:val="auto"/>
                <w:sz w:val="20"/>
              </w:rPr>
              <w:t>719</w:t>
            </w:r>
            <w:r w:rsidR="00D30F46">
              <w:rPr>
                <w:rFonts w:ascii="Calibri" w:hAnsi="Calibri"/>
                <w:color w:val="auto"/>
                <w:sz w:val="20"/>
              </w:rPr>
              <w:t>/</w:t>
            </w:r>
          </w:p>
          <w:p w14:paraId="192A7944" w14:textId="77777777" w:rsidR="00D30F46" w:rsidRDefault="00D30F46" w:rsidP="008F2513">
            <w:pPr>
              <w:pStyle w:val="Default"/>
              <w:jc w:val="center"/>
              <w:rPr>
                <w:rFonts w:ascii="Calibri" w:hAnsi="Calibri"/>
                <w:color w:val="auto"/>
                <w:sz w:val="20"/>
              </w:rPr>
            </w:pPr>
            <w:r>
              <w:rPr>
                <w:rFonts w:ascii="Calibri" w:hAnsi="Calibri"/>
                <w:color w:val="auto"/>
                <w:sz w:val="20"/>
              </w:rPr>
              <w:t>$788</w:t>
            </w:r>
            <w:r w:rsidR="00525C26">
              <w:rPr>
                <w:rFonts w:ascii="Calibri" w:hAnsi="Calibri"/>
                <w:color w:val="auto"/>
                <w:sz w:val="20"/>
              </w:rPr>
              <w:t>/</w:t>
            </w:r>
          </w:p>
          <w:p w14:paraId="621F87B7" w14:textId="5BB8E30C" w:rsidR="00525C26" w:rsidRPr="004E50E7" w:rsidRDefault="00525C26" w:rsidP="008F2513">
            <w:pPr>
              <w:pStyle w:val="Default"/>
              <w:jc w:val="center"/>
              <w:rPr>
                <w:rFonts w:ascii="Calibri" w:hAnsi="Calibri"/>
                <w:color w:val="auto"/>
                <w:sz w:val="20"/>
              </w:rPr>
            </w:pPr>
            <w:r>
              <w:rPr>
                <w:rFonts w:ascii="Calibri" w:hAnsi="Calibri"/>
                <w:color w:val="auto"/>
                <w:sz w:val="20"/>
              </w:rPr>
              <w:t>$971</w:t>
            </w:r>
          </w:p>
        </w:tc>
      </w:tr>
      <w:tr w:rsidR="008772FC" w:rsidRPr="004E50E7" w14:paraId="453146FF" w14:textId="77777777" w:rsidTr="008F2513">
        <w:tc>
          <w:tcPr>
            <w:tcW w:w="1681" w:type="pct"/>
          </w:tcPr>
          <w:p w14:paraId="00E0420E" w14:textId="75BD6C60" w:rsidR="008772FC" w:rsidRPr="004E50E7" w:rsidRDefault="008772FC" w:rsidP="008F2513">
            <w:pPr>
              <w:pStyle w:val="Default"/>
              <w:rPr>
                <w:rFonts w:ascii="Calibri" w:hAnsi="Calibri"/>
                <w:color w:val="auto"/>
                <w:sz w:val="20"/>
              </w:rPr>
            </w:pPr>
            <w:r w:rsidRPr="004E50E7">
              <w:rPr>
                <w:rFonts w:ascii="Calibri" w:hAnsi="Calibri"/>
                <w:color w:val="auto"/>
                <w:sz w:val="20"/>
              </w:rPr>
              <w:t>Transportation/warehousing</w:t>
            </w:r>
          </w:p>
        </w:tc>
        <w:tc>
          <w:tcPr>
            <w:tcW w:w="991" w:type="pct"/>
          </w:tcPr>
          <w:p w14:paraId="3652C9DC" w14:textId="5D9861F7" w:rsidR="008772FC" w:rsidRPr="004E50E7" w:rsidRDefault="008772FC" w:rsidP="008F2513">
            <w:pPr>
              <w:pStyle w:val="Default"/>
              <w:jc w:val="center"/>
              <w:rPr>
                <w:rFonts w:ascii="Calibri" w:hAnsi="Calibri"/>
                <w:color w:val="auto"/>
                <w:sz w:val="20"/>
              </w:rPr>
            </w:pPr>
            <w:r>
              <w:rPr>
                <w:rFonts w:ascii="Calibri" w:hAnsi="Calibri"/>
                <w:color w:val="auto"/>
                <w:sz w:val="20"/>
              </w:rPr>
              <w:t>11</w:t>
            </w:r>
            <w:r w:rsidR="00D30F46">
              <w:rPr>
                <w:rFonts w:ascii="Calibri" w:hAnsi="Calibri"/>
                <w:color w:val="auto"/>
                <w:sz w:val="20"/>
              </w:rPr>
              <w:t>/16</w:t>
            </w:r>
            <w:r w:rsidR="00525C26">
              <w:rPr>
                <w:rFonts w:ascii="Calibri" w:hAnsi="Calibri"/>
                <w:color w:val="auto"/>
                <w:sz w:val="20"/>
              </w:rPr>
              <w:t>/13</w:t>
            </w:r>
          </w:p>
        </w:tc>
        <w:tc>
          <w:tcPr>
            <w:tcW w:w="776" w:type="pct"/>
          </w:tcPr>
          <w:p w14:paraId="2116CE4C"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12,314,649</w:t>
            </w:r>
            <w:r w:rsidR="00D30F46">
              <w:rPr>
                <w:rFonts w:ascii="Calibri" w:hAnsi="Calibri"/>
                <w:color w:val="auto"/>
                <w:sz w:val="20"/>
              </w:rPr>
              <w:t>/</w:t>
            </w:r>
          </w:p>
          <w:p w14:paraId="1CC67A7E" w14:textId="77777777" w:rsidR="00D30F46" w:rsidRDefault="00D30F46" w:rsidP="008F2513">
            <w:pPr>
              <w:pStyle w:val="Default"/>
              <w:rPr>
                <w:rFonts w:ascii="Calibri" w:hAnsi="Calibri"/>
                <w:color w:val="auto"/>
                <w:sz w:val="20"/>
              </w:rPr>
            </w:pPr>
            <w:r>
              <w:rPr>
                <w:rFonts w:ascii="Calibri" w:hAnsi="Calibri"/>
                <w:color w:val="auto"/>
                <w:sz w:val="20"/>
              </w:rPr>
              <w:t>$12,903,648</w:t>
            </w:r>
            <w:r w:rsidR="00525C26">
              <w:rPr>
                <w:rFonts w:ascii="Calibri" w:hAnsi="Calibri"/>
                <w:color w:val="auto"/>
                <w:sz w:val="20"/>
              </w:rPr>
              <w:t>/</w:t>
            </w:r>
          </w:p>
          <w:p w14:paraId="02F50298" w14:textId="6BF55E00" w:rsidR="00525C26" w:rsidRPr="004E50E7" w:rsidRDefault="00525C26" w:rsidP="008F2513">
            <w:pPr>
              <w:pStyle w:val="Default"/>
              <w:rPr>
                <w:rFonts w:ascii="Calibri" w:hAnsi="Calibri"/>
                <w:color w:val="auto"/>
                <w:sz w:val="20"/>
              </w:rPr>
            </w:pPr>
            <w:r>
              <w:rPr>
                <w:rFonts w:ascii="Calibri" w:hAnsi="Calibri"/>
                <w:color w:val="auto"/>
                <w:sz w:val="20"/>
              </w:rPr>
              <w:t>$15,605,271</w:t>
            </w:r>
          </w:p>
        </w:tc>
        <w:tc>
          <w:tcPr>
            <w:tcW w:w="854" w:type="pct"/>
          </w:tcPr>
          <w:p w14:paraId="0C71318D" w14:textId="3D620B30" w:rsidR="008772FC" w:rsidRPr="004E50E7" w:rsidRDefault="008772FC" w:rsidP="008F2513">
            <w:pPr>
              <w:pStyle w:val="Default"/>
              <w:jc w:val="center"/>
              <w:rPr>
                <w:rFonts w:ascii="Calibri" w:hAnsi="Calibri"/>
                <w:color w:val="auto"/>
                <w:sz w:val="20"/>
              </w:rPr>
            </w:pPr>
            <w:r>
              <w:rPr>
                <w:rFonts w:ascii="Calibri" w:hAnsi="Calibri"/>
                <w:color w:val="auto"/>
                <w:sz w:val="20"/>
              </w:rPr>
              <w:t>205</w:t>
            </w:r>
            <w:r w:rsidR="00D30F46">
              <w:rPr>
                <w:rFonts w:ascii="Calibri" w:hAnsi="Calibri"/>
                <w:color w:val="auto"/>
                <w:sz w:val="20"/>
              </w:rPr>
              <w:t>/215</w:t>
            </w:r>
            <w:r w:rsidR="00525C26">
              <w:rPr>
                <w:rFonts w:ascii="Calibri" w:hAnsi="Calibri"/>
                <w:color w:val="auto"/>
                <w:sz w:val="20"/>
              </w:rPr>
              <w:t>/232</w:t>
            </w:r>
          </w:p>
        </w:tc>
        <w:tc>
          <w:tcPr>
            <w:tcW w:w="697" w:type="pct"/>
          </w:tcPr>
          <w:p w14:paraId="6D86A7C4"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$1,1</w:t>
            </w:r>
            <w:r>
              <w:rPr>
                <w:rFonts w:ascii="Calibri" w:hAnsi="Calibri"/>
                <w:color w:val="auto"/>
                <w:sz w:val="20"/>
              </w:rPr>
              <w:t>55</w:t>
            </w:r>
            <w:r w:rsidR="00D30F46">
              <w:rPr>
                <w:rFonts w:ascii="Calibri" w:hAnsi="Calibri"/>
                <w:color w:val="auto"/>
                <w:sz w:val="20"/>
              </w:rPr>
              <w:t>/</w:t>
            </w:r>
          </w:p>
          <w:p w14:paraId="78D8AB74" w14:textId="77777777" w:rsidR="00D30F46" w:rsidRDefault="00D30F46" w:rsidP="008F2513">
            <w:pPr>
              <w:pStyle w:val="Default"/>
              <w:jc w:val="center"/>
              <w:rPr>
                <w:rFonts w:ascii="Calibri" w:hAnsi="Calibri"/>
                <w:color w:val="auto"/>
                <w:sz w:val="20"/>
              </w:rPr>
            </w:pPr>
            <w:r>
              <w:rPr>
                <w:rFonts w:ascii="Calibri" w:hAnsi="Calibri"/>
                <w:color w:val="auto"/>
                <w:sz w:val="20"/>
              </w:rPr>
              <w:t>$1,154</w:t>
            </w:r>
            <w:r w:rsidR="00525C26">
              <w:rPr>
                <w:rFonts w:ascii="Calibri" w:hAnsi="Calibri"/>
                <w:color w:val="auto"/>
                <w:sz w:val="20"/>
              </w:rPr>
              <w:t>/</w:t>
            </w:r>
          </w:p>
          <w:p w14:paraId="61DF0E37" w14:textId="12D2D654" w:rsidR="00525C26" w:rsidRPr="004E50E7" w:rsidRDefault="00525C26" w:rsidP="008F2513">
            <w:pPr>
              <w:pStyle w:val="Default"/>
              <w:jc w:val="center"/>
              <w:rPr>
                <w:rFonts w:ascii="Calibri" w:hAnsi="Calibri"/>
                <w:color w:val="auto"/>
                <w:sz w:val="20"/>
              </w:rPr>
            </w:pPr>
            <w:r>
              <w:rPr>
                <w:rFonts w:ascii="Calibri" w:hAnsi="Calibri"/>
                <w:color w:val="auto"/>
                <w:sz w:val="20"/>
              </w:rPr>
              <w:t>$1,294</w:t>
            </w:r>
          </w:p>
        </w:tc>
      </w:tr>
      <w:tr w:rsidR="008772FC" w:rsidRPr="004E50E7" w14:paraId="231E3559" w14:textId="77777777" w:rsidTr="00525C26">
        <w:tc>
          <w:tcPr>
            <w:tcW w:w="1681" w:type="pct"/>
            <w:shd w:val="clear" w:color="auto" w:fill="auto"/>
          </w:tcPr>
          <w:p w14:paraId="0E7D7783"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Information</w:t>
            </w:r>
          </w:p>
        </w:tc>
        <w:tc>
          <w:tcPr>
            <w:tcW w:w="991" w:type="pct"/>
            <w:shd w:val="clear" w:color="auto" w:fill="auto"/>
          </w:tcPr>
          <w:p w14:paraId="7E5E8C04" w14:textId="58A4FD68" w:rsidR="008772FC" w:rsidRPr="004E50E7" w:rsidRDefault="008772FC" w:rsidP="008F2513">
            <w:pPr>
              <w:pStyle w:val="Default"/>
              <w:jc w:val="center"/>
              <w:rPr>
                <w:rFonts w:ascii="Calibri" w:hAnsi="Calibri"/>
                <w:color w:val="auto"/>
                <w:sz w:val="20"/>
              </w:rPr>
            </w:pPr>
            <w:r>
              <w:rPr>
                <w:rFonts w:ascii="Calibri" w:hAnsi="Calibri"/>
                <w:color w:val="auto"/>
                <w:sz w:val="20"/>
              </w:rPr>
              <w:t>51</w:t>
            </w:r>
            <w:r w:rsidR="00D30F46">
              <w:rPr>
                <w:rFonts w:ascii="Calibri" w:hAnsi="Calibri"/>
                <w:color w:val="auto"/>
                <w:sz w:val="20"/>
              </w:rPr>
              <w:t>/57</w:t>
            </w:r>
            <w:r w:rsidR="00525C26">
              <w:rPr>
                <w:rFonts w:ascii="Calibri" w:hAnsi="Calibri"/>
                <w:color w:val="auto"/>
                <w:sz w:val="20"/>
              </w:rPr>
              <w:t>/65</w:t>
            </w:r>
          </w:p>
        </w:tc>
        <w:tc>
          <w:tcPr>
            <w:tcW w:w="776" w:type="pct"/>
            <w:shd w:val="clear" w:color="auto" w:fill="auto"/>
          </w:tcPr>
          <w:p w14:paraId="0C2E74D6" w14:textId="77777777" w:rsidR="008772FC" w:rsidRDefault="008772FC" w:rsidP="008F2513">
            <w:pPr>
              <w:pStyle w:val="Default"/>
              <w:rPr>
                <w:rFonts w:ascii="Calibri" w:hAnsi="Calibri"/>
                <w:color w:val="auto"/>
                <w:sz w:val="20"/>
              </w:rPr>
            </w:pPr>
            <w:r>
              <w:rPr>
                <w:rFonts w:ascii="Calibri" w:hAnsi="Calibri"/>
                <w:color w:val="auto"/>
                <w:sz w:val="20"/>
              </w:rPr>
              <w:t>$115,387,213</w:t>
            </w:r>
            <w:r w:rsidR="00D30F46">
              <w:rPr>
                <w:rFonts w:ascii="Calibri" w:hAnsi="Calibri"/>
                <w:color w:val="auto"/>
                <w:sz w:val="20"/>
              </w:rPr>
              <w:t>/</w:t>
            </w:r>
          </w:p>
          <w:p w14:paraId="4831EDDE" w14:textId="77777777" w:rsidR="00D30F46" w:rsidRDefault="00D30F46" w:rsidP="008F2513">
            <w:pPr>
              <w:pStyle w:val="Default"/>
              <w:rPr>
                <w:rFonts w:ascii="Calibri" w:hAnsi="Calibri"/>
                <w:color w:val="auto"/>
                <w:sz w:val="20"/>
              </w:rPr>
            </w:pPr>
            <w:r>
              <w:rPr>
                <w:rFonts w:ascii="Calibri" w:hAnsi="Calibri"/>
                <w:color w:val="auto"/>
                <w:sz w:val="20"/>
              </w:rPr>
              <w:lastRenderedPageBreak/>
              <w:t>$144,131,188</w:t>
            </w:r>
            <w:r w:rsidR="00525C26">
              <w:rPr>
                <w:rFonts w:ascii="Calibri" w:hAnsi="Calibri"/>
                <w:color w:val="auto"/>
                <w:sz w:val="20"/>
              </w:rPr>
              <w:t>/</w:t>
            </w:r>
          </w:p>
          <w:p w14:paraId="6D44E120" w14:textId="72DD2069" w:rsidR="00525C26" w:rsidRPr="004E50E7" w:rsidRDefault="00525C26" w:rsidP="008F2513">
            <w:pPr>
              <w:pStyle w:val="Default"/>
              <w:rPr>
                <w:rFonts w:ascii="Calibri" w:hAnsi="Calibri"/>
                <w:color w:val="auto"/>
                <w:sz w:val="20"/>
              </w:rPr>
            </w:pPr>
            <w:r>
              <w:rPr>
                <w:rFonts w:ascii="Calibri" w:hAnsi="Calibri"/>
                <w:color w:val="auto"/>
                <w:sz w:val="20"/>
              </w:rPr>
              <w:t>$97,229,775</w:t>
            </w:r>
          </w:p>
        </w:tc>
        <w:tc>
          <w:tcPr>
            <w:tcW w:w="854" w:type="pct"/>
            <w:shd w:val="clear" w:color="auto" w:fill="auto"/>
          </w:tcPr>
          <w:p w14:paraId="5E32B347" w14:textId="77777777" w:rsidR="008772FC" w:rsidRDefault="008772FC" w:rsidP="008F2513">
            <w:pPr>
              <w:pStyle w:val="Default"/>
              <w:jc w:val="center"/>
              <w:rPr>
                <w:rFonts w:ascii="Calibri" w:hAnsi="Calibri"/>
                <w:color w:val="auto"/>
                <w:sz w:val="20"/>
              </w:rPr>
            </w:pPr>
            <w:r>
              <w:rPr>
                <w:rFonts w:ascii="Calibri" w:hAnsi="Calibri"/>
                <w:color w:val="auto"/>
                <w:sz w:val="20"/>
              </w:rPr>
              <w:lastRenderedPageBreak/>
              <w:t>1,159</w:t>
            </w:r>
            <w:r w:rsidR="00D30F46">
              <w:rPr>
                <w:rFonts w:ascii="Calibri" w:hAnsi="Calibri"/>
                <w:color w:val="auto"/>
                <w:sz w:val="20"/>
              </w:rPr>
              <w:t>/1,374</w:t>
            </w:r>
            <w:r w:rsidR="00525C26">
              <w:rPr>
                <w:rFonts w:ascii="Calibri" w:hAnsi="Calibri"/>
                <w:color w:val="auto"/>
                <w:sz w:val="20"/>
              </w:rPr>
              <w:t>/</w:t>
            </w:r>
          </w:p>
          <w:p w14:paraId="067D68FD" w14:textId="5A30BC0C" w:rsidR="00525C26" w:rsidRPr="004E50E7" w:rsidRDefault="00525C26" w:rsidP="008F2513">
            <w:pPr>
              <w:pStyle w:val="Default"/>
              <w:jc w:val="center"/>
              <w:rPr>
                <w:rFonts w:ascii="Calibri" w:hAnsi="Calibri"/>
                <w:color w:val="auto"/>
                <w:sz w:val="20"/>
              </w:rPr>
            </w:pPr>
            <w:r>
              <w:rPr>
                <w:rFonts w:ascii="Calibri" w:hAnsi="Calibri"/>
                <w:color w:val="auto"/>
                <w:sz w:val="20"/>
              </w:rPr>
              <w:lastRenderedPageBreak/>
              <w:t>877</w:t>
            </w:r>
          </w:p>
        </w:tc>
        <w:tc>
          <w:tcPr>
            <w:tcW w:w="697" w:type="pct"/>
            <w:shd w:val="clear" w:color="auto" w:fill="auto"/>
          </w:tcPr>
          <w:p w14:paraId="143155CE"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lastRenderedPageBreak/>
              <w:t>$</w:t>
            </w:r>
            <w:r>
              <w:rPr>
                <w:rFonts w:ascii="Calibri" w:hAnsi="Calibri"/>
                <w:color w:val="auto"/>
                <w:sz w:val="20"/>
              </w:rPr>
              <w:t>1,915</w:t>
            </w:r>
            <w:r w:rsidR="00D30F46">
              <w:rPr>
                <w:rFonts w:ascii="Calibri" w:hAnsi="Calibri"/>
                <w:color w:val="auto"/>
                <w:sz w:val="20"/>
              </w:rPr>
              <w:t>/</w:t>
            </w:r>
          </w:p>
          <w:p w14:paraId="6AEFEAB6" w14:textId="77777777" w:rsidR="00D30F46" w:rsidRDefault="00D30F46" w:rsidP="008F2513">
            <w:pPr>
              <w:pStyle w:val="Default"/>
              <w:jc w:val="center"/>
              <w:rPr>
                <w:rFonts w:ascii="Calibri" w:hAnsi="Calibri"/>
                <w:color w:val="auto"/>
                <w:sz w:val="20"/>
              </w:rPr>
            </w:pPr>
            <w:r>
              <w:rPr>
                <w:rFonts w:ascii="Calibri" w:hAnsi="Calibri"/>
                <w:color w:val="auto"/>
                <w:sz w:val="20"/>
              </w:rPr>
              <w:lastRenderedPageBreak/>
              <w:t>$2,017</w:t>
            </w:r>
            <w:r w:rsidR="00525C26">
              <w:rPr>
                <w:rFonts w:ascii="Calibri" w:hAnsi="Calibri"/>
                <w:color w:val="auto"/>
                <w:sz w:val="20"/>
              </w:rPr>
              <w:t>/</w:t>
            </w:r>
          </w:p>
          <w:p w14:paraId="43B57389" w14:textId="6341D5A4" w:rsidR="00525C26" w:rsidRPr="004E50E7" w:rsidRDefault="00525C26" w:rsidP="008F2513">
            <w:pPr>
              <w:pStyle w:val="Default"/>
              <w:jc w:val="center"/>
              <w:rPr>
                <w:rFonts w:ascii="Calibri" w:hAnsi="Calibri"/>
                <w:color w:val="auto"/>
                <w:sz w:val="20"/>
              </w:rPr>
            </w:pPr>
            <w:r>
              <w:rPr>
                <w:rFonts w:ascii="Calibri" w:hAnsi="Calibri"/>
                <w:color w:val="auto"/>
                <w:sz w:val="20"/>
              </w:rPr>
              <w:t>$2,132</w:t>
            </w:r>
          </w:p>
        </w:tc>
      </w:tr>
      <w:tr w:rsidR="008772FC" w:rsidRPr="004E50E7" w14:paraId="2632882B" w14:textId="77777777" w:rsidTr="0014658A">
        <w:tc>
          <w:tcPr>
            <w:tcW w:w="1681" w:type="pct"/>
            <w:shd w:val="clear" w:color="auto" w:fill="B6DDE8" w:themeFill="accent5" w:themeFillTint="66"/>
          </w:tcPr>
          <w:p w14:paraId="58F1645B"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lastRenderedPageBreak/>
              <w:t>Finance/insurance</w:t>
            </w:r>
          </w:p>
        </w:tc>
        <w:tc>
          <w:tcPr>
            <w:tcW w:w="991" w:type="pct"/>
            <w:shd w:val="clear" w:color="auto" w:fill="B6DDE8" w:themeFill="accent5" w:themeFillTint="66"/>
          </w:tcPr>
          <w:p w14:paraId="3FA3ECC5" w14:textId="7D983AEA" w:rsidR="008772FC" w:rsidRPr="004E50E7" w:rsidRDefault="008772FC" w:rsidP="008F2513">
            <w:pPr>
              <w:pStyle w:val="Default"/>
              <w:jc w:val="center"/>
              <w:rPr>
                <w:rFonts w:ascii="Calibri" w:hAnsi="Calibri"/>
                <w:color w:val="auto"/>
                <w:sz w:val="20"/>
              </w:rPr>
            </w:pPr>
            <w:r>
              <w:rPr>
                <w:rFonts w:ascii="Calibri" w:hAnsi="Calibri"/>
                <w:color w:val="auto"/>
                <w:sz w:val="20"/>
              </w:rPr>
              <w:t>101</w:t>
            </w:r>
            <w:r w:rsidR="00D30F46">
              <w:rPr>
                <w:rFonts w:ascii="Calibri" w:hAnsi="Calibri"/>
                <w:color w:val="auto"/>
                <w:sz w:val="20"/>
              </w:rPr>
              <w:t>/116</w:t>
            </w:r>
            <w:r w:rsidR="00525C26">
              <w:rPr>
                <w:rFonts w:ascii="Calibri" w:hAnsi="Calibri"/>
                <w:color w:val="auto"/>
                <w:sz w:val="20"/>
              </w:rPr>
              <w:t>/128</w:t>
            </w:r>
          </w:p>
        </w:tc>
        <w:tc>
          <w:tcPr>
            <w:tcW w:w="776" w:type="pct"/>
            <w:shd w:val="clear" w:color="auto" w:fill="B6DDE8" w:themeFill="accent5" w:themeFillTint="66"/>
          </w:tcPr>
          <w:p w14:paraId="0EBF291F"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145,016,408</w:t>
            </w:r>
            <w:r w:rsidR="00D30F46">
              <w:rPr>
                <w:rFonts w:ascii="Calibri" w:hAnsi="Calibri"/>
                <w:color w:val="auto"/>
                <w:sz w:val="20"/>
              </w:rPr>
              <w:t>/</w:t>
            </w:r>
          </w:p>
          <w:p w14:paraId="53B8C4A9" w14:textId="77777777" w:rsidR="00D30F46" w:rsidRDefault="00D30F46" w:rsidP="008F2513">
            <w:pPr>
              <w:pStyle w:val="Default"/>
              <w:rPr>
                <w:rFonts w:ascii="Calibri" w:hAnsi="Calibri"/>
                <w:color w:val="auto"/>
                <w:sz w:val="20"/>
              </w:rPr>
            </w:pPr>
            <w:r>
              <w:rPr>
                <w:rFonts w:ascii="Calibri" w:hAnsi="Calibri"/>
                <w:color w:val="auto"/>
                <w:sz w:val="20"/>
              </w:rPr>
              <w:t>$175,911,361</w:t>
            </w:r>
            <w:r w:rsidR="00525C26">
              <w:rPr>
                <w:rFonts w:ascii="Calibri" w:hAnsi="Calibri"/>
                <w:color w:val="auto"/>
                <w:sz w:val="20"/>
              </w:rPr>
              <w:t>/</w:t>
            </w:r>
          </w:p>
          <w:p w14:paraId="56993EC9" w14:textId="21F77600" w:rsidR="00525C26" w:rsidRPr="004E50E7" w:rsidRDefault="00525C26" w:rsidP="008F2513">
            <w:pPr>
              <w:pStyle w:val="Default"/>
              <w:rPr>
                <w:rFonts w:ascii="Calibri" w:hAnsi="Calibri"/>
                <w:color w:val="auto"/>
                <w:sz w:val="20"/>
              </w:rPr>
            </w:pPr>
            <w:r>
              <w:rPr>
                <w:rFonts w:ascii="Calibri" w:hAnsi="Calibri"/>
                <w:color w:val="auto"/>
                <w:sz w:val="20"/>
              </w:rPr>
              <w:t>$188,385,336</w:t>
            </w:r>
          </w:p>
        </w:tc>
        <w:tc>
          <w:tcPr>
            <w:tcW w:w="854" w:type="pct"/>
            <w:shd w:val="clear" w:color="auto" w:fill="B6DDE8" w:themeFill="accent5" w:themeFillTint="66"/>
          </w:tcPr>
          <w:p w14:paraId="0C52BDF7" w14:textId="77777777" w:rsidR="008772FC" w:rsidRDefault="008772FC" w:rsidP="008F2513">
            <w:pPr>
              <w:pStyle w:val="Default"/>
              <w:jc w:val="center"/>
              <w:rPr>
                <w:rFonts w:ascii="Calibri" w:hAnsi="Calibri"/>
                <w:color w:val="auto"/>
                <w:sz w:val="20"/>
              </w:rPr>
            </w:pPr>
            <w:r>
              <w:rPr>
                <w:rFonts w:ascii="Calibri" w:hAnsi="Calibri"/>
                <w:color w:val="auto"/>
                <w:sz w:val="20"/>
              </w:rPr>
              <w:t>1,141</w:t>
            </w:r>
            <w:r w:rsidR="00D30F46">
              <w:rPr>
                <w:rFonts w:ascii="Calibri" w:hAnsi="Calibri"/>
                <w:color w:val="auto"/>
                <w:sz w:val="20"/>
              </w:rPr>
              <w:t>/1,256</w:t>
            </w:r>
            <w:r w:rsidR="00525C26">
              <w:rPr>
                <w:rFonts w:ascii="Calibri" w:hAnsi="Calibri"/>
                <w:color w:val="auto"/>
                <w:sz w:val="20"/>
              </w:rPr>
              <w:t>/</w:t>
            </w:r>
          </w:p>
          <w:p w14:paraId="500A8B85" w14:textId="02271C46" w:rsidR="00525C26" w:rsidRPr="004E50E7" w:rsidRDefault="00525C26" w:rsidP="008F2513">
            <w:pPr>
              <w:pStyle w:val="Default"/>
              <w:jc w:val="center"/>
              <w:rPr>
                <w:rFonts w:ascii="Calibri" w:hAnsi="Calibri"/>
                <w:color w:val="auto"/>
                <w:sz w:val="20"/>
              </w:rPr>
            </w:pPr>
            <w:r>
              <w:rPr>
                <w:rFonts w:ascii="Calibri" w:hAnsi="Calibri"/>
                <w:color w:val="auto"/>
                <w:sz w:val="20"/>
              </w:rPr>
              <w:t>1,119</w:t>
            </w:r>
          </w:p>
        </w:tc>
        <w:tc>
          <w:tcPr>
            <w:tcW w:w="697" w:type="pct"/>
            <w:shd w:val="clear" w:color="auto" w:fill="B6DDE8" w:themeFill="accent5" w:themeFillTint="66"/>
          </w:tcPr>
          <w:p w14:paraId="3F9759BD"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$2,</w:t>
            </w:r>
            <w:r>
              <w:rPr>
                <w:rFonts w:ascii="Calibri" w:hAnsi="Calibri"/>
                <w:color w:val="auto"/>
                <w:sz w:val="20"/>
              </w:rPr>
              <w:t>444</w:t>
            </w:r>
            <w:r w:rsidR="00D30F46">
              <w:rPr>
                <w:rFonts w:ascii="Calibri" w:hAnsi="Calibri"/>
                <w:color w:val="auto"/>
                <w:sz w:val="20"/>
              </w:rPr>
              <w:t>/</w:t>
            </w:r>
          </w:p>
          <w:p w14:paraId="26A32F73" w14:textId="77777777" w:rsidR="00D30F46" w:rsidRDefault="00D30F46" w:rsidP="008F2513">
            <w:pPr>
              <w:pStyle w:val="Default"/>
              <w:jc w:val="center"/>
              <w:rPr>
                <w:rFonts w:ascii="Calibri" w:hAnsi="Calibri"/>
                <w:color w:val="auto"/>
                <w:sz w:val="20"/>
              </w:rPr>
            </w:pPr>
            <w:r>
              <w:rPr>
                <w:rFonts w:ascii="Calibri" w:hAnsi="Calibri"/>
                <w:color w:val="auto"/>
                <w:sz w:val="20"/>
              </w:rPr>
              <w:t>$2,693</w:t>
            </w:r>
            <w:r w:rsidR="00525C26">
              <w:rPr>
                <w:rFonts w:ascii="Calibri" w:hAnsi="Calibri"/>
                <w:color w:val="auto"/>
                <w:sz w:val="20"/>
              </w:rPr>
              <w:t>/</w:t>
            </w:r>
          </w:p>
          <w:p w14:paraId="2C5A7B22" w14:textId="62D7FB61" w:rsidR="00525C26" w:rsidRPr="004E50E7" w:rsidRDefault="00525C26" w:rsidP="008F2513">
            <w:pPr>
              <w:pStyle w:val="Default"/>
              <w:jc w:val="center"/>
              <w:rPr>
                <w:rFonts w:ascii="Calibri" w:hAnsi="Calibri"/>
                <w:color w:val="auto"/>
                <w:sz w:val="20"/>
              </w:rPr>
            </w:pPr>
            <w:r>
              <w:rPr>
                <w:rFonts w:ascii="Calibri" w:hAnsi="Calibri"/>
                <w:color w:val="auto"/>
                <w:sz w:val="20"/>
              </w:rPr>
              <w:t>$3,238</w:t>
            </w:r>
          </w:p>
        </w:tc>
      </w:tr>
      <w:tr w:rsidR="008772FC" w:rsidRPr="004E50E7" w14:paraId="2AB78F14" w14:textId="77777777" w:rsidTr="008F2513">
        <w:tc>
          <w:tcPr>
            <w:tcW w:w="1681" w:type="pct"/>
          </w:tcPr>
          <w:p w14:paraId="7B9E91AA"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Real estate/rental/leasing</w:t>
            </w:r>
          </w:p>
        </w:tc>
        <w:tc>
          <w:tcPr>
            <w:tcW w:w="991" w:type="pct"/>
          </w:tcPr>
          <w:p w14:paraId="0D4721DE" w14:textId="376BAEC5" w:rsidR="008772FC" w:rsidRPr="004E50E7" w:rsidRDefault="008772FC" w:rsidP="008F2513">
            <w:pPr>
              <w:pStyle w:val="Default"/>
              <w:jc w:val="center"/>
              <w:rPr>
                <w:rFonts w:ascii="Calibri" w:hAnsi="Calibri"/>
                <w:color w:val="auto"/>
                <w:sz w:val="20"/>
              </w:rPr>
            </w:pPr>
            <w:r>
              <w:rPr>
                <w:rFonts w:ascii="Calibri" w:hAnsi="Calibri"/>
                <w:color w:val="auto"/>
                <w:sz w:val="20"/>
              </w:rPr>
              <w:t>52</w:t>
            </w:r>
            <w:r w:rsidR="00CA2448">
              <w:rPr>
                <w:rFonts w:ascii="Calibri" w:hAnsi="Calibri"/>
                <w:color w:val="auto"/>
                <w:sz w:val="20"/>
              </w:rPr>
              <w:t>/73</w:t>
            </w:r>
            <w:r w:rsidR="00525C26">
              <w:rPr>
                <w:rFonts w:ascii="Calibri" w:hAnsi="Calibri"/>
                <w:color w:val="auto"/>
                <w:sz w:val="20"/>
              </w:rPr>
              <w:t>/72</w:t>
            </w:r>
          </w:p>
        </w:tc>
        <w:tc>
          <w:tcPr>
            <w:tcW w:w="776" w:type="pct"/>
          </w:tcPr>
          <w:p w14:paraId="7CEB05E8"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23,073,500</w:t>
            </w:r>
            <w:r w:rsidR="00CA2448">
              <w:rPr>
                <w:rFonts w:ascii="Calibri" w:hAnsi="Calibri"/>
                <w:color w:val="auto"/>
                <w:sz w:val="20"/>
              </w:rPr>
              <w:t>/</w:t>
            </w:r>
          </w:p>
          <w:p w14:paraId="133D1B6B" w14:textId="77777777" w:rsidR="00CA2448" w:rsidRDefault="00CA2448" w:rsidP="008F2513">
            <w:pPr>
              <w:pStyle w:val="Default"/>
              <w:rPr>
                <w:rFonts w:ascii="Calibri" w:hAnsi="Calibri"/>
                <w:color w:val="auto"/>
                <w:sz w:val="20"/>
              </w:rPr>
            </w:pPr>
            <w:r>
              <w:rPr>
                <w:rFonts w:ascii="Calibri" w:hAnsi="Calibri"/>
                <w:color w:val="auto"/>
                <w:sz w:val="20"/>
              </w:rPr>
              <w:t>$34,711,522</w:t>
            </w:r>
            <w:r w:rsidR="00525C26">
              <w:rPr>
                <w:rFonts w:ascii="Calibri" w:hAnsi="Calibri"/>
                <w:color w:val="auto"/>
                <w:sz w:val="20"/>
              </w:rPr>
              <w:t>/</w:t>
            </w:r>
          </w:p>
          <w:p w14:paraId="5F4E8154" w14:textId="49B5A68D" w:rsidR="00525C26" w:rsidRPr="004E50E7" w:rsidRDefault="00525C26" w:rsidP="008F2513">
            <w:pPr>
              <w:pStyle w:val="Default"/>
              <w:rPr>
                <w:rFonts w:ascii="Calibri" w:hAnsi="Calibri"/>
                <w:color w:val="auto"/>
                <w:sz w:val="20"/>
              </w:rPr>
            </w:pPr>
            <w:r>
              <w:rPr>
                <w:rFonts w:ascii="Calibri" w:hAnsi="Calibri"/>
                <w:color w:val="auto"/>
                <w:sz w:val="20"/>
              </w:rPr>
              <w:t>$30,718,057/291</w:t>
            </w:r>
          </w:p>
        </w:tc>
        <w:tc>
          <w:tcPr>
            <w:tcW w:w="854" w:type="pct"/>
          </w:tcPr>
          <w:p w14:paraId="61C44AA8" w14:textId="77777777" w:rsidR="008772FC" w:rsidRPr="004E50E7" w:rsidRDefault="008772FC" w:rsidP="008F2513">
            <w:pPr>
              <w:pStyle w:val="Default"/>
              <w:jc w:val="center"/>
              <w:rPr>
                <w:rFonts w:ascii="Calibri" w:hAnsi="Calibri"/>
                <w:color w:val="auto"/>
                <w:sz w:val="20"/>
              </w:rPr>
            </w:pPr>
            <w:r>
              <w:rPr>
                <w:rFonts w:ascii="Calibri" w:hAnsi="Calibri"/>
                <w:color w:val="auto"/>
                <w:sz w:val="20"/>
              </w:rPr>
              <w:t>282</w:t>
            </w:r>
            <w:r w:rsidR="00CA2448">
              <w:rPr>
                <w:rFonts w:ascii="Calibri" w:hAnsi="Calibri"/>
                <w:color w:val="auto"/>
                <w:sz w:val="20"/>
              </w:rPr>
              <w:t>/374</w:t>
            </w:r>
          </w:p>
        </w:tc>
        <w:tc>
          <w:tcPr>
            <w:tcW w:w="697" w:type="pct"/>
          </w:tcPr>
          <w:p w14:paraId="4270F263"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w:t>
            </w:r>
            <w:r>
              <w:rPr>
                <w:rFonts w:ascii="Calibri" w:hAnsi="Calibri"/>
                <w:color w:val="auto"/>
                <w:sz w:val="20"/>
              </w:rPr>
              <w:t>1,573</w:t>
            </w:r>
            <w:r w:rsidR="00CA2448">
              <w:rPr>
                <w:rFonts w:ascii="Calibri" w:hAnsi="Calibri"/>
                <w:color w:val="auto"/>
                <w:sz w:val="20"/>
              </w:rPr>
              <w:t>/</w:t>
            </w:r>
          </w:p>
          <w:p w14:paraId="00F5D7D3" w14:textId="77777777" w:rsidR="00525C26" w:rsidRDefault="00CA2448" w:rsidP="008F2513">
            <w:pPr>
              <w:pStyle w:val="Default"/>
              <w:jc w:val="center"/>
              <w:rPr>
                <w:rFonts w:ascii="Calibri" w:hAnsi="Calibri"/>
                <w:color w:val="auto"/>
                <w:sz w:val="20"/>
              </w:rPr>
            </w:pPr>
            <w:r>
              <w:rPr>
                <w:rFonts w:ascii="Calibri" w:hAnsi="Calibri"/>
                <w:color w:val="auto"/>
                <w:sz w:val="20"/>
              </w:rPr>
              <w:t>$1,785</w:t>
            </w:r>
            <w:r w:rsidR="00525C26">
              <w:rPr>
                <w:rFonts w:ascii="Calibri" w:hAnsi="Calibri"/>
                <w:color w:val="auto"/>
                <w:sz w:val="20"/>
              </w:rPr>
              <w:t>/</w:t>
            </w:r>
          </w:p>
          <w:p w14:paraId="020F9443" w14:textId="07D4921B" w:rsidR="00CA2448" w:rsidRPr="004E50E7" w:rsidRDefault="00525C26" w:rsidP="008F2513">
            <w:pPr>
              <w:pStyle w:val="Default"/>
              <w:jc w:val="center"/>
              <w:rPr>
                <w:rFonts w:ascii="Calibri" w:hAnsi="Calibri"/>
                <w:color w:val="auto"/>
                <w:sz w:val="20"/>
              </w:rPr>
            </w:pPr>
            <w:r>
              <w:rPr>
                <w:rFonts w:ascii="Calibri" w:hAnsi="Calibri"/>
                <w:color w:val="auto"/>
                <w:sz w:val="20"/>
              </w:rPr>
              <w:t>$2,030</w:t>
            </w:r>
          </w:p>
        </w:tc>
      </w:tr>
      <w:tr w:rsidR="008772FC" w:rsidRPr="004E50E7" w14:paraId="03C4F273" w14:textId="77777777" w:rsidTr="0014658A">
        <w:tc>
          <w:tcPr>
            <w:tcW w:w="1681" w:type="pct"/>
            <w:shd w:val="clear" w:color="auto" w:fill="B6DDE8" w:themeFill="accent5" w:themeFillTint="66"/>
          </w:tcPr>
          <w:p w14:paraId="5EF8C9B5"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Professional/technical services</w:t>
            </w:r>
          </w:p>
        </w:tc>
        <w:tc>
          <w:tcPr>
            <w:tcW w:w="991" w:type="pct"/>
            <w:shd w:val="clear" w:color="auto" w:fill="B6DDE8" w:themeFill="accent5" w:themeFillTint="66"/>
          </w:tcPr>
          <w:p w14:paraId="095F14A0" w14:textId="766C04A6" w:rsidR="008772FC" w:rsidRPr="004E50E7" w:rsidRDefault="008772FC" w:rsidP="008F2513">
            <w:pPr>
              <w:pStyle w:val="Default"/>
              <w:jc w:val="center"/>
              <w:rPr>
                <w:rFonts w:ascii="Calibri" w:hAnsi="Calibri"/>
                <w:color w:val="auto"/>
                <w:sz w:val="20"/>
              </w:rPr>
            </w:pPr>
            <w:r>
              <w:rPr>
                <w:rFonts w:ascii="Calibri" w:hAnsi="Calibri"/>
                <w:color w:val="auto"/>
                <w:sz w:val="20"/>
              </w:rPr>
              <w:t>281</w:t>
            </w:r>
            <w:r w:rsidR="00CA2448">
              <w:rPr>
                <w:rFonts w:ascii="Calibri" w:hAnsi="Calibri"/>
                <w:color w:val="auto"/>
                <w:sz w:val="20"/>
              </w:rPr>
              <w:t>/281</w:t>
            </w:r>
            <w:r w:rsidR="00525C26">
              <w:rPr>
                <w:rFonts w:ascii="Calibri" w:hAnsi="Calibri"/>
                <w:color w:val="auto"/>
                <w:sz w:val="20"/>
              </w:rPr>
              <w:t>/308</w:t>
            </w:r>
          </w:p>
        </w:tc>
        <w:tc>
          <w:tcPr>
            <w:tcW w:w="776" w:type="pct"/>
            <w:shd w:val="clear" w:color="auto" w:fill="B6DDE8" w:themeFill="accent5" w:themeFillTint="66"/>
          </w:tcPr>
          <w:p w14:paraId="1FA6F8DF"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749,042,333</w:t>
            </w:r>
            <w:r w:rsidR="00CA2448">
              <w:rPr>
                <w:rFonts w:ascii="Calibri" w:hAnsi="Calibri"/>
                <w:color w:val="auto"/>
                <w:sz w:val="20"/>
              </w:rPr>
              <w:t>/</w:t>
            </w:r>
          </w:p>
          <w:p w14:paraId="01BA4399" w14:textId="77777777" w:rsidR="00CA2448" w:rsidRDefault="00CA2448" w:rsidP="008F2513">
            <w:pPr>
              <w:pStyle w:val="Default"/>
              <w:rPr>
                <w:rFonts w:ascii="Calibri" w:hAnsi="Calibri"/>
                <w:color w:val="auto"/>
                <w:sz w:val="20"/>
              </w:rPr>
            </w:pPr>
            <w:r>
              <w:rPr>
                <w:rFonts w:ascii="Calibri" w:hAnsi="Calibri"/>
                <w:color w:val="auto"/>
                <w:sz w:val="20"/>
              </w:rPr>
              <w:t>$795,475,169</w:t>
            </w:r>
            <w:r w:rsidR="00525C26">
              <w:rPr>
                <w:rFonts w:ascii="Calibri" w:hAnsi="Calibri"/>
                <w:color w:val="auto"/>
                <w:sz w:val="20"/>
              </w:rPr>
              <w:t>/</w:t>
            </w:r>
          </w:p>
          <w:p w14:paraId="63A64612" w14:textId="1ABA2FE2" w:rsidR="00525C26" w:rsidRPr="004E50E7" w:rsidRDefault="00525C26" w:rsidP="008F2513">
            <w:pPr>
              <w:pStyle w:val="Default"/>
              <w:rPr>
                <w:rFonts w:ascii="Calibri" w:hAnsi="Calibri"/>
                <w:color w:val="auto"/>
                <w:sz w:val="20"/>
              </w:rPr>
            </w:pPr>
            <w:r>
              <w:rPr>
                <w:rFonts w:ascii="Calibri" w:hAnsi="Calibri"/>
                <w:color w:val="auto"/>
                <w:sz w:val="20"/>
              </w:rPr>
              <w:t>$721,177,474</w:t>
            </w:r>
          </w:p>
        </w:tc>
        <w:tc>
          <w:tcPr>
            <w:tcW w:w="854" w:type="pct"/>
            <w:shd w:val="clear" w:color="auto" w:fill="B6DDE8" w:themeFill="accent5" w:themeFillTint="66"/>
          </w:tcPr>
          <w:p w14:paraId="62E21394" w14:textId="77777777" w:rsidR="008772FC" w:rsidRDefault="008772FC" w:rsidP="008F2513">
            <w:pPr>
              <w:pStyle w:val="Default"/>
              <w:jc w:val="center"/>
              <w:rPr>
                <w:rFonts w:ascii="Calibri" w:hAnsi="Calibri"/>
                <w:color w:val="auto"/>
                <w:sz w:val="20"/>
              </w:rPr>
            </w:pPr>
            <w:r>
              <w:rPr>
                <w:rFonts w:ascii="Calibri" w:hAnsi="Calibri"/>
                <w:color w:val="auto"/>
                <w:sz w:val="20"/>
              </w:rPr>
              <w:t>3,607</w:t>
            </w:r>
            <w:r w:rsidR="00CA2448">
              <w:rPr>
                <w:rFonts w:ascii="Calibri" w:hAnsi="Calibri"/>
                <w:color w:val="auto"/>
                <w:sz w:val="20"/>
              </w:rPr>
              <w:t>/3,101</w:t>
            </w:r>
            <w:r w:rsidR="00525C26">
              <w:rPr>
                <w:rFonts w:ascii="Calibri" w:hAnsi="Calibri"/>
                <w:color w:val="auto"/>
                <w:sz w:val="20"/>
              </w:rPr>
              <w:t>/</w:t>
            </w:r>
          </w:p>
          <w:p w14:paraId="7CDB102E" w14:textId="73CA85B0" w:rsidR="00525C26" w:rsidRPr="004E50E7" w:rsidRDefault="00525C26" w:rsidP="008F2513">
            <w:pPr>
              <w:pStyle w:val="Default"/>
              <w:jc w:val="center"/>
              <w:rPr>
                <w:rFonts w:ascii="Calibri" w:hAnsi="Calibri"/>
                <w:color w:val="auto"/>
                <w:sz w:val="20"/>
              </w:rPr>
            </w:pPr>
            <w:r>
              <w:rPr>
                <w:rFonts w:ascii="Calibri" w:hAnsi="Calibri"/>
                <w:color w:val="auto"/>
                <w:sz w:val="20"/>
              </w:rPr>
              <w:t>2,449</w:t>
            </w:r>
          </w:p>
        </w:tc>
        <w:tc>
          <w:tcPr>
            <w:tcW w:w="697" w:type="pct"/>
            <w:shd w:val="clear" w:color="auto" w:fill="B6DDE8" w:themeFill="accent5" w:themeFillTint="66"/>
          </w:tcPr>
          <w:p w14:paraId="7B08A746"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w:t>
            </w:r>
            <w:r>
              <w:rPr>
                <w:rFonts w:ascii="Calibri" w:hAnsi="Calibri"/>
                <w:color w:val="auto"/>
                <w:sz w:val="20"/>
              </w:rPr>
              <w:t>3,994</w:t>
            </w:r>
            <w:r w:rsidR="00CA2448">
              <w:rPr>
                <w:rFonts w:ascii="Calibri" w:hAnsi="Calibri"/>
                <w:color w:val="auto"/>
                <w:sz w:val="20"/>
              </w:rPr>
              <w:t>/</w:t>
            </w:r>
          </w:p>
          <w:p w14:paraId="2D89494F" w14:textId="77777777" w:rsidR="00CA2448" w:rsidRDefault="00CA2448" w:rsidP="008F2513">
            <w:pPr>
              <w:pStyle w:val="Default"/>
              <w:jc w:val="center"/>
              <w:rPr>
                <w:rFonts w:ascii="Calibri" w:hAnsi="Calibri"/>
                <w:color w:val="auto"/>
                <w:sz w:val="20"/>
              </w:rPr>
            </w:pPr>
            <w:r>
              <w:rPr>
                <w:rFonts w:ascii="Calibri" w:hAnsi="Calibri"/>
                <w:color w:val="auto"/>
                <w:sz w:val="20"/>
              </w:rPr>
              <w:t>$4,933</w:t>
            </w:r>
            <w:r w:rsidR="00525C26">
              <w:rPr>
                <w:rFonts w:ascii="Calibri" w:hAnsi="Calibri"/>
                <w:color w:val="auto"/>
                <w:sz w:val="20"/>
              </w:rPr>
              <w:t>/</w:t>
            </w:r>
          </w:p>
          <w:p w14:paraId="16061E4B" w14:textId="6F7446DC" w:rsidR="00525C26" w:rsidRPr="004E50E7" w:rsidRDefault="00525C26" w:rsidP="008F2513">
            <w:pPr>
              <w:pStyle w:val="Default"/>
              <w:jc w:val="center"/>
              <w:rPr>
                <w:rFonts w:ascii="Calibri" w:hAnsi="Calibri"/>
                <w:color w:val="auto"/>
                <w:sz w:val="20"/>
              </w:rPr>
            </w:pPr>
            <w:r>
              <w:rPr>
                <w:rFonts w:ascii="Calibri" w:hAnsi="Calibri"/>
                <w:color w:val="auto"/>
                <w:sz w:val="20"/>
              </w:rPr>
              <w:t>$5,663</w:t>
            </w:r>
          </w:p>
        </w:tc>
      </w:tr>
      <w:tr w:rsidR="008772FC" w:rsidRPr="004E50E7" w14:paraId="2599E7D7" w14:textId="77777777" w:rsidTr="008F2513">
        <w:tc>
          <w:tcPr>
            <w:tcW w:w="1681" w:type="pct"/>
          </w:tcPr>
          <w:p w14:paraId="3595D907"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Management of companies/enterprises</w:t>
            </w:r>
          </w:p>
        </w:tc>
        <w:tc>
          <w:tcPr>
            <w:tcW w:w="991" w:type="pct"/>
          </w:tcPr>
          <w:p w14:paraId="50B3C4AC" w14:textId="0FA2E82C" w:rsidR="008772FC" w:rsidRPr="004E50E7" w:rsidRDefault="008772FC" w:rsidP="008F2513">
            <w:pPr>
              <w:pStyle w:val="Default"/>
              <w:jc w:val="center"/>
              <w:rPr>
                <w:rFonts w:ascii="Calibri" w:hAnsi="Calibri"/>
                <w:color w:val="auto"/>
                <w:sz w:val="20"/>
              </w:rPr>
            </w:pPr>
            <w:r>
              <w:rPr>
                <w:rFonts w:ascii="Calibri" w:hAnsi="Calibri"/>
                <w:color w:val="auto"/>
                <w:sz w:val="20"/>
              </w:rPr>
              <w:t>15</w:t>
            </w:r>
            <w:r w:rsidR="00CA2448">
              <w:rPr>
                <w:rFonts w:ascii="Calibri" w:hAnsi="Calibri"/>
                <w:color w:val="auto"/>
                <w:sz w:val="20"/>
              </w:rPr>
              <w:t>/16</w:t>
            </w:r>
            <w:r w:rsidR="00525C26">
              <w:rPr>
                <w:rFonts w:ascii="Calibri" w:hAnsi="Calibri"/>
                <w:color w:val="auto"/>
                <w:sz w:val="20"/>
              </w:rPr>
              <w:t>/14</w:t>
            </w:r>
          </w:p>
        </w:tc>
        <w:tc>
          <w:tcPr>
            <w:tcW w:w="776" w:type="pct"/>
          </w:tcPr>
          <w:p w14:paraId="1B8CE03D"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34,875,515</w:t>
            </w:r>
            <w:r w:rsidR="00CA2448">
              <w:rPr>
                <w:rFonts w:ascii="Calibri" w:hAnsi="Calibri"/>
                <w:color w:val="auto"/>
                <w:sz w:val="20"/>
              </w:rPr>
              <w:t>/</w:t>
            </w:r>
          </w:p>
          <w:p w14:paraId="6A1F130F" w14:textId="77777777" w:rsidR="00CA2448" w:rsidRDefault="00CA2448" w:rsidP="008F2513">
            <w:pPr>
              <w:pStyle w:val="Default"/>
              <w:rPr>
                <w:rFonts w:ascii="Calibri" w:hAnsi="Calibri"/>
                <w:color w:val="auto"/>
                <w:sz w:val="20"/>
              </w:rPr>
            </w:pPr>
            <w:r>
              <w:rPr>
                <w:rFonts w:ascii="Calibri" w:hAnsi="Calibri"/>
                <w:color w:val="auto"/>
                <w:sz w:val="20"/>
              </w:rPr>
              <w:t>$52,573,490</w:t>
            </w:r>
            <w:r w:rsidR="00525C26">
              <w:rPr>
                <w:rFonts w:ascii="Calibri" w:hAnsi="Calibri"/>
                <w:color w:val="auto"/>
                <w:sz w:val="20"/>
              </w:rPr>
              <w:t>/</w:t>
            </w:r>
          </w:p>
          <w:p w14:paraId="06835144" w14:textId="6B6D686F" w:rsidR="00525C26" w:rsidRPr="004E50E7" w:rsidRDefault="00525C26" w:rsidP="008F2513">
            <w:pPr>
              <w:pStyle w:val="Default"/>
              <w:rPr>
                <w:rFonts w:ascii="Calibri" w:hAnsi="Calibri"/>
                <w:color w:val="auto"/>
                <w:sz w:val="20"/>
              </w:rPr>
            </w:pPr>
            <w:r>
              <w:rPr>
                <w:rFonts w:ascii="Calibri" w:hAnsi="Calibri"/>
                <w:color w:val="auto"/>
                <w:sz w:val="20"/>
              </w:rPr>
              <w:t>$55,805,435</w:t>
            </w:r>
          </w:p>
        </w:tc>
        <w:tc>
          <w:tcPr>
            <w:tcW w:w="854" w:type="pct"/>
          </w:tcPr>
          <w:p w14:paraId="76D14DA7" w14:textId="61FCC23C" w:rsidR="008772FC" w:rsidRPr="004E50E7" w:rsidRDefault="008772FC" w:rsidP="008F2513">
            <w:pPr>
              <w:pStyle w:val="Default"/>
              <w:jc w:val="center"/>
              <w:rPr>
                <w:rFonts w:ascii="Calibri" w:hAnsi="Calibri"/>
                <w:color w:val="auto"/>
                <w:sz w:val="20"/>
              </w:rPr>
            </w:pPr>
            <w:r>
              <w:rPr>
                <w:rFonts w:ascii="Calibri" w:hAnsi="Calibri"/>
                <w:color w:val="auto"/>
                <w:sz w:val="20"/>
              </w:rPr>
              <w:t>519</w:t>
            </w:r>
            <w:r w:rsidR="00CA2448">
              <w:rPr>
                <w:rFonts w:ascii="Calibri" w:hAnsi="Calibri"/>
                <w:color w:val="auto"/>
                <w:sz w:val="20"/>
              </w:rPr>
              <w:t>/556</w:t>
            </w:r>
            <w:r w:rsidR="00525C26">
              <w:rPr>
                <w:rFonts w:ascii="Calibri" w:hAnsi="Calibri"/>
                <w:color w:val="auto"/>
                <w:sz w:val="20"/>
              </w:rPr>
              <w:t>/494</w:t>
            </w:r>
          </w:p>
        </w:tc>
        <w:tc>
          <w:tcPr>
            <w:tcW w:w="697" w:type="pct"/>
          </w:tcPr>
          <w:p w14:paraId="569D0976"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w:t>
            </w:r>
            <w:r>
              <w:rPr>
                <w:rFonts w:ascii="Calibri" w:hAnsi="Calibri"/>
                <w:color w:val="auto"/>
                <w:sz w:val="20"/>
              </w:rPr>
              <w:t>292</w:t>
            </w:r>
            <w:r w:rsidR="00CA2448">
              <w:rPr>
                <w:rFonts w:ascii="Calibri" w:hAnsi="Calibri"/>
                <w:color w:val="auto"/>
                <w:sz w:val="20"/>
              </w:rPr>
              <w:t>/</w:t>
            </w:r>
          </w:p>
          <w:p w14:paraId="45B70F5F" w14:textId="77777777" w:rsidR="00CA2448" w:rsidRDefault="00CA2448" w:rsidP="008F2513">
            <w:pPr>
              <w:pStyle w:val="Default"/>
              <w:jc w:val="center"/>
              <w:rPr>
                <w:rFonts w:ascii="Calibri" w:hAnsi="Calibri"/>
                <w:color w:val="auto"/>
                <w:sz w:val="20"/>
              </w:rPr>
            </w:pPr>
            <w:r>
              <w:rPr>
                <w:rFonts w:ascii="Calibri" w:hAnsi="Calibri"/>
                <w:color w:val="auto"/>
                <w:sz w:val="20"/>
              </w:rPr>
              <w:t>$1,818</w:t>
            </w:r>
            <w:r w:rsidR="00525C26">
              <w:rPr>
                <w:rFonts w:ascii="Calibri" w:hAnsi="Calibri"/>
                <w:color w:val="auto"/>
                <w:sz w:val="20"/>
              </w:rPr>
              <w:t>/</w:t>
            </w:r>
          </w:p>
          <w:p w14:paraId="6180CF34" w14:textId="3A5A52BD" w:rsidR="00525C26" w:rsidRPr="004E50E7" w:rsidRDefault="00525C26" w:rsidP="008F2513">
            <w:pPr>
              <w:pStyle w:val="Default"/>
              <w:jc w:val="center"/>
              <w:rPr>
                <w:rFonts w:ascii="Calibri" w:hAnsi="Calibri"/>
                <w:color w:val="auto"/>
                <w:sz w:val="20"/>
              </w:rPr>
            </w:pPr>
            <w:r>
              <w:rPr>
                <w:rFonts w:ascii="Calibri" w:hAnsi="Calibri"/>
                <w:color w:val="auto"/>
                <w:sz w:val="20"/>
              </w:rPr>
              <w:t>$2,172</w:t>
            </w:r>
          </w:p>
        </w:tc>
      </w:tr>
      <w:tr w:rsidR="008772FC" w:rsidRPr="004E50E7" w14:paraId="34356D33" w14:textId="77777777" w:rsidTr="0014658A">
        <w:tc>
          <w:tcPr>
            <w:tcW w:w="1681" w:type="pct"/>
            <w:shd w:val="clear" w:color="auto" w:fill="B6DDE8" w:themeFill="accent5" w:themeFillTint="66"/>
          </w:tcPr>
          <w:p w14:paraId="1C5FF6CE"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Administrative and waste</w:t>
            </w:r>
          </w:p>
          <w:p w14:paraId="288BEC31"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Services</w:t>
            </w:r>
          </w:p>
        </w:tc>
        <w:tc>
          <w:tcPr>
            <w:tcW w:w="991" w:type="pct"/>
            <w:shd w:val="clear" w:color="auto" w:fill="B6DDE8" w:themeFill="accent5" w:themeFillTint="66"/>
          </w:tcPr>
          <w:p w14:paraId="1AF0E5DA" w14:textId="043E92B2" w:rsidR="008772FC" w:rsidRPr="004E50E7" w:rsidRDefault="008772FC" w:rsidP="008F2513">
            <w:pPr>
              <w:pStyle w:val="Default"/>
              <w:jc w:val="center"/>
              <w:rPr>
                <w:rFonts w:ascii="Calibri" w:hAnsi="Calibri"/>
                <w:color w:val="auto"/>
                <w:sz w:val="20"/>
              </w:rPr>
            </w:pPr>
            <w:r>
              <w:rPr>
                <w:rFonts w:ascii="Calibri" w:hAnsi="Calibri"/>
                <w:color w:val="auto"/>
                <w:sz w:val="20"/>
              </w:rPr>
              <w:t>79</w:t>
            </w:r>
            <w:r w:rsidR="00CA2448">
              <w:rPr>
                <w:rFonts w:ascii="Calibri" w:hAnsi="Calibri"/>
                <w:color w:val="auto"/>
                <w:sz w:val="20"/>
              </w:rPr>
              <w:t>/87</w:t>
            </w:r>
            <w:r w:rsidR="00525C26">
              <w:rPr>
                <w:rFonts w:ascii="Calibri" w:hAnsi="Calibri"/>
                <w:color w:val="auto"/>
                <w:sz w:val="20"/>
              </w:rPr>
              <w:t>/43</w:t>
            </w:r>
          </w:p>
        </w:tc>
        <w:tc>
          <w:tcPr>
            <w:tcW w:w="776" w:type="pct"/>
            <w:shd w:val="clear" w:color="auto" w:fill="B6DDE8" w:themeFill="accent5" w:themeFillTint="66"/>
          </w:tcPr>
          <w:p w14:paraId="26AE8BB4"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53,763,933</w:t>
            </w:r>
            <w:r w:rsidR="00CA2448">
              <w:rPr>
                <w:rFonts w:ascii="Calibri" w:hAnsi="Calibri"/>
                <w:color w:val="auto"/>
                <w:sz w:val="20"/>
              </w:rPr>
              <w:t>/</w:t>
            </w:r>
          </w:p>
          <w:p w14:paraId="7BF07AB9" w14:textId="77777777" w:rsidR="00CA2448" w:rsidRDefault="00CA2448" w:rsidP="00CA2448">
            <w:pPr>
              <w:pStyle w:val="Default"/>
              <w:rPr>
                <w:rFonts w:ascii="Calibri" w:hAnsi="Calibri"/>
                <w:color w:val="auto"/>
                <w:sz w:val="20"/>
              </w:rPr>
            </w:pPr>
            <w:r>
              <w:rPr>
                <w:rFonts w:ascii="Calibri" w:hAnsi="Calibri"/>
                <w:color w:val="auto"/>
                <w:sz w:val="20"/>
              </w:rPr>
              <w:t>$227,978,705</w:t>
            </w:r>
            <w:r w:rsidR="00525C26">
              <w:rPr>
                <w:rFonts w:ascii="Calibri" w:hAnsi="Calibri"/>
                <w:color w:val="auto"/>
                <w:sz w:val="20"/>
              </w:rPr>
              <w:t>/</w:t>
            </w:r>
          </w:p>
          <w:p w14:paraId="11323203" w14:textId="4EF037A0" w:rsidR="00525C26" w:rsidRPr="004E50E7" w:rsidRDefault="00525C26" w:rsidP="00CA2448">
            <w:pPr>
              <w:pStyle w:val="Default"/>
              <w:rPr>
                <w:rFonts w:ascii="Calibri" w:hAnsi="Calibri"/>
                <w:color w:val="auto"/>
                <w:sz w:val="20"/>
              </w:rPr>
            </w:pPr>
            <w:r>
              <w:rPr>
                <w:rFonts w:ascii="Calibri" w:hAnsi="Calibri"/>
                <w:color w:val="auto"/>
                <w:sz w:val="20"/>
              </w:rPr>
              <w:t>$257,843,051</w:t>
            </w:r>
          </w:p>
        </w:tc>
        <w:tc>
          <w:tcPr>
            <w:tcW w:w="854" w:type="pct"/>
            <w:shd w:val="clear" w:color="auto" w:fill="B6DDE8" w:themeFill="accent5" w:themeFillTint="66"/>
          </w:tcPr>
          <w:p w14:paraId="1BCA83D8" w14:textId="77777777" w:rsidR="008772FC" w:rsidRDefault="008772FC" w:rsidP="008F2513">
            <w:pPr>
              <w:pStyle w:val="Default"/>
              <w:jc w:val="center"/>
              <w:rPr>
                <w:rFonts w:ascii="Calibri" w:hAnsi="Calibri"/>
                <w:color w:val="auto"/>
                <w:sz w:val="20"/>
              </w:rPr>
            </w:pPr>
            <w:r>
              <w:rPr>
                <w:rFonts w:ascii="Calibri" w:hAnsi="Calibri"/>
                <w:color w:val="auto"/>
                <w:sz w:val="20"/>
              </w:rPr>
              <w:t>1,154</w:t>
            </w:r>
            <w:r w:rsidR="00CA2448">
              <w:rPr>
                <w:rFonts w:ascii="Calibri" w:hAnsi="Calibri"/>
                <w:color w:val="auto"/>
                <w:sz w:val="20"/>
              </w:rPr>
              <w:t>/2,426</w:t>
            </w:r>
            <w:r w:rsidR="00525C26">
              <w:rPr>
                <w:rFonts w:ascii="Calibri" w:hAnsi="Calibri"/>
                <w:color w:val="auto"/>
                <w:sz w:val="20"/>
              </w:rPr>
              <w:t>/</w:t>
            </w:r>
          </w:p>
          <w:p w14:paraId="4DB56AB7" w14:textId="726A3054" w:rsidR="00525C26" w:rsidRPr="004E50E7" w:rsidRDefault="00525C26" w:rsidP="008F2513">
            <w:pPr>
              <w:pStyle w:val="Default"/>
              <w:jc w:val="center"/>
              <w:rPr>
                <w:rFonts w:ascii="Calibri" w:hAnsi="Calibri"/>
                <w:color w:val="auto"/>
                <w:sz w:val="20"/>
              </w:rPr>
            </w:pPr>
            <w:r>
              <w:rPr>
                <w:rFonts w:ascii="Calibri" w:hAnsi="Calibri"/>
                <w:color w:val="auto"/>
                <w:sz w:val="20"/>
              </w:rPr>
              <w:t>2,258</w:t>
            </w:r>
          </w:p>
        </w:tc>
        <w:tc>
          <w:tcPr>
            <w:tcW w:w="697" w:type="pct"/>
            <w:shd w:val="clear" w:color="auto" w:fill="B6DDE8" w:themeFill="accent5" w:themeFillTint="66"/>
          </w:tcPr>
          <w:p w14:paraId="43CBCF37" w14:textId="77777777" w:rsidR="008772FC" w:rsidRDefault="008772FC" w:rsidP="008F2513">
            <w:pPr>
              <w:pStyle w:val="Default"/>
              <w:jc w:val="center"/>
              <w:rPr>
                <w:rFonts w:ascii="Calibri" w:hAnsi="Calibri"/>
                <w:color w:val="auto"/>
                <w:sz w:val="20"/>
              </w:rPr>
            </w:pPr>
            <w:r>
              <w:rPr>
                <w:rFonts w:ascii="Calibri" w:hAnsi="Calibri"/>
                <w:color w:val="auto"/>
                <w:sz w:val="20"/>
              </w:rPr>
              <w:t>$896</w:t>
            </w:r>
            <w:r w:rsidR="00CA2448">
              <w:rPr>
                <w:rFonts w:ascii="Calibri" w:hAnsi="Calibri"/>
                <w:color w:val="auto"/>
                <w:sz w:val="20"/>
              </w:rPr>
              <w:t>/</w:t>
            </w:r>
          </w:p>
          <w:p w14:paraId="441EF724" w14:textId="77777777" w:rsidR="00CA2448" w:rsidRDefault="00525C26" w:rsidP="008F2513">
            <w:pPr>
              <w:pStyle w:val="Default"/>
              <w:jc w:val="center"/>
              <w:rPr>
                <w:rFonts w:ascii="Calibri" w:hAnsi="Calibri"/>
                <w:color w:val="auto"/>
                <w:sz w:val="20"/>
              </w:rPr>
            </w:pPr>
            <w:r>
              <w:rPr>
                <w:rFonts w:ascii="Calibri" w:hAnsi="Calibri"/>
                <w:color w:val="auto"/>
                <w:sz w:val="20"/>
              </w:rPr>
              <w:t>$</w:t>
            </w:r>
            <w:r w:rsidR="00CA2448">
              <w:rPr>
                <w:rFonts w:ascii="Calibri" w:hAnsi="Calibri"/>
                <w:color w:val="auto"/>
                <w:sz w:val="20"/>
              </w:rPr>
              <w:t>1,807</w:t>
            </w:r>
            <w:r>
              <w:rPr>
                <w:rFonts w:ascii="Calibri" w:hAnsi="Calibri"/>
                <w:color w:val="auto"/>
                <w:sz w:val="20"/>
              </w:rPr>
              <w:t>/</w:t>
            </w:r>
          </w:p>
          <w:p w14:paraId="7CD9378F" w14:textId="25C0AA91" w:rsidR="00525C26" w:rsidRPr="004E50E7" w:rsidRDefault="00525C26" w:rsidP="008F2513">
            <w:pPr>
              <w:pStyle w:val="Default"/>
              <w:jc w:val="center"/>
              <w:rPr>
                <w:rFonts w:ascii="Calibri" w:hAnsi="Calibri"/>
                <w:color w:val="auto"/>
                <w:sz w:val="20"/>
              </w:rPr>
            </w:pPr>
            <w:r>
              <w:rPr>
                <w:rFonts w:ascii="Calibri" w:hAnsi="Calibri"/>
                <w:color w:val="auto"/>
                <w:sz w:val="20"/>
              </w:rPr>
              <w:t>$2,196/</w:t>
            </w:r>
          </w:p>
        </w:tc>
      </w:tr>
      <w:tr w:rsidR="008772FC" w:rsidRPr="004E50E7" w14:paraId="00B2AB6B" w14:textId="77777777" w:rsidTr="0014658A">
        <w:tc>
          <w:tcPr>
            <w:tcW w:w="1681" w:type="pct"/>
            <w:shd w:val="clear" w:color="auto" w:fill="B6DDE8" w:themeFill="accent5" w:themeFillTint="66"/>
          </w:tcPr>
          <w:p w14:paraId="00AB07EF"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Health care/social assistance</w:t>
            </w:r>
          </w:p>
        </w:tc>
        <w:tc>
          <w:tcPr>
            <w:tcW w:w="991" w:type="pct"/>
            <w:shd w:val="clear" w:color="auto" w:fill="B6DDE8" w:themeFill="accent5" w:themeFillTint="66"/>
          </w:tcPr>
          <w:p w14:paraId="3C5C1D76" w14:textId="2761E651" w:rsidR="008772FC" w:rsidRPr="004E50E7" w:rsidRDefault="008772FC" w:rsidP="008F2513">
            <w:pPr>
              <w:pStyle w:val="Default"/>
              <w:jc w:val="center"/>
              <w:rPr>
                <w:rFonts w:ascii="Calibri" w:hAnsi="Calibri"/>
                <w:color w:val="auto"/>
                <w:sz w:val="20"/>
              </w:rPr>
            </w:pPr>
            <w:r>
              <w:rPr>
                <w:rFonts w:ascii="Calibri" w:hAnsi="Calibri"/>
                <w:color w:val="auto"/>
                <w:sz w:val="20"/>
              </w:rPr>
              <w:t>127</w:t>
            </w:r>
            <w:r w:rsidR="00CA2448">
              <w:rPr>
                <w:rFonts w:ascii="Calibri" w:hAnsi="Calibri"/>
                <w:color w:val="auto"/>
                <w:sz w:val="20"/>
              </w:rPr>
              <w:t>/191</w:t>
            </w:r>
            <w:r w:rsidR="00525C26">
              <w:rPr>
                <w:rFonts w:ascii="Calibri" w:hAnsi="Calibri"/>
                <w:color w:val="auto"/>
                <w:sz w:val="20"/>
              </w:rPr>
              <w:t>/194</w:t>
            </w:r>
          </w:p>
        </w:tc>
        <w:tc>
          <w:tcPr>
            <w:tcW w:w="776" w:type="pct"/>
            <w:shd w:val="clear" w:color="auto" w:fill="B6DDE8" w:themeFill="accent5" w:themeFillTint="66"/>
          </w:tcPr>
          <w:p w14:paraId="34E31634"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184,236,263</w:t>
            </w:r>
            <w:r w:rsidR="00CA2448">
              <w:rPr>
                <w:rFonts w:ascii="Calibri" w:hAnsi="Calibri"/>
                <w:color w:val="auto"/>
                <w:sz w:val="20"/>
              </w:rPr>
              <w:t>/</w:t>
            </w:r>
          </w:p>
          <w:p w14:paraId="5E4C8507" w14:textId="77777777" w:rsidR="00CA2448" w:rsidRDefault="00CA2448" w:rsidP="008F2513">
            <w:pPr>
              <w:pStyle w:val="Default"/>
              <w:rPr>
                <w:rFonts w:ascii="Calibri" w:hAnsi="Calibri"/>
                <w:color w:val="auto"/>
                <w:sz w:val="20"/>
              </w:rPr>
            </w:pPr>
            <w:r>
              <w:rPr>
                <w:rFonts w:ascii="Calibri" w:hAnsi="Calibri"/>
                <w:color w:val="auto"/>
                <w:sz w:val="20"/>
              </w:rPr>
              <w:t>$258,298,719</w:t>
            </w:r>
            <w:r w:rsidR="00254FBC">
              <w:rPr>
                <w:rFonts w:ascii="Calibri" w:hAnsi="Calibri"/>
                <w:color w:val="auto"/>
                <w:sz w:val="20"/>
              </w:rPr>
              <w:t>/</w:t>
            </w:r>
          </w:p>
          <w:p w14:paraId="06D7A222" w14:textId="44934705" w:rsidR="00254FBC" w:rsidRPr="004E50E7" w:rsidRDefault="00254FBC" w:rsidP="008F2513">
            <w:pPr>
              <w:pStyle w:val="Default"/>
              <w:rPr>
                <w:rFonts w:ascii="Calibri" w:hAnsi="Calibri"/>
                <w:color w:val="auto"/>
                <w:sz w:val="20"/>
              </w:rPr>
            </w:pPr>
            <w:r>
              <w:rPr>
                <w:rFonts w:ascii="Calibri" w:hAnsi="Calibri"/>
                <w:color w:val="auto"/>
                <w:sz w:val="20"/>
              </w:rPr>
              <w:t>$264,507,740/</w:t>
            </w:r>
          </w:p>
        </w:tc>
        <w:tc>
          <w:tcPr>
            <w:tcW w:w="854" w:type="pct"/>
            <w:shd w:val="clear" w:color="auto" w:fill="B6DDE8" w:themeFill="accent5" w:themeFillTint="66"/>
          </w:tcPr>
          <w:p w14:paraId="59CC00D1" w14:textId="77777777" w:rsidR="008772FC" w:rsidRDefault="008772FC" w:rsidP="008F2513">
            <w:pPr>
              <w:pStyle w:val="Default"/>
              <w:jc w:val="center"/>
              <w:rPr>
                <w:rFonts w:ascii="Calibri" w:hAnsi="Calibri"/>
                <w:color w:val="auto"/>
                <w:sz w:val="20"/>
              </w:rPr>
            </w:pPr>
            <w:r>
              <w:rPr>
                <w:rFonts w:ascii="Calibri" w:hAnsi="Calibri"/>
                <w:color w:val="auto"/>
                <w:sz w:val="20"/>
              </w:rPr>
              <w:t>4,075</w:t>
            </w:r>
            <w:r w:rsidR="00CA2448">
              <w:rPr>
                <w:rFonts w:ascii="Calibri" w:hAnsi="Calibri"/>
                <w:color w:val="auto"/>
                <w:sz w:val="20"/>
              </w:rPr>
              <w:t>/5,282</w:t>
            </w:r>
            <w:r w:rsidR="00254FBC">
              <w:rPr>
                <w:rFonts w:ascii="Calibri" w:hAnsi="Calibri"/>
                <w:color w:val="auto"/>
                <w:sz w:val="20"/>
              </w:rPr>
              <w:t>/</w:t>
            </w:r>
          </w:p>
          <w:p w14:paraId="1973B2A5" w14:textId="5EFF4D47" w:rsidR="00254FBC" w:rsidRPr="004E50E7" w:rsidRDefault="00254FBC" w:rsidP="008F2513">
            <w:pPr>
              <w:pStyle w:val="Default"/>
              <w:jc w:val="center"/>
              <w:rPr>
                <w:rFonts w:ascii="Calibri" w:hAnsi="Calibri"/>
                <w:color w:val="auto"/>
                <w:sz w:val="20"/>
              </w:rPr>
            </w:pPr>
            <w:r>
              <w:rPr>
                <w:rFonts w:ascii="Calibri" w:hAnsi="Calibri"/>
                <w:color w:val="auto"/>
                <w:sz w:val="20"/>
              </w:rPr>
              <w:t>4,634</w:t>
            </w:r>
          </w:p>
        </w:tc>
        <w:tc>
          <w:tcPr>
            <w:tcW w:w="697" w:type="pct"/>
            <w:shd w:val="clear" w:color="auto" w:fill="B6DDE8" w:themeFill="accent5" w:themeFillTint="66"/>
          </w:tcPr>
          <w:p w14:paraId="06991194"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$86</w:t>
            </w:r>
            <w:r>
              <w:rPr>
                <w:rFonts w:ascii="Calibri" w:hAnsi="Calibri"/>
                <w:color w:val="auto"/>
                <w:sz w:val="20"/>
              </w:rPr>
              <w:t>9</w:t>
            </w:r>
            <w:r w:rsidR="00CA2448">
              <w:rPr>
                <w:rFonts w:ascii="Calibri" w:hAnsi="Calibri"/>
                <w:color w:val="auto"/>
                <w:sz w:val="20"/>
              </w:rPr>
              <w:t>/</w:t>
            </w:r>
          </w:p>
          <w:p w14:paraId="1081EC8F" w14:textId="77777777" w:rsidR="00CA2448" w:rsidRDefault="00CA2448" w:rsidP="008F2513">
            <w:pPr>
              <w:pStyle w:val="Default"/>
              <w:jc w:val="center"/>
              <w:rPr>
                <w:rFonts w:ascii="Calibri" w:hAnsi="Calibri"/>
                <w:color w:val="auto"/>
                <w:sz w:val="20"/>
              </w:rPr>
            </w:pPr>
            <w:r>
              <w:rPr>
                <w:rFonts w:ascii="Calibri" w:hAnsi="Calibri"/>
                <w:color w:val="auto"/>
                <w:sz w:val="20"/>
              </w:rPr>
              <w:t>$940</w:t>
            </w:r>
            <w:r w:rsidR="00254FBC">
              <w:rPr>
                <w:rFonts w:ascii="Calibri" w:hAnsi="Calibri"/>
                <w:color w:val="auto"/>
                <w:sz w:val="20"/>
              </w:rPr>
              <w:t>/</w:t>
            </w:r>
          </w:p>
          <w:p w14:paraId="3943FFA2" w14:textId="3DD9FA03" w:rsidR="00254FBC" w:rsidRPr="004E50E7" w:rsidRDefault="00254FBC" w:rsidP="008F2513">
            <w:pPr>
              <w:pStyle w:val="Default"/>
              <w:jc w:val="center"/>
              <w:rPr>
                <w:rFonts w:ascii="Calibri" w:hAnsi="Calibri"/>
                <w:color w:val="auto"/>
                <w:sz w:val="20"/>
              </w:rPr>
            </w:pPr>
            <w:r>
              <w:rPr>
                <w:rFonts w:ascii="Calibri" w:hAnsi="Calibri"/>
                <w:color w:val="auto"/>
                <w:sz w:val="20"/>
              </w:rPr>
              <w:t>$1,098</w:t>
            </w:r>
          </w:p>
        </w:tc>
      </w:tr>
      <w:tr w:rsidR="008772FC" w:rsidRPr="004E50E7" w14:paraId="1AA954EF" w14:textId="77777777" w:rsidTr="0014658A">
        <w:tc>
          <w:tcPr>
            <w:tcW w:w="1681" w:type="pct"/>
            <w:shd w:val="clear" w:color="auto" w:fill="B6DDE8" w:themeFill="accent5" w:themeFillTint="66"/>
          </w:tcPr>
          <w:p w14:paraId="6166D8DF"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Educational services</w:t>
            </w:r>
          </w:p>
        </w:tc>
        <w:tc>
          <w:tcPr>
            <w:tcW w:w="991" w:type="pct"/>
            <w:shd w:val="clear" w:color="auto" w:fill="B6DDE8" w:themeFill="accent5" w:themeFillTint="66"/>
          </w:tcPr>
          <w:p w14:paraId="419ADB46" w14:textId="2EADA1F4" w:rsidR="008772FC" w:rsidRPr="004E50E7" w:rsidRDefault="008772FC" w:rsidP="008F2513">
            <w:pPr>
              <w:pStyle w:val="Default"/>
              <w:jc w:val="center"/>
              <w:rPr>
                <w:rFonts w:ascii="Calibri" w:hAnsi="Calibri"/>
                <w:color w:val="auto"/>
                <w:sz w:val="20"/>
              </w:rPr>
            </w:pPr>
            <w:r>
              <w:rPr>
                <w:rFonts w:ascii="Calibri" w:hAnsi="Calibri"/>
                <w:color w:val="auto"/>
                <w:sz w:val="20"/>
              </w:rPr>
              <w:t>31</w:t>
            </w:r>
            <w:r w:rsidR="00CA2448">
              <w:rPr>
                <w:rFonts w:ascii="Calibri" w:hAnsi="Calibri"/>
                <w:color w:val="auto"/>
                <w:sz w:val="20"/>
              </w:rPr>
              <w:t>/40</w:t>
            </w:r>
            <w:r w:rsidR="00254FBC">
              <w:rPr>
                <w:rFonts w:ascii="Calibri" w:hAnsi="Calibri"/>
                <w:color w:val="auto"/>
                <w:sz w:val="20"/>
              </w:rPr>
              <w:t>/43</w:t>
            </w:r>
          </w:p>
        </w:tc>
        <w:tc>
          <w:tcPr>
            <w:tcW w:w="776" w:type="pct"/>
            <w:shd w:val="clear" w:color="auto" w:fill="B6DDE8" w:themeFill="accent5" w:themeFillTint="66"/>
          </w:tcPr>
          <w:p w14:paraId="6CDADFD3" w14:textId="77777777" w:rsidR="008772FC" w:rsidRDefault="008772FC" w:rsidP="008F2513">
            <w:pPr>
              <w:pStyle w:val="Default"/>
              <w:rPr>
                <w:rFonts w:ascii="Calibri" w:hAnsi="Calibri"/>
                <w:color w:val="auto"/>
                <w:sz w:val="20"/>
              </w:rPr>
            </w:pPr>
            <w:r>
              <w:rPr>
                <w:rFonts w:ascii="Calibri" w:hAnsi="Calibri"/>
                <w:color w:val="auto"/>
                <w:sz w:val="20"/>
              </w:rPr>
              <w:t>$69,940,784</w:t>
            </w:r>
            <w:r w:rsidR="00CA2448">
              <w:rPr>
                <w:rFonts w:ascii="Calibri" w:hAnsi="Calibri"/>
                <w:color w:val="auto"/>
                <w:sz w:val="20"/>
              </w:rPr>
              <w:t>/</w:t>
            </w:r>
          </w:p>
          <w:p w14:paraId="799416D1" w14:textId="77777777" w:rsidR="00CA2448" w:rsidRDefault="00CA2448" w:rsidP="008F2513">
            <w:pPr>
              <w:pStyle w:val="Default"/>
              <w:rPr>
                <w:rFonts w:ascii="Calibri" w:hAnsi="Calibri"/>
                <w:color w:val="auto"/>
                <w:sz w:val="20"/>
              </w:rPr>
            </w:pPr>
            <w:r>
              <w:rPr>
                <w:rFonts w:ascii="Calibri" w:hAnsi="Calibri"/>
                <w:color w:val="auto"/>
                <w:sz w:val="20"/>
              </w:rPr>
              <w:t>$103,182,739</w:t>
            </w:r>
            <w:r w:rsidR="00254FBC">
              <w:rPr>
                <w:rFonts w:ascii="Calibri" w:hAnsi="Calibri"/>
                <w:color w:val="auto"/>
                <w:sz w:val="20"/>
              </w:rPr>
              <w:t>/</w:t>
            </w:r>
          </w:p>
          <w:p w14:paraId="23C981DD" w14:textId="25FD49C2" w:rsidR="00254FBC" w:rsidRPr="004E50E7" w:rsidRDefault="00254FBC" w:rsidP="008F2513">
            <w:pPr>
              <w:pStyle w:val="Default"/>
              <w:rPr>
                <w:rFonts w:ascii="Calibri" w:hAnsi="Calibri"/>
                <w:color w:val="auto"/>
                <w:sz w:val="20"/>
              </w:rPr>
            </w:pPr>
            <w:r>
              <w:rPr>
                <w:rFonts w:ascii="Calibri" w:hAnsi="Calibri"/>
                <w:color w:val="auto"/>
                <w:sz w:val="20"/>
              </w:rPr>
              <w:t>$110,552,909</w:t>
            </w:r>
          </w:p>
        </w:tc>
        <w:tc>
          <w:tcPr>
            <w:tcW w:w="854" w:type="pct"/>
            <w:shd w:val="clear" w:color="auto" w:fill="B6DDE8" w:themeFill="accent5" w:themeFillTint="66"/>
          </w:tcPr>
          <w:p w14:paraId="4F801F64" w14:textId="77777777" w:rsidR="008772FC" w:rsidRDefault="008772FC" w:rsidP="008F2513">
            <w:pPr>
              <w:pStyle w:val="Default"/>
              <w:jc w:val="center"/>
              <w:rPr>
                <w:rFonts w:ascii="Calibri" w:hAnsi="Calibri"/>
                <w:color w:val="auto"/>
                <w:sz w:val="20"/>
              </w:rPr>
            </w:pPr>
            <w:r>
              <w:rPr>
                <w:rFonts w:ascii="Calibri" w:hAnsi="Calibri"/>
                <w:color w:val="auto"/>
                <w:sz w:val="20"/>
              </w:rPr>
              <w:t>1,202</w:t>
            </w:r>
            <w:r w:rsidR="00CA2448">
              <w:rPr>
                <w:rFonts w:ascii="Calibri" w:hAnsi="Calibri"/>
                <w:color w:val="auto"/>
                <w:sz w:val="20"/>
              </w:rPr>
              <w:t>/1,720</w:t>
            </w:r>
            <w:r w:rsidR="00254FBC">
              <w:rPr>
                <w:rFonts w:ascii="Calibri" w:hAnsi="Calibri"/>
                <w:color w:val="auto"/>
                <w:sz w:val="20"/>
              </w:rPr>
              <w:t>/</w:t>
            </w:r>
          </w:p>
          <w:p w14:paraId="0487B775" w14:textId="4EED7217" w:rsidR="00254FBC" w:rsidRPr="004E50E7" w:rsidRDefault="00254FBC" w:rsidP="008F2513">
            <w:pPr>
              <w:pStyle w:val="Default"/>
              <w:jc w:val="center"/>
              <w:rPr>
                <w:rFonts w:ascii="Calibri" w:hAnsi="Calibri"/>
                <w:color w:val="auto"/>
                <w:sz w:val="20"/>
              </w:rPr>
            </w:pPr>
            <w:r>
              <w:rPr>
                <w:rFonts w:ascii="Calibri" w:hAnsi="Calibri"/>
                <w:color w:val="auto"/>
                <w:sz w:val="20"/>
              </w:rPr>
              <w:t>1,624</w:t>
            </w:r>
          </w:p>
        </w:tc>
        <w:tc>
          <w:tcPr>
            <w:tcW w:w="697" w:type="pct"/>
            <w:shd w:val="clear" w:color="auto" w:fill="B6DDE8" w:themeFill="accent5" w:themeFillTint="66"/>
          </w:tcPr>
          <w:p w14:paraId="6595B182" w14:textId="77777777" w:rsidR="008772FC" w:rsidRDefault="00CA2448" w:rsidP="008F2513">
            <w:pPr>
              <w:pStyle w:val="Default"/>
              <w:jc w:val="center"/>
              <w:rPr>
                <w:rFonts w:ascii="Calibri" w:hAnsi="Calibri"/>
                <w:color w:val="auto"/>
                <w:sz w:val="20"/>
              </w:rPr>
            </w:pPr>
            <w:r>
              <w:rPr>
                <w:rFonts w:ascii="Calibri" w:hAnsi="Calibri"/>
                <w:color w:val="auto"/>
                <w:sz w:val="20"/>
              </w:rPr>
              <w:t>$</w:t>
            </w:r>
            <w:r w:rsidR="008772FC" w:rsidRPr="004E50E7">
              <w:rPr>
                <w:rFonts w:ascii="Calibri" w:hAnsi="Calibri"/>
                <w:color w:val="auto"/>
                <w:sz w:val="20"/>
              </w:rPr>
              <w:t>1,1</w:t>
            </w:r>
            <w:r w:rsidR="008772FC">
              <w:rPr>
                <w:rFonts w:ascii="Calibri" w:hAnsi="Calibri"/>
                <w:color w:val="auto"/>
                <w:sz w:val="20"/>
              </w:rPr>
              <w:t>19</w:t>
            </w:r>
            <w:r>
              <w:rPr>
                <w:rFonts w:ascii="Calibri" w:hAnsi="Calibri"/>
                <w:color w:val="auto"/>
                <w:sz w:val="20"/>
              </w:rPr>
              <w:t>/</w:t>
            </w:r>
          </w:p>
          <w:p w14:paraId="258CD0DD" w14:textId="77777777" w:rsidR="00CA2448" w:rsidRDefault="00CA2448" w:rsidP="008F2513">
            <w:pPr>
              <w:pStyle w:val="Default"/>
              <w:jc w:val="center"/>
              <w:rPr>
                <w:rFonts w:ascii="Calibri" w:hAnsi="Calibri"/>
                <w:color w:val="auto"/>
                <w:sz w:val="20"/>
              </w:rPr>
            </w:pPr>
            <w:r>
              <w:rPr>
                <w:rFonts w:ascii="Calibri" w:hAnsi="Calibri"/>
                <w:color w:val="auto"/>
                <w:sz w:val="20"/>
              </w:rPr>
              <w:t>$1,154</w:t>
            </w:r>
            <w:r w:rsidR="00254FBC">
              <w:rPr>
                <w:rFonts w:ascii="Calibri" w:hAnsi="Calibri"/>
                <w:color w:val="auto"/>
                <w:sz w:val="20"/>
              </w:rPr>
              <w:t>/</w:t>
            </w:r>
          </w:p>
          <w:p w14:paraId="3AC7B64C" w14:textId="6260440C" w:rsidR="00254FBC" w:rsidRPr="004E50E7" w:rsidRDefault="00254FBC" w:rsidP="008F2513">
            <w:pPr>
              <w:pStyle w:val="Default"/>
              <w:jc w:val="center"/>
              <w:rPr>
                <w:rFonts w:ascii="Calibri" w:hAnsi="Calibri"/>
                <w:color w:val="auto"/>
                <w:sz w:val="20"/>
              </w:rPr>
            </w:pPr>
            <w:r>
              <w:rPr>
                <w:rFonts w:ascii="Calibri" w:hAnsi="Calibri"/>
                <w:color w:val="auto"/>
                <w:sz w:val="20"/>
              </w:rPr>
              <w:t>$1,309</w:t>
            </w:r>
          </w:p>
        </w:tc>
      </w:tr>
      <w:tr w:rsidR="008772FC" w:rsidRPr="004E50E7" w14:paraId="18EBBD27" w14:textId="77777777" w:rsidTr="008F2513">
        <w:tc>
          <w:tcPr>
            <w:tcW w:w="1681" w:type="pct"/>
          </w:tcPr>
          <w:p w14:paraId="6D2C07B3"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Arts/entertainment/recreation</w:t>
            </w:r>
          </w:p>
        </w:tc>
        <w:tc>
          <w:tcPr>
            <w:tcW w:w="991" w:type="pct"/>
          </w:tcPr>
          <w:p w14:paraId="4D3044AE" w14:textId="7CFA1750" w:rsidR="008772FC" w:rsidRPr="004E50E7" w:rsidRDefault="008772FC" w:rsidP="008F2513">
            <w:pPr>
              <w:pStyle w:val="Default"/>
              <w:jc w:val="center"/>
              <w:rPr>
                <w:rFonts w:ascii="Calibri" w:hAnsi="Calibri"/>
                <w:color w:val="auto"/>
                <w:sz w:val="20"/>
              </w:rPr>
            </w:pPr>
            <w:r>
              <w:rPr>
                <w:rFonts w:ascii="Calibri" w:hAnsi="Calibri"/>
                <w:color w:val="auto"/>
                <w:sz w:val="20"/>
              </w:rPr>
              <w:t>22</w:t>
            </w:r>
            <w:r w:rsidR="00CA2448">
              <w:rPr>
                <w:rFonts w:ascii="Calibri" w:hAnsi="Calibri"/>
                <w:color w:val="auto"/>
                <w:sz w:val="20"/>
              </w:rPr>
              <w:t>/23</w:t>
            </w:r>
            <w:r w:rsidR="00254FBC">
              <w:rPr>
                <w:rFonts w:ascii="Calibri" w:hAnsi="Calibri"/>
                <w:color w:val="auto"/>
                <w:sz w:val="20"/>
              </w:rPr>
              <w:t>/23</w:t>
            </w:r>
          </w:p>
        </w:tc>
        <w:tc>
          <w:tcPr>
            <w:tcW w:w="776" w:type="pct"/>
          </w:tcPr>
          <w:p w14:paraId="4FC79B5B"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2,942,322</w:t>
            </w:r>
            <w:r w:rsidR="00CA2448">
              <w:rPr>
                <w:rFonts w:ascii="Calibri" w:hAnsi="Calibri"/>
                <w:color w:val="auto"/>
                <w:sz w:val="20"/>
              </w:rPr>
              <w:t>/</w:t>
            </w:r>
          </w:p>
          <w:p w14:paraId="5E2D980A" w14:textId="77777777" w:rsidR="00CA2448" w:rsidRDefault="00CA2448" w:rsidP="008F2513">
            <w:pPr>
              <w:pStyle w:val="Default"/>
              <w:rPr>
                <w:rFonts w:ascii="Calibri" w:hAnsi="Calibri"/>
                <w:color w:val="auto"/>
                <w:sz w:val="20"/>
              </w:rPr>
            </w:pPr>
            <w:r>
              <w:rPr>
                <w:rFonts w:ascii="Calibri" w:hAnsi="Calibri"/>
                <w:color w:val="auto"/>
                <w:sz w:val="20"/>
              </w:rPr>
              <w:t>$3,797,711</w:t>
            </w:r>
            <w:r w:rsidR="00254FBC">
              <w:rPr>
                <w:rFonts w:ascii="Calibri" w:hAnsi="Calibri"/>
                <w:color w:val="auto"/>
                <w:sz w:val="20"/>
              </w:rPr>
              <w:t>/</w:t>
            </w:r>
          </w:p>
          <w:p w14:paraId="379FCB39" w14:textId="70A7C3F8" w:rsidR="00254FBC" w:rsidRPr="004E50E7" w:rsidRDefault="00254FBC" w:rsidP="008F2513">
            <w:pPr>
              <w:pStyle w:val="Default"/>
              <w:rPr>
                <w:rFonts w:ascii="Calibri" w:hAnsi="Calibri"/>
                <w:color w:val="auto"/>
                <w:sz w:val="20"/>
              </w:rPr>
            </w:pPr>
            <w:r>
              <w:rPr>
                <w:rFonts w:ascii="Calibri" w:hAnsi="Calibri"/>
                <w:color w:val="auto"/>
                <w:sz w:val="20"/>
              </w:rPr>
              <w:t>$3,307,819</w:t>
            </w:r>
          </w:p>
        </w:tc>
        <w:tc>
          <w:tcPr>
            <w:tcW w:w="854" w:type="pct"/>
          </w:tcPr>
          <w:p w14:paraId="08442965" w14:textId="6CF6FF3C" w:rsidR="008772FC" w:rsidRPr="004E50E7" w:rsidRDefault="008772FC" w:rsidP="008F2513">
            <w:pPr>
              <w:pStyle w:val="Default"/>
              <w:jc w:val="center"/>
              <w:rPr>
                <w:rFonts w:ascii="Calibri" w:hAnsi="Calibri"/>
                <w:color w:val="auto"/>
                <w:sz w:val="20"/>
              </w:rPr>
            </w:pPr>
            <w:r>
              <w:rPr>
                <w:rFonts w:ascii="Calibri" w:hAnsi="Calibri"/>
                <w:color w:val="auto"/>
                <w:sz w:val="20"/>
              </w:rPr>
              <w:t>118</w:t>
            </w:r>
            <w:r w:rsidR="00CA2448">
              <w:rPr>
                <w:rFonts w:ascii="Calibri" w:hAnsi="Calibri"/>
                <w:color w:val="auto"/>
                <w:sz w:val="20"/>
              </w:rPr>
              <w:t>/188</w:t>
            </w:r>
            <w:r w:rsidR="00254FBC">
              <w:rPr>
                <w:rFonts w:ascii="Calibri" w:hAnsi="Calibri"/>
                <w:color w:val="auto"/>
                <w:sz w:val="20"/>
              </w:rPr>
              <w:t>/141</w:t>
            </w:r>
          </w:p>
        </w:tc>
        <w:tc>
          <w:tcPr>
            <w:tcW w:w="697" w:type="pct"/>
          </w:tcPr>
          <w:p w14:paraId="39F4B972"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w:t>
            </w:r>
            <w:r>
              <w:rPr>
                <w:rFonts w:ascii="Calibri" w:hAnsi="Calibri"/>
                <w:color w:val="auto"/>
                <w:sz w:val="20"/>
              </w:rPr>
              <w:t>480</w:t>
            </w:r>
            <w:r w:rsidR="00CA2448">
              <w:rPr>
                <w:rFonts w:ascii="Calibri" w:hAnsi="Calibri"/>
                <w:color w:val="auto"/>
                <w:sz w:val="20"/>
              </w:rPr>
              <w:t>/</w:t>
            </w:r>
          </w:p>
          <w:p w14:paraId="0844949E" w14:textId="77777777" w:rsidR="00CA2448" w:rsidRDefault="00CA2448" w:rsidP="008F2513">
            <w:pPr>
              <w:pStyle w:val="Default"/>
              <w:jc w:val="center"/>
              <w:rPr>
                <w:rFonts w:ascii="Calibri" w:hAnsi="Calibri"/>
                <w:color w:val="auto"/>
                <w:sz w:val="20"/>
              </w:rPr>
            </w:pPr>
            <w:r>
              <w:rPr>
                <w:rFonts w:ascii="Calibri" w:hAnsi="Calibri"/>
                <w:color w:val="auto"/>
                <w:sz w:val="20"/>
              </w:rPr>
              <w:t>$388</w:t>
            </w:r>
            <w:r w:rsidR="00254FBC">
              <w:rPr>
                <w:rFonts w:ascii="Calibri" w:hAnsi="Calibri"/>
                <w:color w:val="auto"/>
                <w:sz w:val="20"/>
              </w:rPr>
              <w:t>/</w:t>
            </w:r>
          </w:p>
          <w:p w14:paraId="7C7B1544" w14:textId="33ACEF26" w:rsidR="00254FBC" w:rsidRPr="004E50E7" w:rsidRDefault="00254FBC" w:rsidP="008F2513">
            <w:pPr>
              <w:pStyle w:val="Default"/>
              <w:jc w:val="center"/>
              <w:rPr>
                <w:rFonts w:ascii="Calibri" w:hAnsi="Calibri"/>
                <w:color w:val="auto"/>
                <w:sz w:val="20"/>
              </w:rPr>
            </w:pPr>
            <w:r>
              <w:rPr>
                <w:rFonts w:ascii="Calibri" w:hAnsi="Calibri"/>
                <w:color w:val="auto"/>
                <w:sz w:val="20"/>
              </w:rPr>
              <w:t>$451</w:t>
            </w:r>
          </w:p>
        </w:tc>
      </w:tr>
      <w:tr w:rsidR="008772FC" w:rsidRPr="004E50E7" w14:paraId="5EB83B2D" w14:textId="77777777" w:rsidTr="00A62CDB">
        <w:tc>
          <w:tcPr>
            <w:tcW w:w="1681" w:type="pct"/>
            <w:shd w:val="clear" w:color="auto" w:fill="B6DDE8" w:themeFill="accent5" w:themeFillTint="66"/>
          </w:tcPr>
          <w:p w14:paraId="26C446EE"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Accommodation/food services</w:t>
            </w:r>
          </w:p>
        </w:tc>
        <w:tc>
          <w:tcPr>
            <w:tcW w:w="991" w:type="pct"/>
            <w:shd w:val="clear" w:color="auto" w:fill="B6DDE8" w:themeFill="accent5" w:themeFillTint="66"/>
          </w:tcPr>
          <w:p w14:paraId="52E1D00F" w14:textId="799F36D1" w:rsidR="008772FC" w:rsidRPr="004E50E7" w:rsidRDefault="008772FC" w:rsidP="008F2513">
            <w:pPr>
              <w:pStyle w:val="Default"/>
              <w:jc w:val="center"/>
              <w:rPr>
                <w:rFonts w:ascii="Calibri" w:hAnsi="Calibri"/>
                <w:color w:val="auto"/>
                <w:sz w:val="20"/>
              </w:rPr>
            </w:pPr>
            <w:r>
              <w:rPr>
                <w:rFonts w:ascii="Calibri" w:hAnsi="Calibri"/>
                <w:color w:val="auto"/>
                <w:sz w:val="20"/>
              </w:rPr>
              <w:t>53</w:t>
            </w:r>
            <w:r w:rsidR="00CA2448">
              <w:rPr>
                <w:rFonts w:ascii="Calibri" w:hAnsi="Calibri"/>
                <w:color w:val="auto"/>
                <w:sz w:val="20"/>
              </w:rPr>
              <w:t>/57</w:t>
            </w:r>
            <w:r w:rsidR="00254FBC">
              <w:rPr>
                <w:rFonts w:ascii="Calibri" w:hAnsi="Calibri"/>
                <w:color w:val="auto"/>
                <w:sz w:val="20"/>
              </w:rPr>
              <w:t>/58</w:t>
            </w:r>
          </w:p>
        </w:tc>
        <w:tc>
          <w:tcPr>
            <w:tcW w:w="776" w:type="pct"/>
            <w:shd w:val="clear" w:color="auto" w:fill="B6DDE8" w:themeFill="accent5" w:themeFillTint="66"/>
          </w:tcPr>
          <w:p w14:paraId="3BF7A0BF"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25,158,353</w:t>
            </w:r>
            <w:r w:rsidR="00CA2448">
              <w:rPr>
                <w:rFonts w:ascii="Calibri" w:hAnsi="Calibri"/>
                <w:color w:val="auto"/>
                <w:sz w:val="20"/>
              </w:rPr>
              <w:t>/</w:t>
            </w:r>
          </w:p>
          <w:p w14:paraId="5BB61D92" w14:textId="77777777" w:rsidR="00CA2448" w:rsidRDefault="00CA2448" w:rsidP="008F2513">
            <w:pPr>
              <w:pStyle w:val="Default"/>
              <w:rPr>
                <w:rFonts w:ascii="Calibri" w:hAnsi="Calibri"/>
                <w:color w:val="auto"/>
                <w:sz w:val="20"/>
              </w:rPr>
            </w:pPr>
            <w:r>
              <w:rPr>
                <w:rFonts w:ascii="Calibri" w:hAnsi="Calibri"/>
                <w:color w:val="auto"/>
                <w:sz w:val="20"/>
              </w:rPr>
              <w:t>$40,321,432</w:t>
            </w:r>
            <w:r w:rsidR="00254FBC">
              <w:rPr>
                <w:rFonts w:ascii="Calibri" w:hAnsi="Calibri"/>
                <w:color w:val="auto"/>
                <w:sz w:val="20"/>
              </w:rPr>
              <w:t>/</w:t>
            </w:r>
          </w:p>
          <w:p w14:paraId="25DE9C4D" w14:textId="4A853B8A" w:rsidR="00254FBC" w:rsidRPr="004E50E7" w:rsidRDefault="00254FBC" w:rsidP="008F2513">
            <w:pPr>
              <w:pStyle w:val="Default"/>
              <w:rPr>
                <w:rFonts w:ascii="Calibri" w:hAnsi="Calibri"/>
                <w:color w:val="auto"/>
                <w:sz w:val="20"/>
              </w:rPr>
            </w:pPr>
            <w:r>
              <w:rPr>
                <w:rFonts w:ascii="Calibri" w:hAnsi="Calibri"/>
                <w:color w:val="auto"/>
                <w:sz w:val="20"/>
              </w:rPr>
              <w:t>$26,431,704</w:t>
            </w:r>
          </w:p>
        </w:tc>
        <w:tc>
          <w:tcPr>
            <w:tcW w:w="854" w:type="pct"/>
            <w:shd w:val="clear" w:color="auto" w:fill="B6DDE8" w:themeFill="accent5" w:themeFillTint="66"/>
          </w:tcPr>
          <w:p w14:paraId="1A4ACEB6" w14:textId="77777777" w:rsidR="008772FC" w:rsidRDefault="008772FC" w:rsidP="008F2513">
            <w:pPr>
              <w:pStyle w:val="Default"/>
              <w:jc w:val="center"/>
              <w:rPr>
                <w:rFonts w:ascii="Calibri" w:hAnsi="Calibri"/>
                <w:color w:val="auto"/>
                <w:sz w:val="20"/>
              </w:rPr>
            </w:pPr>
            <w:r>
              <w:rPr>
                <w:rFonts w:ascii="Calibri" w:hAnsi="Calibri"/>
                <w:color w:val="auto"/>
                <w:sz w:val="20"/>
              </w:rPr>
              <w:t>1,025</w:t>
            </w:r>
            <w:r w:rsidR="00CA2448">
              <w:rPr>
                <w:rFonts w:ascii="Calibri" w:hAnsi="Calibri"/>
                <w:color w:val="auto"/>
                <w:sz w:val="20"/>
              </w:rPr>
              <w:t>/1,396</w:t>
            </w:r>
            <w:r w:rsidR="00254FBC">
              <w:rPr>
                <w:rFonts w:ascii="Calibri" w:hAnsi="Calibri"/>
                <w:color w:val="auto"/>
                <w:sz w:val="20"/>
              </w:rPr>
              <w:t>/</w:t>
            </w:r>
          </w:p>
          <w:p w14:paraId="681EF270" w14:textId="0E45D94E" w:rsidR="00254FBC" w:rsidRPr="004E50E7" w:rsidRDefault="00254FBC" w:rsidP="008F2513">
            <w:pPr>
              <w:pStyle w:val="Default"/>
              <w:jc w:val="center"/>
              <w:rPr>
                <w:rFonts w:ascii="Calibri" w:hAnsi="Calibri"/>
                <w:color w:val="auto"/>
                <w:sz w:val="20"/>
              </w:rPr>
            </w:pPr>
            <w:r>
              <w:rPr>
                <w:rFonts w:ascii="Calibri" w:hAnsi="Calibri"/>
                <w:color w:val="auto"/>
                <w:sz w:val="20"/>
              </w:rPr>
              <w:t>742</w:t>
            </w:r>
          </w:p>
        </w:tc>
        <w:tc>
          <w:tcPr>
            <w:tcW w:w="697" w:type="pct"/>
            <w:shd w:val="clear" w:color="auto" w:fill="B6DDE8" w:themeFill="accent5" w:themeFillTint="66"/>
          </w:tcPr>
          <w:p w14:paraId="0647A2EF"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$4</w:t>
            </w:r>
            <w:r>
              <w:rPr>
                <w:rFonts w:ascii="Calibri" w:hAnsi="Calibri"/>
                <w:color w:val="auto"/>
                <w:sz w:val="20"/>
              </w:rPr>
              <w:t>72</w:t>
            </w:r>
            <w:r w:rsidR="00CA2448">
              <w:rPr>
                <w:rFonts w:ascii="Calibri" w:hAnsi="Calibri"/>
                <w:color w:val="auto"/>
                <w:sz w:val="20"/>
              </w:rPr>
              <w:t>/</w:t>
            </w:r>
          </w:p>
          <w:p w14:paraId="28BF154F" w14:textId="77777777" w:rsidR="00CA2448" w:rsidRDefault="00CA2448" w:rsidP="008F2513">
            <w:pPr>
              <w:pStyle w:val="Default"/>
              <w:jc w:val="center"/>
              <w:rPr>
                <w:rFonts w:ascii="Calibri" w:hAnsi="Calibri"/>
                <w:color w:val="auto"/>
                <w:sz w:val="20"/>
              </w:rPr>
            </w:pPr>
            <w:r>
              <w:rPr>
                <w:rFonts w:ascii="Calibri" w:hAnsi="Calibri"/>
                <w:color w:val="auto"/>
                <w:sz w:val="20"/>
              </w:rPr>
              <w:t>$555</w:t>
            </w:r>
            <w:r w:rsidR="00254FBC">
              <w:rPr>
                <w:rFonts w:ascii="Calibri" w:hAnsi="Calibri"/>
                <w:color w:val="auto"/>
                <w:sz w:val="20"/>
              </w:rPr>
              <w:t>/</w:t>
            </w:r>
          </w:p>
          <w:p w14:paraId="0542620D" w14:textId="45558206" w:rsidR="00254FBC" w:rsidRPr="004E50E7" w:rsidRDefault="00254FBC" w:rsidP="008F2513">
            <w:pPr>
              <w:pStyle w:val="Default"/>
              <w:jc w:val="center"/>
              <w:rPr>
                <w:rFonts w:ascii="Calibri" w:hAnsi="Calibri"/>
                <w:color w:val="auto"/>
                <w:sz w:val="20"/>
              </w:rPr>
            </w:pPr>
            <w:r>
              <w:rPr>
                <w:rFonts w:ascii="Calibri" w:hAnsi="Calibri"/>
                <w:color w:val="auto"/>
                <w:sz w:val="20"/>
              </w:rPr>
              <w:t>$685</w:t>
            </w:r>
          </w:p>
        </w:tc>
      </w:tr>
      <w:tr w:rsidR="008772FC" w:rsidRPr="004E50E7" w14:paraId="1486C7CA" w14:textId="77777777" w:rsidTr="008F2513">
        <w:tc>
          <w:tcPr>
            <w:tcW w:w="1681" w:type="pct"/>
          </w:tcPr>
          <w:p w14:paraId="5CC31EDD" w14:textId="77777777" w:rsidR="008772FC" w:rsidRPr="004E50E7" w:rsidRDefault="008772FC" w:rsidP="008F2513">
            <w:pPr>
              <w:pStyle w:val="Default"/>
              <w:rPr>
                <w:rFonts w:ascii="Calibri" w:hAnsi="Calibri"/>
                <w:color w:val="auto"/>
                <w:sz w:val="20"/>
              </w:rPr>
            </w:pPr>
            <w:r w:rsidRPr="004E50E7">
              <w:rPr>
                <w:rFonts w:ascii="Calibri" w:hAnsi="Calibri"/>
                <w:color w:val="auto"/>
                <w:sz w:val="20"/>
              </w:rPr>
              <w:t>Other services</w:t>
            </w:r>
          </w:p>
        </w:tc>
        <w:tc>
          <w:tcPr>
            <w:tcW w:w="991" w:type="pct"/>
          </w:tcPr>
          <w:p w14:paraId="4483E53E" w14:textId="7AC09F9D" w:rsidR="008772FC" w:rsidRPr="004E50E7" w:rsidRDefault="008772FC" w:rsidP="008F2513">
            <w:pPr>
              <w:pStyle w:val="Default"/>
              <w:jc w:val="center"/>
              <w:rPr>
                <w:rFonts w:ascii="Calibri" w:hAnsi="Calibri"/>
                <w:color w:val="auto"/>
                <w:sz w:val="20"/>
              </w:rPr>
            </w:pPr>
            <w:r>
              <w:rPr>
                <w:rFonts w:ascii="Calibri" w:hAnsi="Calibri"/>
                <w:color w:val="auto"/>
                <w:sz w:val="20"/>
              </w:rPr>
              <w:t>250</w:t>
            </w:r>
            <w:r w:rsidR="00CA2448">
              <w:rPr>
                <w:rFonts w:ascii="Calibri" w:hAnsi="Calibri"/>
                <w:color w:val="auto"/>
                <w:sz w:val="20"/>
              </w:rPr>
              <w:t>/228</w:t>
            </w:r>
            <w:r w:rsidR="00254FBC">
              <w:rPr>
                <w:rFonts w:ascii="Calibri" w:hAnsi="Calibri"/>
                <w:color w:val="auto"/>
                <w:sz w:val="20"/>
              </w:rPr>
              <w:t>/256</w:t>
            </w:r>
          </w:p>
        </w:tc>
        <w:tc>
          <w:tcPr>
            <w:tcW w:w="776" w:type="pct"/>
          </w:tcPr>
          <w:p w14:paraId="12FE5704" w14:textId="77777777" w:rsidR="008772FC" w:rsidRDefault="008772FC" w:rsidP="008F2513">
            <w:pPr>
              <w:pStyle w:val="Default"/>
              <w:rPr>
                <w:rFonts w:ascii="Calibri" w:hAnsi="Calibri"/>
                <w:color w:val="auto"/>
                <w:sz w:val="20"/>
              </w:rPr>
            </w:pPr>
            <w:r w:rsidRPr="004E50E7">
              <w:rPr>
                <w:rFonts w:ascii="Calibri" w:hAnsi="Calibri"/>
                <w:color w:val="auto"/>
                <w:sz w:val="20"/>
              </w:rPr>
              <w:t>$</w:t>
            </w:r>
            <w:r>
              <w:rPr>
                <w:rFonts w:ascii="Calibri" w:hAnsi="Calibri"/>
                <w:color w:val="auto"/>
                <w:sz w:val="20"/>
              </w:rPr>
              <w:t>34,798,802</w:t>
            </w:r>
            <w:r w:rsidR="00CA2448">
              <w:rPr>
                <w:rFonts w:ascii="Calibri" w:hAnsi="Calibri"/>
                <w:color w:val="auto"/>
                <w:sz w:val="20"/>
              </w:rPr>
              <w:t>/</w:t>
            </w:r>
          </w:p>
          <w:p w14:paraId="260B85DC" w14:textId="77777777" w:rsidR="00CA2448" w:rsidRDefault="00CA2448" w:rsidP="008F2513">
            <w:pPr>
              <w:pStyle w:val="Default"/>
              <w:rPr>
                <w:rFonts w:ascii="Calibri" w:hAnsi="Calibri"/>
                <w:color w:val="auto"/>
                <w:sz w:val="20"/>
              </w:rPr>
            </w:pPr>
            <w:r>
              <w:rPr>
                <w:rFonts w:ascii="Calibri" w:hAnsi="Calibri"/>
                <w:color w:val="auto"/>
                <w:sz w:val="20"/>
              </w:rPr>
              <w:t>$36,726,874</w:t>
            </w:r>
            <w:r w:rsidR="00254FBC">
              <w:rPr>
                <w:rFonts w:ascii="Calibri" w:hAnsi="Calibri"/>
                <w:color w:val="auto"/>
                <w:sz w:val="20"/>
              </w:rPr>
              <w:t>/</w:t>
            </w:r>
          </w:p>
          <w:p w14:paraId="425CDF9D" w14:textId="30592B2D" w:rsidR="00254FBC" w:rsidRPr="004E50E7" w:rsidRDefault="00254FBC" w:rsidP="008F2513">
            <w:pPr>
              <w:pStyle w:val="Default"/>
              <w:rPr>
                <w:rFonts w:ascii="Calibri" w:hAnsi="Calibri"/>
                <w:color w:val="auto"/>
                <w:sz w:val="20"/>
              </w:rPr>
            </w:pPr>
            <w:r>
              <w:rPr>
                <w:rFonts w:ascii="Calibri" w:hAnsi="Calibri"/>
                <w:color w:val="auto"/>
                <w:sz w:val="20"/>
              </w:rPr>
              <w:t>$31,421,022</w:t>
            </w:r>
          </w:p>
        </w:tc>
        <w:tc>
          <w:tcPr>
            <w:tcW w:w="854" w:type="pct"/>
          </w:tcPr>
          <w:p w14:paraId="27554A95" w14:textId="129A9455" w:rsidR="008772FC" w:rsidRDefault="008772FC" w:rsidP="008F2513">
            <w:pPr>
              <w:pStyle w:val="Default"/>
              <w:jc w:val="center"/>
              <w:rPr>
                <w:rFonts w:ascii="Calibri" w:hAnsi="Calibri"/>
                <w:color w:val="auto"/>
                <w:sz w:val="20"/>
              </w:rPr>
            </w:pPr>
            <w:r>
              <w:rPr>
                <w:rFonts w:ascii="Calibri" w:hAnsi="Calibri"/>
                <w:color w:val="auto"/>
                <w:sz w:val="20"/>
              </w:rPr>
              <w:t>921</w:t>
            </w:r>
            <w:r w:rsidR="00CA2448">
              <w:rPr>
                <w:rFonts w:ascii="Calibri" w:hAnsi="Calibri"/>
                <w:color w:val="auto"/>
                <w:sz w:val="20"/>
              </w:rPr>
              <w:t>/837</w:t>
            </w:r>
            <w:r w:rsidR="00254FBC">
              <w:rPr>
                <w:rFonts w:ascii="Calibri" w:hAnsi="Calibri"/>
                <w:color w:val="auto"/>
                <w:sz w:val="20"/>
              </w:rPr>
              <w:t>/621</w:t>
            </w:r>
          </w:p>
          <w:p w14:paraId="7FFB557C" w14:textId="47C33857" w:rsidR="00254FBC" w:rsidRPr="004E50E7" w:rsidRDefault="00254FBC" w:rsidP="008F2513">
            <w:pPr>
              <w:pStyle w:val="Default"/>
              <w:jc w:val="center"/>
              <w:rPr>
                <w:rFonts w:ascii="Calibri" w:hAnsi="Calibri"/>
                <w:color w:val="auto"/>
                <w:sz w:val="20"/>
              </w:rPr>
            </w:pPr>
          </w:p>
        </w:tc>
        <w:tc>
          <w:tcPr>
            <w:tcW w:w="697" w:type="pct"/>
          </w:tcPr>
          <w:p w14:paraId="680B72E0"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w:t>
            </w:r>
            <w:r>
              <w:rPr>
                <w:rFonts w:ascii="Calibri" w:hAnsi="Calibri"/>
                <w:color w:val="auto"/>
                <w:sz w:val="20"/>
              </w:rPr>
              <w:t>727</w:t>
            </w:r>
            <w:r w:rsidR="00CA2448">
              <w:rPr>
                <w:rFonts w:ascii="Calibri" w:hAnsi="Calibri"/>
                <w:color w:val="auto"/>
                <w:sz w:val="20"/>
              </w:rPr>
              <w:t>/</w:t>
            </w:r>
          </w:p>
          <w:p w14:paraId="2B58CBBC" w14:textId="77777777" w:rsidR="00CA2448" w:rsidRDefault="00CA2448" w:rsidP="008F2513">
            <w:pPr>
              <w:pStyle w:val="Default"/>
              <w:jc w:val="center"/>
              <w:rPr>
                <w:rFonts w:ascii="Calibri" w:hAnsi="Calibri"/>
                <w:color w:val="auto"/>
                <w:sz w:val="20"/>
              </w:rPr>
            </w:pPr>
            <w:r>
              <w:rPr>
                <w:rFonts w:ascii="Calibri" w:hAnsi="Calibri"/>
                <w:color w:val="auto"/>
                <w:sz w:val="20"/>
              </w:rPr>
              <w:t>$844</w:t>
            </w:r>
            <w:r w:rsidR="00254FBC">
              <w:rPr>
                <w:rFonts w:ascii="Calibri" w:hAnsi="Calibri"/>
                <w:color w:val="auto"/>
                <w:sz w:val="20"/>
              </w:rPr>
              <w:t>/</w:t>
            </w:r>
          </w:p>
          <w:p w14:paraId="1A42ECE5" w14:textId="5CBFB156" w:rsidR="00254FBC" w:rsidRPr="004E50E7" w:rsidRDefault="00254FBC" w:rsidP="008F2513">
            <w:pPr>
              <w:pStyle w:val="Default"/>
              <w:jc w:val="center"/>
              <w:rPr>
                <w:rFonts w:ascii="Calibri" w:hAnsi="Calibri"/>
                <w:color w:val="auto"/>
                <w:sz w:val="20"/>
              </w:rPr>
            </w:pPr>
            <w:r>
              <w:rPr>
                <w:rFonts w:ascii="Calibri" w:hAnsi="Calibri"/>
                <w:color w:val="auto"/>
                <w:sz w:val="20"/>
              </w:rPr>
              <w:t>$973</w:t>
            </w:r>
          </w:p>
        </w:tc>
      </w:tr>
      <w:tr w:rsidR="008772FC" w:rsidRPr="004E50E7" w14:paraId="665110AD" w14:textId="77777777" w:rsidTr="008F2513">
        <w:tc>
          <w:tcPr>
            <w:tcW w:w="1681" w:type="pct"/>
          </w:tcPr>
          <w:p w14:paraId="11AB4583" w14:textId="77777777" w:rsidR="008772FC" w:rsidRPr="004E50E7" w:rsidRDefault="008772FC" w:rsidP="008F2513">
            <w:pPr>
              <w:pStyle w:val="Default"/>
              <w:rPr>
                <w:rFonts w:ascii="Calibri" w:hAnsi="Calibri"/>
                <w:b/>
                <w:bCs/>
                <w:color w:val="auto"/>
                <w:sz w:val="20"/>
              </w:rPr>
            </w:pPr>
            <w:r w:rsidRPr="004E50E7">
              <w:rPr>
                <w:rFonts w:ascii="Calibri" w:hAnsi="Calibri"/>
                <w:b/>
                <w:bCs/>
                <w:color w:val="auto"/>
                <w:sz w:val="20"/>
              </w:rPr>
              <w:t xml:space="preserve">Total </w:t>
            </w:r>
          </w:p>
        </w:tc>
        <w:tc>
          <w:tcPr>
            <w:tcW w:w="991" w:type="pct"/>
          </w:tcPr>
          <w:p w14:paraId="72965DBF" w14:textId="5AD45846" w:rsidR="008772FC" w:rsidRPr="004E50E7" w:rsidRDefault="008772FC" w:rsidP="008F2513">
            <w:pPr>
              <w:pStyle w:val="Default"/>
              <w:jc w:val="center"/>
              <w:rPr>
                <w:rFonts w:ascii="Calibri" w:hAnsi="Calibri"/>
                <w:color w:val="auto"/>
                <w:sz w:val="20"/>
              </w:rPr>
            </w:pPr>
            <w:r w:rsidRPr="004E50E7">
              <w:rPr>
                <w:rFonts w:ascii="Calibri" w:hAnsi="Calibri"/>
                <w:color w:val="auto"/>
                <w:sz w:val="20"/>
              </w:rPr>
              <w:t>1,</w:t>
            </w:r>
            <w:r>
              <w:rPr>
                <w:rFonts w:ascii="Calibri" w:hAnsi="Calibri"/>
                <w:color w:val="auto"/>
                <w:sz w:val="20"/>
              </w:rPr>
              <w:t>381</w:t>
            </w:r>
            <w:r w:rsidR="00CA2448">
              <w:rPr>
                <w:rFonts w:ascii="Calibri" w:hAnsi="Calibri"/>
                <w:color w:val="auto"/>
                <w:sz w:val="20"/>
              </w:rPr>
              <w:t>/1,503</w:t>
            </w:r>
            <w:r w:rsidR="00254FBC">
              <w:rPr>
                <w:rFonts w:ascii="Calibri" w:hAnsi="Calibri"/>
                <w:color w:val="auto"/>
                <w:sz w:val="20"/>
              </w:rPr>
              <w:t>/1,548</w:t>
            </w:r>
          </w:p>
        </w:tc>
        <w:tc>
          <w:tcPr>
            <w:tcW w:w="776" w:type="pct"/>
          </w:tcPr>
          <w:p w14:paraId="0D975A35" w14:textId="77777777" w:rsidR="008772FC" w:rsidRDefault="008772FC" w:rsidP="008F2513">
            <w:pPr>
              <w:pStyle w:val="Default"/>
              <w:rPr>
                <w:rFonts w:ascii="Calibri" w:hAnsi="Calibri"/>
                <w:color w:val="auto"/>
                <w:sz w:val="20"/>
              </w:rPr>
            </w:pPr>
            <w:r w:rsidRPr="004E50E7">
              <w:rPr>
                <w:rFonts w:ascii="Calibri" w:hAnsi="Calibri"/>
                <w:color w:val="auto"/>
                <w:sz w:val="20"/>
              </w:rPr>
              <w:t>$1,6</w:t>
            </w:r>
            <w:r>
              <w:rPr>
                <w:rFonts w:ascii="Calibri" w:hAnsi="Calibri"/>
                <w:color w:val="auto"/>
                <w:sz w:val="20"/>
              </w:rPr>
              <w:t>96,831,400</w:t>
            </w:r>
            <w:r w:rsidR="00CA2448">
              <w:rPr>
                <w:rFonts w:ascii="Calibri" w:hAnsi="Calibri"/>
                <w:color w:val="auto"/>
                <w:sz w:val="20"/>
              </w:rPr>
              <w:t>/</w:t>
            </w:r>
          </w:p>
          <w:p w14:paraId="3E0AB1C1" w14:textId="1F4B5351" w:rsidR="00CA2448" w:rsidRDefault="00CA2448" w:rsidP="008F2513">
            <w:pPr>
              <w:pStyle w:val="Default"/>
              <w:rPr>
                <w:rFonts w:ascii="Calibri" w:hAnsi="Calibri"/>
                <w:color w:val="auto"/>
                <w:sz w:val="20"/>
              </w:rPr>
            </w:pPr>
            <w:r>
              <w:rPr>
                <w:rFonts w:ascii="Calibri" w:hAnsi="Calibri"/>
                <w:color w:val="auto"/>
                <w:sz w:val="20"/>
              </w:rPr>
              <w:t>$2,166,747,180</w:t>
            </w:r>
            <w:r w:rsidR="00254FBC">
              <w:rPr>
                <w:rFonts w:ascii="Calibri" w:hAnsi="Calibri"/>
                <w:color w:val="auto"/>
                <w:sz w:val="20"/>
              </w:rPr>
              <w:t>/</w:t>
            </w:r>
          </w:p>
          <w:p w14:paraId="026C5370" w14:textId="3980937A" w:rsidR="00254FBC" w:rsidRPr="004E50E7" w:rsidRDefault="00254FBC" w:rsidP="008F2513">
            <w:pPr>
              <w:pStyle w:val="Default"/>
              <w:rPr>
                <w:rFonts w:ascii="Calibri" w:hAnsi="Calibri"/>
                <w:color w:val="auto"/>
                <w:sz w:val="20"/>
              </w:rPr>
            </w:pPr>
            <w:r>
              <w:rPr>
                <w:rFonts w:ascii="Calibri" w:hAnsi="Calibri"/>
                <w:color w:val="auto"/>
                <w:sz w:val="20"/>
              </w:rPr>
              <w:t>$2,183,370,050</w:t>
            </w:r>
          </w:p>
        </w:tc>
        <w:tc>
          <w:tcPr>
            <w:tcW w:w="854" w:type="pct"/>
          </w:tcPr>
          <w:p w14:paraId="10C99B4D"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w:t>
            </w:r>
            <w:r>
              <w:rPr>
                <w:rFonts w:ascii="Calibri" w:hAnsi="Calibri"/>
                <w:color w:val="auto"/>
                <w:sz w:val="20"/>
              </w:rPr>
              <w:t>9,212</w:t>
            </w:r>
            <w:r w:rsidR="00CA2448">
              <w:rPr>
                <w:rFonts w:ascii="Calibri" w:hAnsi="Calibri"/>
                <w:color w:val="auto"/>
                <w:sz w:val="20"/>
              </w:rPr>
              <w:t>/</w:t>
            </w:r>
          </w:p>
          <w:p w14:paraId="5AF527C0" w14:textId="77777777" w:rsidR="00CA2448" w:rsidRDefault="00CA2448" w:rsidP="008F2513">
            <w:pPr>
              <w:pStyle w:val="Default"/>
              <w:jc w:val="center"/>
              <w:rPr>
                <w:rFonts w:ascii="Calibri" w:hAnsi="Calibri"/>
                <w:color w:val="auto"/>
                <w:sz w:val="20"/>
              </w:rPr>
            </w:pPr>
            <w:r>
              <w:rPr>
                <w:rFonts w:ascii="Calibri" w:hAnsi="Calibri"/>
                <w:color w:val="auto"/>
                <w:sz w:val="20"/>
              </w:rPr>
              <w:t>22,788</w:t>
            </w:r>
            <w:r w:rsidR="00254FBC">
              <w:rPr>
                <w:rFonts w:ascii="Calibri" w:hAnsi="Calibri"/>
                <w:color w:val="auto"/>
                <w:sz w:val="20"/>
              </w:rPr>
              <w:t>/</w:t>
            </w:r>
          </w:p>
          <w:p w14:paraId="21578183" w14:textId="3A49BA65" w:rsidR="00254FBC" w:rsidRPr="004E50E7" w:rsidRDefault="00254FBC" w:rsidP="008F2513">
            <w:pPr>
              <w:pStyle w:val="Default"/>
              <w:jc w:val="center"/>
              <w:rPr>
                <w:rFonts w:ascii="Calibri" w:hAnsi="Calibri"/>
                <w:color w:val="auto"/>
                <w:sz w:val="20"/>
              </w:rPr>
            </w:pPr>
            <w:r>
              <w:rPr>
                <w:rFonts w:ascii="Calibri" w:hAnsi="Calibri"/>
                <w:color w:val="auto"/>
                <w:sz w:val="20"/>
              </w:rPr>
              <w:t>19,951</w:t>
            </w:r>
          </w:p>
        </w:tc>
        <w:tc>
          <w:tcPr>
            <w:tcW w:w="697" w:type="pct"/>
          </w:tcPr>
          <w:p w14:paraId="35105356" w14:textId="77777777" w:rsidR="008772FC" w:rsidRDefault="008772FC" w:rsidP="008F2513">
            <w:pPr>
              <w:pStyle w:val="Default"/>
              <w:jc w:val="center"/>
              <w:rPr>
                <w:rFonts w:ascii="Calibri" w:hAnsi="Calibri"/>
                <w:color w:val="auto"/>
                <w:sz w:val="20"/>
              </w:rPr>
            </w:pPr>
            <w:r w:rsidRPr="004E50E7">
              <w:rPr>
                <w:rFonts w:ascii="Calibri" w:hAnsi="Calibri"/>
                <w:color w:val="auto"/>
                <w:sz w:val="20"/>
              </w:rPr>
              <w:t>$1,6</w:t>
            </w:r>
            <w:r>
              <w:rPr>
                <w:rFonts w:ascii="Calibri" w:hAnsi="Calibri"/>
                <w:color w:val="auto"/>
                <w:sz w:val="20"/>
              </w:rPr>
              <w:t>98</w:t>
            </w:r>
            <w:r w:rsidR="00CA2448">
              <w:rPr>
                <w:rFonts w:ascii="Calibri" w:hAnsi="Calibri"/>
                <w:color w:val="auto"/>
                <w:sz w:val="20"/>
              </w:rPr>
              <w:t>/</w:t>
            </w:r>
          </w:p>
          <w:p w14:paraId="33BF49C4" w14:textId="0D60EFA6" w:rsidR="00CA2448" w:rsidRDefault="00CA2448" w:rsidP="008F2513">
            <w:pPr>
              <w:pStyle w:val="Default"/>
              <w:jc w:val="center"/>
              <w:rPr>
                <w:rFonts w:ascii="Calibri" w:hAnsi="Calibri"/>
                <w:color w:val="auto"/>
                <w:sz w:val="20"/>
              </w:rPr>
            </w:pPr>
            <w:r>
              <w:rPr>
                <w:rFonts w:ascii="Calibri" w:hAnsi="Calibri"/>
                <w:color w:val="auto"/>
                <w:sz w:val="20"/>
              </w:rPr>
              <w:t>$1,829</w:t>
            </w:r>
            <w:r w:rsidR="00254FBC">
              <w:rPr>
                <w:rFonts w:ascii="Calibri" w:hAnsi="Calibri"/>
                <w:color w:val="auto"/>
                <w:sz w:val="20"/>
              </w:rPr>
              <w:t>/</w:t>
            </w:r>
          </w:p>
          <w:p w14:paraId="4E59CE6D" w14:textId="11CC3EF0" w:rsidR="00254FBC" w:rsidRPr="004E50E7" w:rsidRDefault="00254FBC" w:rsidP="00254FBC">
            <w:pPr>
              <w:pStyle w:val="Default"/>
              <w:jc w:val="center"/>
              <w:rPr>
                <w:rFonts w:ascii="Calibri" w:hAnsi="Calibri"/>
                <w:color w:val="auto"/>
                <w:sz w:val="20"/>
              </w:rPr>
            </w:pPr>
            <w:r>
              <w:rPr>
                <w:rFonts w:ascii="Calibri" w:hAnsi="Calibri"/>
                <w:color w:val="auto"/>
                <w:sz w:val="20"/>
              </w:rPr>
              <w:t>$2,105</w:t>
            </w:r>
          </w:p>
        </w:tc>
      </w:tr>
    </w:tbl>
    <w:p w14:paraId="4EF997F6" w14:textId="5375810C" w:rsidR="008772FC" w:rsidRPr="004E50E7" w:rsidRDefault="008772FC" w:rsidP="008772FC">
      <w:pPr>
        <w:pStyle w:val="Default"/>
        <w:rPr>
          <w:rFonts w:ascii="Calibri" w:hAnsi="Calibri"/>
          <w:color w:val="auto"/>
          <w:sz w:val="20"/>
        </w:rPr>
      </w:pPr>
      <w:r w:rsidRPr="004E50E7">
        <w:rPr>
          <w:rFonts w:ascii="Calibri" w:hAnsi="Calibri"/>
          <w:color w:val="auto"/>
          <w:sz w:val="20"/>
        </w:rPr>
        <w:t xml:space="preserve">Source:  Massachusetts Executive Office of Labor and Workforce Development, </w:t>
      </w:r>
      <w:r w:rsidR="00A66C1A">
        <w:rPr>
          <w:rFonts w:ascii="Calibri" w:hAnsi="Calibri"/>
          <w:color w:val="auto"/>
          <w:sz w:val="20"/>
        </w:rPr>
        <w:t>2012</w:t>
      </w:r>
      <w:r w:rsidR="00254FBC">
        <w:rPr>
          <w:rFonts w:ascii="Calibri" w:hAnsi="Calibri"/>
          <w:color w:val="auto"/>
          <w:sz w:val="20"/>
        </w:rPr>
        <w:t>,</w:t>
      </w:r>
      <w:r w:rsidR="00A66C1A">
        <w:rPr>
          <w:rFonts w:ascii="Calibri" w:hAnsi="Calibri"/>
          <w:color w:val="auto"/>
          <w:sz w:val="20"/>
        </w:rPr>
        <w:t xml:space="preserve"> January </w:t>
      </w:r>
      <w:r w:rsidR="00CA2448">
        <w:rPr>
          <w:rFonts w:ascii="Calibri" w:hAnsi="Calibri"/>
          <w:color w:val="auto"/>
          <w:sz w:val="20"/>
        </w:rPr>
        <w:t>22</w:t>
      </w:r>
      <w:r w:rsidR="00A66C1A">
        <w:rPr>
          <w:rFonts w:ascii="Calibri" w:hAnsi="Calibri"/>
          <w:color w:val="auto"/>
          <w:sz w:val="20"/>
        </w:rPr>
        <w:t>, 2019</w:t>
      </w:r>
      <w:r w:rsidR="00254FBC">
        <w:rPr>
          <w:rFonts w:ascii="Calibri" w:hAnsi="Calibri"/>
          <w:color w:val="auto"/>
          <w:sz w:val="20"/>
        </w:rPr>
        <w:t>, and November 12, 2021</w:t>
      </w:r>
    </w:p>
    <w:p w14:paraId="58478D69" w14:textId="77777777" w:rsidR="008772FC" w:rsidRPr="0014658A" w:rsidRDefault="0014658A" w:rsidP="0014658A">
      <w:pPr>
        <w:pStyle w:val="CM27"/>
        <w:shd w:val="clear" w:color="auto" w:fill="B6DDE8" w:themeFill="accent5" w:themeFillTint="66"/>
        <w:spacing w:after="0"/>
        <w:ind w:right="83"/>
        <w:rPr>
          <w:rFonts w:ascii="Calibri" w:hAnsi="Calibri"/>
          <w:sz w:val="20"/>
          <w:szCs w:val="20"/>
        </w:rPr>
      </w:pPr>
      <w:r w:rsidRPr="0014658A">
        <w:rPr>
          <w:rFonts w:ascii="Calibri" w:hAnsi="Calibri"/>
          <w:sz w:val="20"/>
          <w:szCs w:val="20"/>
        </w:rPr>
        <w:t>Shaded industries have average employment of more than 1,000 workers.</w:t>
      </w:r>
    </w:p>
    <w:p w14:paraId="4C08D534" w14:textId="77777777" w:rsidR="0014658A" w:rsidRPr="0014658A" w:rsidRDefault="0014658A" w:rsidP="0014658A">
      <w:pPr>
        <w:pStyle w:val="Default"/>
      </w:pPr>
    </w:p>
    <w:p w14:paraId="09E8007D" w14:textId="2D6BB80E" w:rsidR="008772FC" w:rsidRPr="006754FB" w:rsidRDefault="00CC15E1" w:rsidP="00303F30">
      <w:pPr>
        <w:pStyle w:val="Heading3"/>
        <w:spacing w:before="0"/>
        <w:jc w:val="both"/>
        <w:rPr>
          <w:rFonts w:asciiTheme="minorHAnsi" w:hAnsiTheme="minorHAnsi"/>
          <w:color w:val="1F497D" w:themeColor="text2"/>
        </w:rPr>
      </w:pPr>
      <w:bookmarkStart w:id="6" w:name="_Toc2252330"/>
      <w:r>
        <w:rPr>
          <w:rFonts w:asciiTheme="minorHAnsi" w:hAnsiTheme="minorHAnsi"/>
          <w:color w:val="1F497D" w:themeColor="text2"/>
        </w:rPr>
        <w:t>4</w:t>
      </w:r>
      <w:r w:rsidR="008772FC">
        <w:rPr>
          <w:rFonts w:asciiTheme="minorHAnsi" w:hAnsiTheme="minorHAnsi"/>
          <w:color w:val="1F497D" w:themeColor="text2"/>
        </w:rPr>
        <w:t>.</w:t>
      </w:r>
      <w:r w:rsidR="008772FC" w:rsidRPr="006754FB">
        <w:rPr>
          <w:rFonts w:asciiTheme="minorHAnsi" w:hAnsiTheme="minorHAnsi"/>
          <w:color w:val="1F497D" w:themeColor="text2"/>
        </w:rPr>
        <w:tab/>
        <w:t>Education – High educational attainment and increasing student enrollment</w:t>
      </w:r>
      <w:bookmarkEnd w:id="6"/>
    </w:p>
    <w:p w14:paraId="246771A9" w14:textId="608A72C9" w:rsidR="008772FC" w:rsidRPr="006754FB" w:rsidRDefault="008772FC" w:rsidP="00303F30">
      <w:pPr>
        <w:pStyle w:val="BodyText"/>
        <w:spacing w:after="0"/>
        <w:jc w:val="both"/>
        <w:rPr>
          <w:rFonts w:ascii="Calibri" w:hAnsi="Calibri"/>
          <w:sz w:val="22"/>
          <w:szCs w:val="22"/>
        </w:rPr>
      </w:pPr>
      <w:r w:rsidRPr="006754FB">
        <w:rPr>
          <w:rFonts w:ascii="Calibri" w:hAnsi="Calibri"/>
          <w:sz w:val="22"/>
          <w:szCs w:val="22"/>
        </w:rPr>
        <w:t xml:space="preserve">The educational attainment of Needham residents </w:t>
      </w:r>
      <w:r w:rsidR="00A62CDB">
        <w:rPr>
          <w:rFonts w:ascii="Calibri" w:hAnsi="Calibri"/>
          <w:sz w:val="22"/>
          <w:szCs w:val="22"/>
        </w:rPr>
        <w:t xml:space="preserve">is very high and </w:t>
      </w:r>
      <w:r w:rsidRPr="006754FB">
        <w:rPr>
          <w:rFonts w:ascii="Calibri" w:hAnsi="Calibri"/>
          <w:sz w:val="22"/>
          <w:szCs w:val="22"/>
        </w:rPr>
        <w:t>has improved over the last couple of decades. In 20</w:t>
      </w:r>
      <w:r w:rsidR="00EC54C6">
        <w:rPr>
          <w:rFonts w:ascii="Calibri" w:hAnsi="Calibri"/>
          <w:sz w:val="22"/>
          <w:szCs w:val="22"/>
        </w:rPr>
        <w:t>20</w:t>
      </w:r>
      <w:r w:rsidRPr="006754FB">
        <w:rPr>
          <w:rFonts w:ascii="Calibri" w:hAnsi="Calibri"/>
          <w:sz w:val="22"/>
          <w:szCs w:val="22"/>
        </w:rPr>
        <w:t>, 97.</w:t>
      </w:r>
      <w:r w:rsidR="00EC54C6">
        <w:rPr>
          <w:rFonts w:ascii="Calibri" w:hAnsi="Calibri"/>
          <w:sz w:val="22"/>
          <w:szCs w:val="22"/>
        </w:rPr>
        <w:t>9</w:t>
      </w:r>
      <w:r w:rsidRPr="006754FB">
        <w:rPr>
          <w:rFonts w:ascii="Calibri" w:hAnsi="Calibri"/>
          <w:sz w:val="22"/>
          <w:szCs w:val="22"/>
        </w:rPr>
        <w:t>% of those 25 years and older had a high school diploma or higher, and 7</w:t>
      </w:r>
      <w:r w:rsidR="00EC54C6">
        <w:rPr>
          <w:rFonts w:ascii="Calibri" w:hAnsi="Calibri"/>
          <w:sz w:val="22"/>
          <w:szCs w:val="22"/>
        </w:rPr>
        <w:t>8.1</w:t>
      </w:r>
      <w:r w:rsidRPr="006754FB">
        <w:rPr>
          <w:rFonts w:ascii="Calibri" w:hAnsi="Calibri"/>
          <w:sz w:val="22"/>
          <w:szCs w:val="22"/>
        </w:rPr>
        <w:t xml:space="preserve">% had a </w:t>
      </w:r>
      <w:r w:rsidR="0027300A">
        <w:rPr>
          <w:rFonts w:ascii="Calibri" w:hAnsi="Calibri"/>
          <w:sz w:val="22"/>
          <w:szCs w:val="22"/>
        </w:rPr>
        <w:t>b</w:t>
      </w:r>
      <w:r w:rsidRPr="006754FB">
        <w:rPr>
          <w:rFonts w:ascii="Calibri" w:hAnsi="Calibri"/>
          <w:sz w:val="22"/>
          <w:szCs w:val="22"/>
        </w:rPr>
        <w:t xml:space="preserve">achelor’s degree or higher compared </w:t>
      </w:r>
      <w:r w:rsidR="00A62CDB">
        <w:rPr>
          <w:rFonts w:ascii="Calibri" w:hAnsi="Calibri"/>
          <w:sz w:val="22"/>
          <w:szCs w:val="22"/>
        </w:rPr>
        <w:t>to</w:t>
      </w:r>
      <w:r w:rsidRPr="006754FB">
        <w:rPr>
          <w:rFonts w:ascii="Calibri" w:hAnsi="Calibri"/>
          <w:sz w:val="22"/>
          <w:szCs w:val="22"/>
        </w:rPr>
        <w:t xml:space="preserve"> </w:t>
      </w:r>
      <w:r w:rsidR="00A232CC">
        <w:rPr>
          <w:rFonts w:ascii="Calibri" w:hAnsi="Calibri"/>
          <w:sz w:val="22"/>
          <w:szCs w:val="22"/>
        </w:rPr>
        <w:t>54.6</w:t>
      </w:r>
      <w:r w:rsidRPr="006754FB">
        <w:rPr>
          <w:rFonts w:ascii="Calibri" w:hAnsi="Calibri"/>
          <w:sz w:val="22"/>
          <w:szCs w:val="22"/>
        </w:rPr>
        <w:t xml:space="preserve">% for the county and </w:t>
      </w:r>
      <w:r w:rsidR="00223DEA">
        <w:rPr>
          <w:rFonts w:ascii="Calibri" w:hAnsi="Calibri"/>
          <w:sz w:val="22"/>
          <w:szCs w:val="22"/>
        </w:rPr>
        <w:t>44.5</w:t>
      </w:r>
      <w:r w:rsidRPr="006754FB">
        <w:rPr>
          <w:rFonts w:ascii="Calibri" w:hAnsi="Calibri"/>
          <w:sz w:val="22"/>
          <w:szCs w:val="22"/>
        </w:rPr>
        <w:t>% for the state</w:t>
      </w:r>
      <w:r w:rsidR="00A62CDB">
        <w:rPr>
          <w:rFonts w:ascii="Calibri" w:hAnsi="Calibri"/>
          <w:sz w:val="22"/>
          <w:szCs w:val="22"/>
        </w:rPr>
        <w:t>.  These attainment levels are</w:t>
      </w:r>
      <w:r w:rsidRPr="006754FB">
        <w:rPr>
          <w:rFonts w:ascii="Calibri" w:hAnsi="Calibri"/>
          <w:sz w:val="22"/>
          <w:szCs w:val="22"/>
        </w:rPr>
        <w:t xml:space="preserve"> up from the 2000 figures of 96.4% with at least a high school degree and 64.9% with a </w:t>
      </w:r>
      <w:r w:rsidR="0027300A">
        <w:rPr>
          <w:rFonts w:ascii="Calibri" w:hAnsi="Calibri"/>
          <w:sz w:val="22"/>
          <w:szCs w:val="22"/>
        </w:rPr>
        <w:t>bachelor’s</w:t>
      </w:r>
      <w:r w:rsidRPr="006754FB">
        <w:rPr>
          <w:rFonts w:ascii="Calibri" w:hAnsi="Calibri"/>
          <w:sz w:val="22"/>
          <w:szCs w:val="22"/>
        </w:rPr>
        <w:t xml:space="preserve"> degree or higher.  </w:t>
      </w:r>
      <w:r w:rsidR="00A62CDB">
        <w:rPr>
          <w:rFonts w:ascii="Calibri" w:hAnsi="Calibri"/>
          <w:sz w:val="22"/>
          <w:szCs w:val="22"/>
        </w:rPr>
        <w:t>Such high education attainment levels are correlated with Needham’s generally high incomes.</w:t>
      </w:r>
    </w:p>
    <w:p w14:paraId="2F80275A" w14:textId="77777777" w:rsidR="008772FC" w:rsidRPr="006754FB" w:rsidRDefault="008772FC" w:rsidP="00303F30">
      <w:pPr>
        <w:pStyle w:val="BodyText"/>
        <w:spacing w:after="0"/>
        <w:jc w:val="both"/>
        <w:rPr>
          <w:rFonts w:ascii="Calibri" w:hAnsi="Calibri"/>
          <w:b/>
          <w:bCs/>
          <w:i/>
          <w:iCs/>
          <w:sz w:val="22"/>
          <w:szCs w:val="22"/>
        </w:rPr>
      </w:pPr>
    </w:p>
    <w:p w14:paraId="3DEB2AED" w14:textId="2BC4C9C0" w:rsidR="005239AD" w:rsidRDefault="0027300A" w:rsidP="00303F30">
      <w:pPr>
        <w:pStyle w:val="BodyText"/>
        <w:spacing w:after="0"/>
        <w:jc w:val="both"/>
        <w:rPr>
          <w:rFonts w:ascii="Calibri" w:hAnsi="Calibri"/>
          <w:sz w:val="22"/>
          <w:szCs w:val="22"/>
        </w:rPr>
      </w:pPr>
      <w:r>
        <w:rPr>
          <w:rFonts w:ascii="Calibri" w:hAnsi="Calibri"/>
          <w:sz w:val="22"/>
          <w:szCs w:val="22"/>
        </w:rPr>
        <w:t>According to 20</w:t>
      </w:r>
      <w:r w:rsidR="00EC54C6">
        <w:rPr>
          <w:rFonts w:ascii="Calibri" w:hAnsi="Calibri"/>
          <w:sz w:val="22"/>
          <w:szCs w:val="22"/>
        </w:rPr>
        <w:t>20</w:t>
      </w:r>
      <w:r>
        <w:rPr>
          <w:rFonts w:ascii="Calibri" w:hAnsi="Calibri"/>
          <w:sz w:val="22"/>
          <w:szCs w:val="22"/>
        </w:rPr>
        <w:t xml:space="preserve"> census estimates, t</w:t>
      </w:r>
      <w:r w:rsidR="008772FC" w:rsidRPr="006754FB">
        <w:rPr>
          <w:rFonts w:ascii="Calibri" w:hAnsi="Calibri"/>
          <w:sz w:val="22"/>
          <w:szCs w:val="22"/>
        </w:rPr>
        <w:t>h</w:t>
      </w:r>
      <w:r>
        <w:rPr>
          <w:rFonts w:ascii="Calibri" w:hAnsi="Calibri"/>
          <w:sz w:val="22"/>
          <w:szCs w:val="22"/>
        </w:rPr>
        <w:t xml:space="preserve">ere were </w:t>
      </w:r>
      <w:r w:rsidR="005239AD">
        <w:rPr>
          <w:rFonts w:ascii="Calibri" w:hAnsi="Calibri"/>
          <w:sz w:val="22"/>
          <w:szCs w:val="22"/>
        </w:rPr>
        <w:t>9,</w:t>
      </w:r>
      <w:r w:rsidR="00EC54C6">
        <w:rPr>
          <w:rFonts w:ascii="Calibri" w:hAnsi="Calibri"/>
          <w:sz w:val="22"/>
          <w:szCs w:val="22"/>
        </w:rPr>
        <w:t>3</w:t>
      </w:r>
      <w:r w:rsidR="005239AD">
        <w:rPr>
          <w:rFonts w:ascii="Calibri" w:hAnsi="Calibri"/>
          <w:sz w:val="22"/>
          <w:szCs w:val="22"/>
        </w:rPr>
        <w:t>30</w:t>
      </w:r>
      <w:r>
        <w:rPr>
          <w:rFonts w:ascii="Calibri" w:hAnsi="Calibri"/>
          <w:sz w:val="22"/>
          <w:szCs w:val="22"/>
        </w:rPr>
        <w:t xml:space="preserve"> residents three years</w:t>
      </w:r>
      <w:r w:rsidR="00786524">
        <w:rPr>
          <w:rFonts w:ascii="Calibri" w:hAnsi="Calibri"/>
          <w:sz w:val="22"/>
          <w:szCs w:val="22"/>
        </w:rPr>
        <w:t xml:space="preserve"> of age</w:t>
      </w:r>
      <w:r>
        <w:rPr>
          <w:rFonts w:ascii="Calibri" w:hAnsi="Calibri"/>
          <w:sz w:val="22"/>
          <w:szCs w:val="22"/>
        </w:rPr>
        <w:t xml:space="preserve"> or older who were</w:t>
      </w:r>
      <w:r w:rsidR="008772FC" w:rsidRPr="006754FB">
        <w:rPr>
          <w:rFonts w:ascii="Calibri" w:hAnsi="Calibri"/>
          <w:sz w:val="22"/>
          <w:szCs w:val="22"/>
        </w:rPr>
        <w:t xml:space="preserve"> enrolled in school (nursery through graduate school) or a</w:t>
      </w:r>
      <w:r>
        <w:rPr>
          <w:rFonts w:ascii="Calibri" w:hAnsi="Calibri"/>
          <w:sz w:val="22"/>
          <w:szCs w:val="22"/>
        </w:rPr>
        <w:t>bout 29</w:t>
      </w:r>
      <w:r w:rsidR="008772FC" w:rsidRPr="006754FB">
        <w:rPr>
          <w:rFonts w:ascii="Calibri" w:hAnsi="Calibri"/>
          <w:sz w:val="22"/>
          <w:szCs w:val="22"/>
        </w:rPr>
        <w:t xml:space="preserve">% of the </w:t>
      </w:r>
      <w:r w:rsidR="005239AD">
        <w:rPr>
          <w:rFonts w:ascii="Calibri" w:hAnsi="Calibri"/>
          <w:sz w:val="22"/>
          <w:szCs w:val="22"/>
        </w:rPr>
        <w:t>20</w:t>
      </w:r>
      <w:r w:rsidR="00EC54C6">
        <w:rPr>
          <w:rFonts w:ascii="Calibri" w:hAnsi="Calibri"/>
          <w:sz w:val="22"/>
          <w:szCs w:val="22"/>
        </w:rPr>
        <w:t>20</w:t>
      </w:r>
      <w:r w:rsidR="005239AD">
        <w:rPr>
          <w:rFonts w:ascii="Calibri" w:hAnsi="Calibri"/>
          <w:sz w:val="22"/>
          <w:szCs w:val="22"/>
        </w:rPr>
        <w:t xml:space="preserve"> </w:t>
      </w:r>
      <w:r w:rsidR="008772FC" w:rsidRPr="006754FB">
        <w:rPr>
          <w:rFonts w:ascii="Calibri" w:hAnsi="Calibri"/>
          <w:sz w:val="22"/>
          <w:szCs w:val="22"/>
        </w:rPr>
        <w:t>population</w:t>
      </w:r>
      <w:r w:rsidR="005239AD">
        <w:rPr>
          <w:rFonts w:ascii="Calibri" w:hAnsi="Calibri"/>
          <w:sz w:val="22"/>
          <w:szCs w:val="22"/>
        </w:rPr>
        <w:t xml:space="preserve">  Those</w:t>
      </w:r>
      <w:r w:rsidR="008772FC" w:rsidRPr="006754FB">
        <w:rPr>
          <w:rFonts w:ascii="Calibri" w:hAnsi="Calibri"/>
          <w:sz w:val="22"/>
          <w:szCs w:val="22"/>
        </w:rPr>
        <w:t xml:space="preserve"> enrolled in kindergarten through high school totaled</w:t>
      </w:r>
      <w:r>
        <w:rPr>
          <w:rFonts w:ascii="Calibri" w:hAnsi="Calibri"/>
          <w:sz w:val="22"/>
          <w:szCs w:val="22"/>
        </w:rPr>
        <w:t xml:space="preserve"> </w:t>
      </w:r>
      <w:r w:rsidR="005239AD">
        <w:rPr>
          <w:rFonts w:ascii="Calibri" w:hAnsi="Calibri"/>
          <w:sz w:val="22"/>
          <w:szCs w:val="22"/>
        </w:rPr>
        <w:t>7,</w:t>
      </w:r>
      <w:r w:rsidR="00EC54C6">
        <w:rPr>
          <w:rFonts w:ascii="Calibri" w:hAnsi="Calibri"/>
          <w:sz w:val="22"/>
          <w:szCs w:val="22"/>
        </w:rPr>
        <w:t>264</w:t>
      </w:r>
      <w:r>
        <w:rPr>
          <w:rFonts w:ascii="Calibri" w:hAnsi="Calibri"/>
          <w:sz w:val="22"/>
          <w:szCs w:val="22"/>
        </w:rPr>
        <w:t xml:space="preserve"> </w:t>
      </w:r>
      <w:r w:rsidR="008772FC" w:rsidRPr="006754FB">
        <w:rPr>
          <w:rFonts w:ascii="Calibri" w:hAnsi="Calibri"/>
          <w:sz w:val="22"/>
          <w:szCs w:val="22"/>
        </w:rPr>
        <w:t xml:space="preserve">students, representing </w:t>
      </w:r>
      <w:r>
        <w:rPr>
          <w:rFonts w:ascii="Calibri" w:hAnsi="Calibri"/>
          <w:sz w:val="22"/>
          <w:szCs w:val="22"/>
        </w:rPr>
        <w:t>2</w:t>
      </w:r>
      <w:r w:rsidR="00223DEA">
        <w:rPr>
          <w:rFonts w:ascii="Calibri" w:hAnsi="Calibri"/>
          <w:sz w:val="22"/>
          <w:szCs w:val="22"/>
        </w:rPr>
        <w:t>2.6</w:t>
      </w:r>
      <w:r w:rsidR="008772FC" w:rsidRPr="006754FB">
        <w:rPr>
          <w:rFonts w:ascii="Calibri" w:hAnsi="Calibri"/>
          <w:sz w:val="22"/>
          <w:szCs w:val="22"/>
        </w:rPr>
        <w:t xml:space="preserve">% of the total population.  </w:t>
      </w:r>
    </w:p>
    <w:p w14:paraId="6272820F" w14:textId="315A31ED" w:rsidR="00FF3640" w:rsidRDefault="008772FC" w:rsidP="00303F30">
      <w:pPr>
        <w:pStyle w:val="BodyText"/>
        <w:spacing w:after="0"/>
        <w:jc w:val="both"/>
        <w:rPr>
          <w:rFonts w:ascii="Calibri" w:hAnsi="Calibri"/>
          <w:sz w:val="22"/>
          <w:szCs w:val="22"/>
        </w:rPr>
      </w:pPr>
      <w:r w:rsidRPr="006754FB">
        <w:rPr>
          <w:rFonts w:ascii="Calibri" w:hAnsi="Calibri"/>
          <w:sz w:val="22"/>
          <w:szCs w:val="22"/>
        </w:rPr>
        <w:lastRenderedPageBreak/>
        <w:t>The Needham Public Schools reported a student enrollment of</w:t>
      </w:r>
      <w:r w:rsidR="00AE648C">
        <w:rPr>
          <w:rFonts w:ascii="Calibri" w:hAnsi="Calibri"/>
          <w:sz w:val="22"/>
          <w:szCs w:val="22"/>
        </w:rPr>
        <w:t xml:space="preserve"> 5,483 in the 20</w:t>
      </w:r>
      <w:r w:rsidR="00FD2505">
        <w:rPr>
          <w:rFonts w:ascii="Calibri" w:hAnsi="Calibri"/>
          <w:sz w:val="22"/>
          <w:szCs w:val="22"/>
        </w:rPr>
        <w:t>20</w:t>
      </w:r>
      <w:r w:rsidR="00AE648C">
        <w:rPr>
          <w:rFonts w:ascii="Calibri" w:hAnsi="Calibri"/>
          <w:sz w:val="22"/>
          <w:szCs w:val="22"/>
        </w:rPr>
        <w:t>-202</w:t>
      </w:r>
      <w:r w:rsidR="00FD2505">
        <w:rPr>
          <w:rFonts w:ascii="Calibri" w:hAnsi="Calibri"/>
          <w:sz w:val="22"/>
          <w:szCs w:val="22"/>
        </w:rPr>
        <w:t>1</w:t>
      </w:r>
      <w:r w:rsidR="00AE648C">
        <w:rPr>
          <w:rFonts w:ascii="Calibri" w:hAnsi="Calibri"/>
          <w:sz w:val="22"/>
          <w:szCs w:val="22"/>
        </w:rPr>
        <w:t xml:space="preserve"> school year, down from</w:t>
      </w:r>
      <w:r w:rsidRPr="006754FB">
        <w:rPr>
          <w:rFonts w:ascii="Calibri" w:hAnsi="Calibri"/>
          <w:sz w:val="22"/>
          <w:szCs w:val="22"/>
        </w:rPr>
        <w:t xml:space="preserve"> </w:t>
      </w:r>
      <w:r w:rsidR="00FF3640">
        <w:rPr>
          <w:rFonts w:ascii="Calibri" w:hAnsi="Calibri"/>
          <w:sz w:val="22"/>
          <w:szCs w:val="22"/>
        </w:rPr>
        <w:t>5,645</w:t>
      </w:r>
      <w:r w:rsidRPr="006754FB">
        <w:rPr>
          <w:rFonts w:ascii="Calibri" w:hAnsi="Calibri"/>
          <w:sz w:val="22"/>
          <w:szCs w:val="22"/>
        </w:rPr>
        <w:t xml:space="preserve"> for 201</w:t>
      </w:r>
      <w:r w:rsidR="00FF3640">
        <w:rPr>
          <w:rFonts w:ascii="Calibri" w:hAnsi="Calibri"/>
          <w:sz w:val="22"/>
          <w:szCs w:val="22"/>
        </w:rPr>
        <w:t>8</w:t>
      </w:r>
      <w:r w:rsidRPr="006754FB">
        <w:rPr>
          <w:rFonts w:ascii="Calibri" w:hAnsi="Calibri"/>
          <w:sz w:val="22"/>
          <w:szCs w:val="22"/>
        </w:rPr>
        <w:t>-201</w:t>
      </w:r>
      <w:r w:rsidR="00FF3640">
        <w:rPr>
          <w:rFonts w:ascii="Calibri" w:hAnsi="Calibri"/>
          <w:sz w:val="22"/>
          <w:szCs w:val="22"/>
        </w:rPr>
        <w:t>9</w:t>
      </w:r>
      <w:r w:rsidRPr="006754FB">
        <w:rPr>
          <w:rFonts w:ascii="Calibri" w:hAnsi="Calibri"/>
          <w:sz w:val="22"/>
          <w:szCs w:val="22"/>
        </w:rPr>
        <w:t xml:space="preserve">, </w:t>
      </w:r>
      <w:r w:rsidR="00AE648C">
        <w:rPr>
          <w:rFonts w:ascii="Calibri" w:hAnsi="Calibri"/>
          <w:sz w:val="22"/>
          <w:szCs w:val="22"/>
        </w:rPr>
        <w:t xml:space="preserve">and </w:t>
      </w:r>
      <w:r w:rsidRPr="006754FB">
        <w:rPr>
          <w:rFonts w:ascii="Calibri" w:hAnsi="Calibri"/>
          <w:sz w:val="22"/>
          <w:szCs w:val="22"/>
        </w:rPr>
        <w:t>up</w:t>
      </w:r>
      <w:r w:rsidR="00AE648C">
        <w:rPr>
          <w:rFonts w:ascii="Calibri" w:hAnsi="Calibri"/>
          <w:sz w:val="22"/>
          <w:szCs w:val="22"/>
        </w:rPr>
        <w:t xml:space="preserve"> considerably</w:t>
      </w:r>
      <w:r w:rsidRPr="006754FB">
        <w:rPr>
          <w:rFonts w:ascii="Calibri" w:hAnsi="Calibri"/>
          <w:sz w:val="22"/>
          <w:szCs w:val="22"/>
        </w:rPr>
        <w:t xml:space="preserve"> from 4,330 students during the 1999-2000 school year. </w:t>
      </w:r>
      <w:r w:rsidR="00A62CDB">
        <w:rPr>
          <w:rFonts w:ascii="Calibri" w:hAnsi="Calibri"/>
          <w:sz w:val="22"/>
          <w:szCs w:val="22"/>
        </w:rPr>
        <w:t xml:space="preserve">This data suggests that about </w:t>
      </w:r>
      <w:r w:rsidR="00F467AF">
        <w:rPr>
          <w:rFonts w:ascii="Calibri" w:hAnsi="Calibri"/>
          <w:sz w:val="22"/>
          <w:szCs w:val="22"/>
        </w:rPr>
        <w:t>1,500</w:t>
      </w:r>
      <w:r w:rsidR="00A62CDB">
        <w:rPr>
          <w:rFonts w:ascii="Calibri" w:hAnsi="Calibri"/>
          <w:sz w:val="22"/>
          <w:szCs w:val="22"/>
        </w:rPr>
        <w:t xml:space="preserve"> school-age children attend schools outside of the Needham Public School system.  Needham Public School projections also predict that student enrollments will </w:t>
      </w:r>
      <w:r w:rsidR="00FF3640">
        <w:rPr>
          <w:rFonts w:ascii="Calibri" w:hAnsi="Calibri"/>
          <w:sz w:val="22"/>
          <w:szCs w:val="22"/>
        </w:rPr>
        <w:t>grow to a peak of 5,</w:t>
      </w:r>
      <w:r w:rsidR="00E32098">
        <w:rPr>
          <w:rFonts w:ascii="Calibri" w:hAnsi="Calibri"/>
          <w:sz w:val="22"/>
          <w:szCs w:val="22"/>
        </w:rPr>
        <w:t>946</w:t>
      </w:r>
      <w:r w:rsidR="00FF3640">
        <w:rPr>
          <w:rFonts w:ascii="Calibri" w:hAnsi="Calibri"/>
          <w:sz w:val="22"/>
          <w:szCs w:val="22"/>
        </w:rPr>
        <w:t xml:space="preserve"> students in the 2025-26 school year and then decline to 5,</w:t>
      </w:r>
      <w:r w:rsidR="00E32098">
        <w:rPr>
          <w:rFonts w:ascii="Calibri" w:hAnsi="Calibri"/>
          <w:sz w:val="22"/>
          <w:szCs w:val="22"/>
        </w:rPr>
        <w:t>777</w:t>
      </w:r>
      <w:r w:rsidR="00FF3640">
        <w:rPr>
          <w:rFonts w:ascii="Calibri" w:hAnsi="Calibri"/>
          <w:sz w:val="22"/>
          <w:szCs w:val="22"/>
        </w:rPr>
        <w:t xml:space="preserve"> in 2033-2034.</w:t>
      </w:r>
      <w:r w:rsidR="00FF3640">
        <w:rPr>
          <w:rStyle w:val="FootnoteReference"/>
          <w:rFonts w:ascii="Calibri" w:hAnsi="Calibri"/>
          <w:sz w:val="22"/>
          <w:szCs w:val="22"/>
        </w:rPr>
        <w:footnoteReference w:id="18"/>
      </w:r>
    </w:p>
    <w:p w14:paraId="666E6192" w14:textId="33A218D9" w:rsidR="00AE648C" w:rsidRDefault="00AE648C" w:rsidP="00303F30">
      <w:pPr>
        <w:pStyle w:val="BodyText"/>
        <w:spacing w:after="0"/>
        <w:jc w:val="both"/>
        <w:rPr>
          <w:rFonts w:ascii="Calibri" w:hAnsi="Calibri"/>
          <w:sz w:val="22"/>
          <w:szCs w:val="22"/>
        </w:rPr>
      </w:pPr>
    </w:p>
    <w:p w14:paraId="6CA00B81" w14:textId="20462463" w:rsidR="00AE648C" w:rsidRDefault="00AE648C" w:rsidP="00303F30">
      <w:pPr>
        <w:pStyle w:val="BodyText"/>
        <w:spacing w:after="0"/>
        <w:jc w:val="both"/>
        <w:rPr>
          <w:rFonts w:ascii="Calibri" w:hAnsi="Calibri"/>
          <w:sz w:val="22"/>
          <w:szCs w:val="22"/>
        </w:rPr>
      </w:pPr>
      <w:r>
        <w:rPr>
          <w:rFonts w:ascii="Calibri" w:hAnsi="Calibri"/>
          <w:sz w:val="22"/>
          <w:szCs w:val="22"/>
        </w:rPr>
        <w:t>Figure III-7 shows the racial distribution of students enrolled in the Needham Public School system, indicating that about 25% of students were members of minority populations.  The White population</w:t>
      </w:r>
      <w:r w:rsidR="00BD6247">
        <w:rPr>
          <w:rFonts w:ascii="Calibri" w:hAnsi="Calibri"/>
          <w:sz w:val="22"/>
          <w:szCs w:val="22"/>
        </w:rPr>
        <w:t>,</w:t>
      </w:r>
      <w:r>
        <w:rPr>
          <w:rFonts w:ascii="Calibri" w:hAnsi="Calibri"/>
          <w:sz w:val="22"/>
          <w:szCs w:val="22"/>
        </w:rPr>
        <w:t xml:space="preserve"> at approximately 75% </w:t>
      </w:r>
      <w:r w:rsidR="00FD2505">
        <w:rPr>
          <w:rFonts w:ascii="Calibri" w:hAnsi="Calibri"/>
          <w:sz w:val="22"/>
          <w:szCs w:val="22"/>
        </w:rPr>
        <w:t>in 2020-2021</w:t>
      </w:r>
      <w:r w:rsidR="00BD6247">
        <w:rPr>
          <w:rFonts w:ascii="Calibri" w:hAnsi="Calibri"/>
          <w:sz w:val="22"/>
          <w:szCs w:val="22"/>
        </w:rPr>
        <w:t>,</w:t>
      </w:r>
      <w:r w:rsidR="00FD2505">
        <w:rPr>
          <w:rFonts w:ascii="Calibri" w:hAnsi="Calibri"/>
          <w:sz w:val="22"/>
          <w:szCs w:val="22"/>
        </w:rPr>
        <w:t xml:space="preserve"> </w:t>
      </w:r>
      <w:r>
        <w:rPr>
          <w:rFonts w:ascii="Calibri" w:hAnsi="Calibri"/>
          <w:sz w:val="22"/>
          <w:szCs w:val="22"/>
        </w:rPr>
        <w:t xml:space="preserve">was down from previous years, from </w:t>
      </w:r>
      <w:r w:rsidR="00FD2505">
        <w:rPr>
          <w:rFonts w:ascii="Calibri" w:hAnsi="Calibri"/>
          <w:sz w:val="22"/>
          <w:szCs w:val="22"/>
        </w:rPr>
        <w:t>84</w:t>
      </w:r>
      <w:r>
        <w:rPr>
          <w:rFonts w:ascii="Calibri" w:hAnsi="Calibri"/>
          <w:sz w:val="22"/>
          <w:szCs w:val="22"/>
        </w:rPr>
        <w:t xml:space="preserve">% in </w:t>
      </w:r>
      <w:r w:rsidR="00FD2505">
        <w:rPr>
          <w:rFonts w:ascii="Calibri" w:hAnsi="Calibri"/>
          <w:sz w:val="22"/>
          <w:szCs w:val="22"/>
        </w:rPr>
        <w:t>2010-2011</w:t>
      </w:r>
      <w:r>
        <w:rPr>
          <w:rFonts w:ascii="Calibri" w:hAnsi="Calibri"/>
          <w:sz w:val="22"/>
          <w:szCs w:val="22"/>
        </w:rPr>
        <w:t xml:space="preserve"> for example. </w:t>
      </w:r>
    </w:p>
    <w:p w14:paraId="20C22E26" w14:textId="54713B0D" w:rsidR="00AE648C" w:rsidRDefault="00AE648C" w:rsidP="00303F30">
      <w:pPr>
        <w:pStyle w:val="BodyText"/>
        <w:spacing w:after="0"/>
        <w:jc w:val="both"/>
        <w:rPr>
          <w:rFonts w:ascii="Calibri" w:hAnsi="Calibri"/>
          <w:sz w:val="22"/>
          <w:szCs w:val="22"/>
        </w:rPr>
      </w:pPr>
    </w:p>
    <w:p w14:paraId="16F333FF" w14:textId="5A25DA15" w:rsidR="00AE648C" w:rsidRPr="00AE648C" w:rsidRDefault="00AE648C" w:rsidP="00AE648C">
      <w:pPr>
        <w:pStyle w:val="BodyText"/>
        <w:spacing w:after="0"/>
        <w:jc w:val="center"/>
        <w:rPr>
          <w:rFonts w:ascii="Calibri" w:hAnsi="Calibri"/>
          <w:b/>
          <w:bCs/>
          <w:sz w:val="22"/>
          <w:szCs w:val="22"/>
        </w:rPr>
      </w:pPr>
      <w:r w:rsidRPr="00AE648C">
        <w:rPr>
          <w:rFonts w:ascii="Calibri" w:hAnsi="Calibri"/>
          <w:b/>
          <w:bCs/>
          <w:sz w:val="22"/>
          <w:szCs w:val="22"/>
        </w:rPr>
        <w:t>Figure III-</w:t>
      </w:r>
      <w:r>
        <w:rPr>
          <w:rFonts w:ascii="Calibri" w:hAnsi="Calibri"/>
          <w:b/>
          <w:bCs/>
          <w:sz w:val="22"/>
          <w:szCs w:val="22"/>
        </w:rPr>
        <w:t>7: Student Race and Ethnicity for Needham Public Schools, 202</w:t>
      </w:r>
      <w:r w:rsidR="00FD2505">
        <w:rPr>
          <w:rFonts w:ascii="Calibri" w:hAnsi="Calibri"/>
          <w:b/>
          <w:bCs/>
          <w:sz w:val="22"/>
          <w:szCs w:val="22"/>
        </w:rPr>
        <w:t>0</w:t>
      </w:r>
      <w:r>
        <w:rPr>
          <w:rFonts w:ascii="Calibri" w:hAnsi="Calibri"/>
          <w:b/>
          <w:bCs/>
          <w:sz w:val="22"/>
          <w:szCs w:val="22"/>
        </w:rPr>
        <w:t>-202</w:t>
      </w:r>
      <w:r w:rsidR="00FD2505">
        <w:rPr>
          <w:rFonts w:ascii="Calibri" w:hAnsi="Calibri"/>
          <w:b/>
          <w:bCs/>
          <w:sz w:val="22"/>
          <w:szCs w:val="22"/>
        </w:rPr>
        <w:t>1</w:t>
      </w:r>
    </w:p>
    <w:p w14:paraId="3B9A61F1" w14:textId="2827C808" w:rsidR="00AE648C" w:rsidRDefault="00AE648C" w:rsidP="00AE648C">
      <w:pPr>
        <w:pStyle w:val="BodyText"/>
        <w:spacing w:after="0"/>
        <w:jc w:val="center"/>
        <w:rPr>
          <w:rFonts w:ascii="Calibri" w:hAnsi="Calibri"/>
          <w:sz w:val="22"/>
          <w:szCs w:val="22"/>
        </w:rPr>
      </w:pPr>
      <w:r>
        <w:rPr>
          <w:rFonts w:ascii="Calibri" w:hAnsi="Calibri"/>
          <w:noProof/>
          <w:sz w:val="22"/>
          <w:szCs w:val="22"/>
        </w:rPr>
        <w:drawing>
          <wp:inline distT="0" distB="0" distL="0" distR="0" wp14:anchorId="25B41B03" wp14:editId="598A428C">
            <wp:extent cx="381000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pic:spPr>
                </pic:pic>
              </a:graphicData>
            </a:graphic>
          </wp:inline>
        </w:drawing>
      </w:r>
    </w:p>
    <w:p w14:paraId="6CFC992C" w14:textId="3DEEB438" w:rsidR="00F467AF" w:rsidRDefault="00650346" w:rsidP="00FD2505">
      <w:pPr>
        <w:jc w:val="both"/>
        <w:rPr>
          <w:rFonts w:asciiTheme="minorHAnsi" w:hAnsiTheme="minorHAnsi" w:cstheme="minorHAnsi"/>
          <w:color w:val="333333"/>
          <w:sz w:val="22"/>
          <w:szCs w:val="22"/>
          <w:shd w:val="clear" w:color="auto" w:fill="FFFFFF"/>
        </w:rPr>
      </w:pPr>
      <w:r>
        <w:rPr>
          <w:rFonts w:ascii="Calibri" w:hAnsi="Calibri"/>
          <w:sz w:val="22"/>
          <w:szCs w:val="22"/>
        </w:rPr>
        <w:t>F</w:t>
      </w:r>
      <w:r w:rsidR="00FD2505">
        <w:rPr>
          <w:rFonts w:ascii="Calibri" w:hAnsi="Calibri"/>
          <w:sz w:val="22"/>
          <w:szCs w:val="22"/>
        </w:rPr>
        <w:t>igure III-8 presents the distribution of selected populations for 2020-2021, showing significant special needs and that 6.4% of students were economically disadvantaged and eligible for free or reduced-priced meals from the U.S. Department of Agriculture’s school nutrition program.</w:t>
      </w:r>
      <w:r>
        <w:rPr>
          <w:rFonts w:ascii="Calibri" w:hAnsi="Calibri"/>
          <w:sz w:val="22"/>
          <w:szCs w:val="22"/>
        </w:rPr>
        <w:t xml:space="preserve"> To qualify, the student must be part of a</w:t>
      </w:r>
      <w:r w:rsidRPr="00650346">
        <w:rPr>
          <w:rFonts w:asciiTheme="minorHAnsi" w:hAnsiTheme="minorHAnsi" w:cstheme="minorHAnsi"/>
          <w:color w:val="333333"/>
          <w:sz w:val="22"/>
          <w:szCs w:val="22"/>
          <w:shd w:val="clear" w:color="auto" w:fill="FFFFFF"/>
        </w:rPr>
        <w:t xml:space="preserve"> household receiving supplemental nutrition assistance program </w:t>
      </w:r>
      <w:r>
        <w:rPr>
          <w:rFonts w:asciiTheme="minorHAnsi" w:hAnsiTheme="minorHAnsi" w:cstheme="minorHAnsi"/>
          <w:color w:val="333333"/>
          <w:sz w:val="22"/>
          <w:szCs w:val="22"/>
          <w:shd w:val="clear" w:color="auto" w:fill="FFFFFF"/>
        </w:rPr>
        <w:t xml:space="preserve">(SNAP) </w:t>
      </w:r>
      <w:r w:rsidRPr="00650346">
        <w:rPr>
          <w:rFonts w:asciiTheme="minorHAnsi" w:hAnsiTheme="minorHAnsi" w:cstheme="minorHAnsi"/>
          <w:color w:val="333333"/>
          <w:sz w:val="22"/>
          <w:szCs w:val="22"/>
          <w:shd w:val="clear" w:color="auto" w:fill="FFFFFF"/>
        </w:rPr>
        <w:t>or temporary assistance for needy families</w:t>
      </w:r>
      <w:r w:rsidR="00500A48">
        <w:rPr>
          <w:rFonts w:asciiTheme="minorHAnsi" w:hAnsiTheme="minorHAnsi" w:cstheme="minorHAnsi"/>
          <w:color w:val="333333"/>
          <w:sz w:val="22"/>
          <w:szCs w:val="22"/>
          <w:shd w:val="clear" w:color="auto" w:fill="FFFFFF"/>
        </w:rPr>
        <w:t>,</w:t>
      </w:r>
      <w:r w:rsidRPr="00650346">
        <w:rPr>
          <w:rFonts w:asciiTheme="minorHAnsi" w:hAnsiTheme="minorHAnsi" w:cstheme="minorHAnsi"/>
          <w:color w:val="333333"/>
          <w:sz w:val="22"/>
          <w:szCs w:val="22"/>
          <w:shd w:val="clear" w:color="auto" w:fill="FFFFFF"/>
        </w:rPr>
        <w:t xml:space="preserve"> or homeless, </w:t>
      </w:r>
      <w:r>
        <w:rPr>
          <w:rFonts w:asciiTheme="minorHAnsi" w:hAnsiTheme="minorHAnsi" w:cstheme="minorHAnsi"/>
          <w:color w:val="333333"/>
          <w:sz w:val="22"/>
          <w:szCs w:val="22"/>
          <w:shd w:val="clear" w:color="auto" w:fill="FFFFFF"/>
        </w:rPr>
        <w:t xml:space="preserve">a </w:t>
      </w:r>
      <w:r w:rsidRPr="00650346">
        <w:rPr>
          <w:rFonts w:asciiTheme="minorHAnsi" w:hAnsiTheme="minorHAnsi" w:cstheme="minorHAnsi"/>
          <w:color w:val="333333"/>
          <w:sz w:val="22"/>
          <w:szCs w:val="22"/>
          <w:shd w:val="clear" w:color="auto" w:fill="FFFFFF"/>
        </w:rPr>
        <w:t>migrant, or in foster care</w:t>
      </w:r>
      <w:r>
        <w:rPr>
          <w:rFonts w:asciiTheme="minorHAnsi" w:hAnsiTheme="minorHAnsi" w:cstheme="minorHAnsi"/>
          <w:color w:val="333333"/>
          <w:sz w:val="22"/>
          <w:szCs w:val="22"/>
          <w:shd w:val="clear" w:color="auto" w:fill="FFFFFF"/>
        </w:rPr>
        <w:t>.</w:t>
      </w:r>
    </w:p>
    <w:p w14:paraId="5DF45589" w14:textId="0EE7106F" w:rsidR="008772FC" w:rsidRPr="00AE648C" w:rsidRDefault="00AE648C" w:rsidP="00AE648C">
      <w:pPr>
        <w:jc w:val="center"/>
        <w:rPr>
          <w:rFonts w:ascii="Calibri" w:hAnsi="Calibri"/>
          <w:b/>
          <w:bCs/>
          <w:sz w:val="22"/>
          <w:szCs w:val="22"/>
        </w:rPr>
      </w:pPr>
      <w:r>
        <w:rPr>
          <w:rFonts w:ascii="Calibri" w:hAnsi="Calibri"/>
          <w:b/>
          <w:bCs/>
          <w:sz w:val="22"/>
          <w:szCs w:val="22"/>
        </w:rPr>
        <w:t>Figure III-8:  Selected Populations for Needham Public Schools, 202</w:t>
      </w:r>
      <w:r w:rsidR="00FD2505">
        <w:rPr>
          <w:rFonts w:ascii="Calibri" w:hAnsi="Calibri"/>
          <w:b/>
          <w:bCs/>
          <w:sz w:val="22"/>
          <w:szCs w:val="22"/>
        </w:rPr>
        <w:t>0</w:t>
      </w:r>
      <w:r>
        <w:rPr>
          <w:rFonts w:ascii="Calibri" w:hAnsi="Calibri"/>
          <w:b/>
          <w:bCs/>
          <w:sz w:val="22"/>
          <w:szCs w:val="22"/>
        </w:rPr>
        <w:t>-202</w:t>
      </w:r>
      <w:r w:rsidR="00FD2505">
        <w:rPr>
          <w:rFonts w:ascii="Calibri" w:hAnsi="Calibri"/>
          <w:b/>
          <w:bCs/>
          <w:sz w:val="22"/>
          <w:szCs w:val="22"/>
        </w:rPr>
        <w:t>1</w:t>
      </w:r>
    </w:p>
    <w:p w14:paraId="6BB5ECAC" w14:textId="0FFC95B8" w:rsidR="00AE648C" w:rsidRDefault="00AE648C" w:rsidP="00AE648C">
      <w:pPr>
        <w:jc w:val="center"/>
        <w:rPr>
          <w:rFonts w:ascii="Calibri" w:hAnsi="Calibri"/>
          <w:sz w:val="22"/>
          <w:szCs w:val="22"/>
        </w:rPr>
      </w:pPr>
      <w:r>
        <w:rPr>
          <w:rFonts w:ascii="Calibri" w:hAnsi="Calibri"/>
          <w:noProof/>
          <w:sz w:val="22"/>
          <w:szCs w:val="22"/>
        </w:rPr>
        <w:drawing>
          <wp:inline distT="0" distB="0" distL="0" distR="0" wp14:anchorId="34ECFE2B" wp14:editId="53A5856D">
            <wp:extent cx="38100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pic:spPr>
                </pic:pic>
              </a:graphicData>
            </a:graphic>
          </wp:inline>
        </w:drawing>
      </w:r>
    </w:p>
    <w:p w14:paraId="01824BAE" w14:textId="7BB27F87" w:rsidR="008772FC" w:rsidRPr="006065C2" w:rsidRDefault="00CC15E1" w:rsidP="00303F30">
      <w:pPr>
        <w:pStyle w:val="Heading3"/>
        <w:spacing w:before="0"/>
        <w:ind w:right="90"/>
        <w:jc w:val="both"/>
        <w:rPr>
          <w:rFonts w:asciiTheme="minorHAnsi" w:hAnsiTheme="minorHAnsi"/>
          <w:b w:val="0"/>
          <w:bCs w:val="0"/>
          <w:color w:val="1F497D" w:themeColor="text2"/>
        </w:rPr>
      </w:pPr>
      <w:bookmarkStart w:id="7" w:name="_Toc2252331"/>
      <w:r>
        <w:rPr>
          <w:rFonts w:asciiTheme="minorHAnsi" w:hAnsiTheme="minorHAnsi"/>
          <w:color w:val="1F497D" w:themeColor="text2"/>
        </w:rPr>
        <w:lastRenderedPageBreak/>
        <w:t>5</w:t>
      </w:r>
      <w:r w:rsidR="008772FC">
        <w:rPr>
          <w:rFonts w:asciiTheme="minorHAnsi" w:hAnsiTheme="minorHAnsi"/>
          <w:color w:val="1F497D" w:themeColor="text2"/>
        </w:rPr>
        <w:t>.</w:t>
      </w:r>
      <w:r w:rsidR="008772FC" w:rsidRPr="006065C2">
        <w:rPr>
          <w:rFonts w:asciiTheme="minorHAnsi" w:hAnsiTheme="minorHAnsi"/>
          <w:color w:val="1F497D" w:themeColor="text2"/>
        </w:rPr>
        <w:tab/>
        <w:t xml:space="preserve">Disability Status – </w:t>
      </w:r>
      <w:r w:rsidR="00F51013">
        <w:rPr>
          <w:rFonts w:asciiTheme="minorHAnsi" w:hAnsiTheme="minorHAnsi"/>
          <w:color w:val="1F497D" w:themeColor="text2"/>
        </w:rPr>
        <w:t>More than</w:t>
      </w:r>
      <w:r w:rsidR="004F4680">
        <w:rPr>
          <w:rFonts w:asciiTheme="minorHAnsi" w:hAnsiTheme="minorHAnsi"/>
          <w:color w:val="1F497D" w:themeColor="text2"/>
        </w:rPr>
        <w:t xml:space="preserve"> 2,</w:t>
      </w:r>
      <w:r w:rsidR="00E4417D">
        <w:rPr>
          <w:rFonts w:asciiTheme="minorHAnsi" w:hAnsiTheme="minorHAnsi"/>
          <w:color w:val="1F497D" w:themeColor="text2"/>
        </w:rPr>
        <w:t>2</w:t>
      </w:r>
      <w:r w:rsidR="004F4680">
        <w:rPr>
          <w:rFonts w:asciiTheme="minorHAnsi" w:hAnsiTheme="minorHAnsi"/>
          <w:color w:val="1F497D" w:themeColor="text2"/>
        </w:rPr>
        <w:t>00 residents claimed a disability</w:t>
      </w:r>
      <w:bookmarkEnd w:id="7"/>
      <w:r w:rsidR="008772FC" w:rsidRPr="006065C2">
        <w:rPr>
          <w:rFonts w:asciiTheme="minorHAnsi" w:hAnsiTheme="minorHAnsi"/>
          <w:color w:val="1F497D" w:themeColor="text2"/>
        </w:rPr>
        <w:t xml:space="preserve"> </w:t>
      </w:r>
    </w:p>
    <w:p w14:paraId="7E9DFCB1" w14:textId="74868FEC" w:rsidR="008772FC" w:rsidRPr="004E50E7" w:rsidRDefault="00D447B1" w:rsidP="00303F30">
      <w:pPr>
        <w:ind w:right="90"/>
        <w:jc w:val="both"/>
        <w:rPr>
          <w:rFonts w:ascii="Calibri" w:hAnsi="Calibri"/>
          <w:sz w:val="22"/>
          <w:szCs w:val="22"/>
        </w:rPr>
      </w:pPr>
      <w:r>
        <w:rPr>
          <w:rFonts w:ascii="Calibri" w:hAnsi="Calibri"/>
          <w:sz w:val="22"/>
          <w:szCs w:val="22"/>
        </w:rPr>
        <w:t>The 20</w:t>
      </w:r>
      <w:r w:rsidR="00E4417D">
        <w:rPr>
          <w:rFonts w:ascii="Calibri" w:hAnsi="Calibri"/>
          <w:sz w:val="22"/>
          <w:szCs w:val="22"/>
        </w:rPr>
        <w:t>20</w:t>
      </w:r>
      <w:r>
        <w:rPr>
          <w:rFonts w:ascii="Calibri" w:hAnsi="Calibri"/>
          <w:sz w:val="22"/>
          <w:szCs w:val="22"/>
        </w:rPr>
        <w:t xml:space="preserve"> c</w:t>
      </w:r>
      <w:r w:rsidR="00FF11DE">
        <w:rPr>
          <w:rFonts w:ascii="Calibri" w:hAnsi="Calibri"/>
          <w:sz w:val="22"/>
          <w:szCs w:val="22"/>
        </w:rPr>
        <w:t>ensus estimates</w:t>
      </w:r>
      <w:r w:rsidR="008772FC" w:rsidRPr="004E50E7">
        <w:rPr>
          <w:rFonts w:ascii="Calibri" w:hAnsi="Calibri"/>
          <w:sz w:val="22"/>
          <w:szCs w:val="22"/>
        </w:rPr>
        <w:t xml:space="preserve">, as summarized in Table </w:t>
      </w:r>
      <w:r w:rsidR="00321F03">
        <w:rPr>
          <w:rFonts w:ascii="Calibri" w:hAnsi="Calibri"/>
          <w:sz w:val="22"/>
          <w:szCs w:val="22"/>
        </w:rPr>
        <w:t>III-19</w:t>
      </w:r>
      <w:r w:rsidR="008772FC" w:rsidRPr="004E50E7">
        <w:rPr>
          <w:rFonts w:ascii="Calibri" w:hAnsi="Calibri"/>
          <w:sz w:val="22"/>
          <w:szCs w:val="22"/>
        </w:rPr>
        <w:t xml:space="preserve">, indicate that </w:t>
      </w:r>
      <w:r w:rsidR="00E4417D">
        <w:rPr>
          <w:rFonts w:ascii="Calibri" w:hAnsi="Calibri"/>
          <w:sz w:val="22"/>
          <w:szCs w:val="22"/>
        </w:rPr>
        <w:t>2,262</w:t>
      </w:r>
      <w:r w:rsidR="008772FC" w:rsidRPr="004E50E7">
        <w:rPr>
          <w:rFonts w:ascii="Calibri" w:hAnsi="Calibri"/>
          <w:sz w:val="22"/>
          <w:szCs w:val="22"/>
        </w:rPr>
        <w:t xml:space="preserve"> residents, or </w:t>
      </w:r>
      <w:r w:rsidR="00E4417D">
        <w:rPr>
          <w:rFonts w:ascii="Calibri" w:hAnsi="Calibri"/>
          <w:sz w:val="22"/>
          <w:szCs w:val="22"/>
        </w:rPr>
        <w:t>7</w:t>
      </w:r>
      <w:r w:rsidR="00321F03">
        <w:rPr>
          <w:rFonts w:ascii="Calibri" w:hAnsi="Calibri"/>
          <w:sz w:val="22"/>
          <w:szCs w:val="22"/>
        </w:rPr>
        <w:t>.4</w:t>
      </w:r>
      <w:r w:rsidR="008772FC" w:rsidRPr="004E50E7">
        <w:rPr>
          <w:rFonts w:ascii="Calibri" w:hAnsi="Calibri"/>
          <w:sz w:val="22"/>
          <w:szCs w:val="22"/>
        </w:rPr>
        <w:t xml:space="preserve">% of all </w:t>
      </w:r>
      <w:r w:rsidR="00321F03">
        <w:rPr>
          <w:rFonts w:ascii="Calibri" w:hAnsi="Calibri"/>
          <w:sz w:val="22"/>
          <w:szCs w:val="22"/>
        </w:rPr>
        <w:t xml:space="preserve">civilian, noninstitutionalized </w:t>
      </w:r>
      <w:r w:rsidR="008772FC" w:rsidRPr="004E50E7">
        <w:rPr>
          <w:rFonts w:ascii="Calibri" w:hAnsi="Calibri"/>
          <w:sz w:val="22"/>
          <w:szCs w:val="22"/>
        </w:rPr>
        <w:t xml:space="preserve">residents, </w:t>
      </w:r>
      <w:r w:rsidR="008772FC">
        <w:rPr>
          <w:rFonts w:ascii="Calibri" w:hAnsi="Calibri"/>
          <w:sz w:val="22"/>
          <w:szCs w:val="22"/>
        </w:rPr>
        <w:t xml:space="preserve">identified themselves as having </w:t>
      </w:r>
      <w:r w:rsidR="008772FC" w:rsidRPr="004E50E7">
        <w:rPr>
          <w:rFonts w:ascii="Calibri" w:hAnsi="Calibri"/>
          <w:sz w:val="22"/>
          <w:szCs w:val="22"/>
        </w:rPr>
        <w:t>a disability.</w:t>
      </w:r>
      <w:r w:rsidR="008772FC" w:rsidRPr="004E50E7">
        <w:rPr>
          <w:rStyle w:val="FootnoteReference"/>
          <w:sz w:val="22"/>
          <w:szCs w:val="22"/>
        </w:rPr>
        <w:footnoteReference w:id="19"/>
      </w:r>
      <w:r w:rsidR="008772FC" w:rsidRPr="004E50E7">
        <w:rPr>
          <w:rFonts w:ascii="Calibri" w:hAnsi="Calibri"/>
          <w:sz w:val="22"/>
          <w:szCs w:val="22"/>
        </w:rPr>
        <w:t xml:space="preserve">  Of these, </w:t>
      </w:r>
      <w:r w:rsidR="00E4417D">
        <w:rPr>
          <w:rFonts w:ascii="Calibri" w:hAnsi="Calibri"/>
          <w:sz w:val="22"/>
          <w:szCs w:val="22"/>
        </w:rPr>
        <w:t>171</w:t>
      </w:r>
      <w:r w:rsidR="008772FC" w:rsidRPr="004E50E7">
        <w:rPr>
          <w:rFonts w:ascii="Calibri" w:hAnsi="Calibri"/>
          <w:sz w:val="22"/>
          <w:szCs w:val="22"/>
        </w:rPr>
        <w:t xml:space="preserve"> were under the age of 18,</w:t>
      </w:r>
      <w:r w:rsidR="00E4417D">
        <w:rPr>
          <w:rFonts w:ascii="Calibri" w:hAnsi="Calibri"/>
          <w:sz w:val="22"/>
          <w:szCs w:val="22"/>
        </w:rPr>
        <w:t xml:space="preserve">650 </w:t>
      </w:r>
      <w:r w:rsidR="008772FC" w:rsidRPr="004E50E7">
        <w:rPr>
          <w:rFonts w:ascii="Calibri" w:hAnsi="Calibri"/>
          <w:sz w:val="22"/>
          <w:szCs w:val="22"/>
        </w:rPr>
        <w:t xml:space="preserve">between </w:t>
      </w:r>
      <w:r w:rsidR="00A62CDB">
        <w:rPr>
          <w:rFonts w:ascii="Calibri" w:hAnsi="Calibri"/>
          <w:sz w:val="22"/>
          <w:szCs w:val="22"/>
        </w:rPr>
        <w:t>age</w:t>
      </w:r>
      <w:r>
        <w:rPr>
          <w:rFonts w:ascii="Calibri" w:hAnsi="Calibri"/>
          <w:sz w:val="22"/>
          <w:szCs w:val="22"/>
        </w:rPr>
        <w:t>s</w:t>
      </w:r>
      <w:r w:rsidR="00A62CDB">
        <w:rPr>
          <w:rFonts w:ascii="Calibri" w:hAnsi="Calibri"/>
          <w:sz w:val="22"/>
          <w:szCs w:val="22"/>
        </w:rPr>
        <w:t xml:space="preserve"> </w:t>
      </w:r>
      <w:r w:rsidR="008772FC" w:rsidRPr="004E50E7">
        <w:rPr>
          <w:rFonts w:ascii="Calibri" w:hAnsi="Calibri"/>
          <w:sz w:val="22"/>
          <w:szCs w:val="22"/>
        </w:rPr>
        <w:t xml:space="preserve">18 and 64, and </w:t>
      </w:r>
      <w:r w:rsidR="00321F03">
        <w:rPr>
          <w:rFonts w:ascii="Calibri" w:hAnsi="Calibri"/>
          <w:sz w:val="22"/>
          <w:szCs w:val="22"/>
        </w:rPr>
        <w:t>1,</w:t>
      </w:r>
      <w:r w:rsidR="00E4417D">
        <w:rPr>
          <w:rFonts w:ascii="Calibri" w:hAnsi="Calibri"/>
          <w:sz w:val="22"/>
          <w:szCs w:val="22"/>
        </w:rPr>
        <w:t>44</w:t>
      </w:r>
      <w:r w:rsidR="00321F03">
        <w:rPr>
          <w:rFonts w:ascii="Calibri" w:hAnsi="Calibri"/>
          <w:sz w:val="22"/>
          <w:szCs w:val="22"/>
        </w:rPr>
        <w:t>1</w:t>
      </w:r>
      <w:r w:rsidR="008772FC" w:rsidRPr="004E50E7">
        <w:rPr>
          <w:rFonts w:ascii="Calibri" w:hAnsi="Calibri"/>
          <w:sz w:val="22"/>
          <w:szCs w:val="22"/>
        </w:rPr>
        <w:t xml:space="preserve"> were 65</w:t>
      </w:r>
      <w:r w:rsidR="00A62CDB">
        <w:rPr>
          <w:rFonts w:ascii="Calibri" w:hAnsi="Calibri"/>
          <w:sz w:val="22"/>
          <w:szCs w:val="22"/>
        </w:rPr>
        <w:t xml:space="preserve"> years</w:t>
      </w:r>
      <w:r w:rsidR="008772FC" w:rsidRPr="004E50E7">
        <w:rPr>
          <w:rFonts w:ascii="Calibri" w:hAnsi="Calibri"/>
          <w:sz w:val="22"/>
          <w:szCs w:val="22"/>
        </w:rPr>
        <w:t xml:space="preserve"> or older.  These levels of disability are l</w:t>
      </w:r>
      <w:r w:rsidR="00321F03">
        <w:rPr>
          <w:rFonts w:ascii="Calibri" w:hAnsi="Calibri"/>
          <w:sz w:val="22"/>
          <w:szCs w:val="22"/>
        </w:rPr>
        <w:t>argely l</w:t>
      </w:r>
      <w:r w:rsidR="008772FC" w:rsidRPr="004E50E7">
        <w:rPr>
          <w:rFonts w:ascii="Calibri" w:hAnsi="Calibri"/>
          <w:sz w:val="22"/>
          <w:szCs w:val="22"/>
        </w:rPr>
        <w:t xml:space="preserve">ess than </w:t>
      </w:r>
      <w:r w:rsidR="00321F03">
        <w:rPr>
          <w:rFonts w:ascii="Calibri" w:hAnsi="Calibri"/>
          <w:sz w:val="22"/>
          <w:szCs w:val="22"/>
        </w:rPr>
        <w:t xml:space="preserve">county and </w:t>
      </w:r>
      <w:r w:rsidR="008772FC" w:rsidRPr="004E50E7">
        <w:rPr>
          <w:rFonts w:ascii="Calibri" w:hAnsi="Calibri"/>
          <w:sz w:val="22"/>
          <w:szCs w:val="22"/>
        </w:rPr>
        <w:t xml:space="preserve">statewide figures, but still represent </w:t>
      </w:r>
      <w:r w:rsidR="004F4680">
        <w:rPr>
          <w:rFonts w:ascii="Calibri" w:hAnsi="Calibri"/>
          <w:sz w:val="22"/>
          <w:szCs w:val="22"/>
        </w:rPr>
        <w:t xml:space="preserve">notable </w:t>
      </w:r>
      <w:r w:rsidR="008772FC" w:rsidRPr="004E50E7">
        <w:rPr>
          <w:rFonts w:ascii="Calibri" w:hAnsi="Calibri"/>
          <w:sz w:val="22"/>
          <w:szCs w:val="22"/>
        </w:rPr>
        <w:t>special needs within the Needham community and suggest that the Town make a concerted effort to produce special needs housing units that are handicapped accessible and</w:t>
      </w:r>
      <w:r w:rsidR="00A62CDB">
        <w:rPr>
          <w:rFonts w:ascii="Calibri" w:hAnsi="Calibri"/>
          <w:sz w:val="22"/>
          <w:szCs w:val="22"/>
        </w:rPr>
        <w:t>/or have</w:t>
      </w:r>
      <w:r w:rsidR="008772FC" w:rsidRPr="004E50E7">
        <w:rPr>
          <w:rFonts w:ascii="Calibri" w:hAnsi="Calibri"/>
          <w:sz w:val="22"/>
          <w:szCs w:val="22"/>
        </w:rPr>
        <w:t xml:space="preserve"> supportive services.</w:t>
      </w:r>
    </w:p>
    <w:p w14:paraId="2F6770D8" w14:textId="02D3F941" w:rsidR="00514DF3" w:rsidRPr="00514DF3" w:rsidRDefault="00514DF3" w:rsidP="00514DF3">
      <w:pPr>
        <w:pStyle w:val="Heading4"/>
        <w:jc w:val="center"/>
        <w:rPr>
          <w:rFonts w:asciiTheme="minorHAnsi" w:hAnsiTheme="minorHAnsi" w:cstheme="minorHAnsi"/>
          <w:bCs w:val="0"/>
          <w:i w:val="0"/>
          <w:iCs w:val="0"/>
          <w:color w:val="auto"/>
          <w:sz w:val="22"/>
          <w:szCs w:val="22"/>
        </w:rPr>
      </w:pPr>
      <w:r w:rsidRPr="00514DF3">
        <w:rPr>
          <w:rFonts w:asciiTheme="minorHAnsi" w:hAnsiTheme="minorHAnsi" w:cstheme="minorHAnsi"/>
          <w:i w:val="0"/>
          <w:iCs w:val="0"/>
          <w:color w:val="auto"/>
          <w:sz w:val="22"/>
          <w:szCs w:val="22"/>
        </w:rPr>
        <w:t xml:space="preserve">Table </w:t>
      </w:r>
      <w:r w:rsidR="00A82887">
        <w:rPr>
          <w:rFonts w:asciiTheme="minorHAnsi" w:hAnsiTheme="minorHAnsi" w:cstheme="minorHAnsi"/>
          <w:i w:val="0"/>
          <w:iCs w:val="0"/>
          <w:color w:val="auto"/>
          <w:sz w:val="22"/>
          <w:szCs w:val="22"/>
        </w:rPr>
        <w:t>I</w:t>
      </w:r>
      <w:r w:rsidRPr="00514DF3">
        <w:rPr>
          <w:rFonts w:asciiTheme="minorHAnsi" w:hAnsiTheme="minorHAnsi" w:cstheme="minorHAnsi"/>
          <w:i w:val="0"/>
          <w:iCs w:val="0"/>
          <w:color w:val="auto"/>
          <w:sz w:val="22"/>
          <w:szCs w:val="22"/>
        </w:rPr>
        <w:t>II-1</w:t>
      </w:r>
      <w:r w:rsidR="00A82887">
        <w:rPr>
          <w:rFonts w:asciiTheme="minorHAnsi" w:hAnsiTheme="minorHAnsi" w:cstheme="minorHAnsi"/>
          <w:i w:val="0"/>
          <w:iCs w:val="0"/>
          <w:color w:val="auto"/>
          <w:sz w:val="22"/>
          <w:szCs w:val="22"/>
        </w:rPr>
        <w:t>9</w:t>
      </w:r>
      <w:r w:rsidRPr="00514DF3">
        <w:rPr>
          <w:rFonts w:asciiTheme="minorHAnsi" w:hAnsiTheme="minorHAnsi" w:cstheme="minorHAnsi"/>
          <w:i w:val="0"/>
          <w:iCs w:val="0"/>
          <w:color w:val="auto"/>
          <w:sz w:val="22"/>
          <w:szCs w:val="22"/>
        </w:rPr>
        <w:t xml:space="preserve">: </w:t>
      </w:r>
      <w:r w:rsidRPr="00514DF3">
        <w:rPr>
          <w:rFonts w:asciiTheme="minorHAnsi" w:hAnsiTheme="minorHAnsi" w:cstheme="minorHAnsi"/>
          <w:bCs w:val="0"/>
          <w:i w:val="0"/>
          <w:iCs w:val="0"/>
          <w:color w:val="auto"/>
          <w:sz w:val="22"/>
          <w:szCs w:val="22"/>
        </w:rPr>
        <w:t>Civilian Noninstitutionalized Population with a Physical Disability, 20</w:t>
      </w:r>
      <w:r w:rsidR="00A232CC">
        <w:rPr>
          <w:rFonts w:asciiTheme="minorHAnsi" w:hAnsiTheme="minorHAnsi" w:cstheme="minorHAnsi"/>
          <w:bCs w:val="0"/>
          <w:i w:val="0"/>
          <w:iCs w:val="0"/>
          <w:color w:val="auto"/>
          <w:sz w:val="22"/>
          <w:szCs w:val="22"/>
        </w:rPr>
        <w:t>20</w:t>
      </w:r>
    </w:p>
    <w:tbl>
      <w:tblPr>
        <w:tblW w:w="4214" w:type="pct"/>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1060"/>
        <w:gridCol w:w="1028"/>
        <w:gridCol w:w="1304"/>
        <w:gridCol w:w="20"/>
        <w:gridCol w:w="1423"/>
      </w:tblGrid>
      <w:tr w:rsidR="00514DF3" w14:paraId="15782D62" w14:textId="77777777" w:rsidTr="00A232CC">
        <w:tc>
          <w:tcPr>
            <w:tcW w:w="1929" w:type="pct"/>
            <w:vMerge w:val="restart"/>
            <w:tcBorders>
              <w:top w:val="single" w:sz="4" w:space="0" w:color="auto"/>
              <w:left w:val="single" w:sz="4" w:space="0" w:color="auto"/>
              <w:right w:val="single" w:sz="4" w:space="0" w:color="auto"/>
            </w:tcBorders>
          </w:tcPr>
          <w:p w14:paraId="2E60DE32" w14:textId="77777777" w:rsidR="00514DF3" w:rsidRPr="00514DF3" w:rsidRDefault="00514DF3" w:rsidP="00514DF3">
            <w:pPr>
              <w:pStyle w:val="Heading8"/>
              <w:spacing w:before="0"/>
              <w:rPr>
                <w:rFonts w:ascii="Calibri" w:hAnsi="Calibri" w:cs="Arial"/>
                <w:b/>
                <w:bCs/>
                <w:szCs w:val="22"/>
              </w:rPr>
            </w:pPr>
            <w:r w:rsidRPr="00514DF3">
              <w:rPr>
                <w:rFonts w:ascii="Calibri" w:hAnsi="Calibri" w:cs="Arial"/>
                <w:b/>
                <w:bCs/>
                <w:szCs w:val="22"/>
              </w:rPr>
              <w:t>Age Range</w:t>
            </w:r>
          </w:p>
        </w:tc>
        <w:tc>
          <w:tcPr>
            <w:tcW w:w="1326" w:type="pct"/>
            <w:gridSpan w:val="2"/>
            <w:tcBorders>
              <w:top w:val="single" w:sz="4" w:space="0" w:color="auto"/>
              <w:left w:val="single" w:sz="4" w:space="0" w:color="auto"/>
              <w:bottom w:val="single" w:sz="4" w:space="0" w:color="auto"/>
              <w:right w:val="single" w:sz="4" w:space="0" w:color="auto"/>
            </w:tcBorders>
          </w:tcPr>
          <w:p w14:paraId="5538E1D4" w14:textId="22158CEC" w:rsidR="00514DF3" w:rsidRPr="00514DF3" w:rsidRDefault="00514DF3" w:rsidP="00514DF3">
            <w:pPr>
              <w:pStyle w:val="Heading8"/>
              <w:spacing w:before="0"/>
              <w:rPr>
                <w:rFonts w:ascii="Calibri" w:hAnsi="Calibri" w:cs="Arial"/>
                <w:b/>
                <w:bCs/>
                <w:szCs w:val="22"/>
              </w:rPr>
            </w:pPr>
            <w:r>
              <w:rPr>
                <w:rFonts w:ascii="Calibri" w:hAnsi="Calibri" w:cs="Arial"/>
                <w:b/>
                <w:bCs/>
                <w:szCs w:val="22"/>
              </w:rPr>
              <w:t>Needham</w:t>
            </w:r>
          </w:p>
        </w:tc>
        <w:tc>
          <w:tcPr>
            <w:tcW w:w="828" w:type="pct"/>
            <w:tcBorders>
              <w:top w:val="single" w:sz="4" w:space="0" w:color="auto"/>
              <w:left w:val="single" w:sz="4" w:space="0" w:color="auto"/>
              <w:bottom w:val="single" w:sz="4" w:space="0" w:color="auto"/>
              <w:right w:val="single" w:sz="12" w:space="0" w:color="auto"/>
            </w:tcBorders>
          </w:tcPr>
          <w:p w14:paraId="023C6EAA" w14:textId="77777777" w:rsidR="00514DF3" w:rsidRPr="00514DF3" w:rsidRDefault="00514DF3" w:rsidP="00514DF3">
            <w:pPr>
              <w:ind w:right="-720"/>
              <w:jc w:val="both"/>
              <w:rPr>
                <w:rFonts w:ascii="Calibri" w:hAnsi="Calibri" w:cs="Arial"/>
                <w:b/>
                <w:bCs/>
              </w:rPr>
            </w:pPr>
            <w:r w:rsidRPr="00514DF3">
              <w:rPr>
                <w:rFonts w:ascii="Calibri" w:hAnsi="Calibri" w:cs="Arial"/>
                <w:b/>
                <w:bCs/>
                <w:sz w:val="22"/>
                <w:szCs w:val="22"/>
              </w:rPr>
              <w:t>County</w:t>
            </w:r>
          </w:p>
        </w:tc>
        <w:tc>
          <w:tcPr>
            <w:tcW w:w="917" w:type="pct"/>
            <w:gridSpan w:val="2"/>
            <w:tcBorders>
              <w:top w:val="single" w:sz="4" w:space="0" w:color="auto"/>
              <w:left w:val="single" w:sz="4" w:space="0" w:color="auto"/>
              <w:bottom w:val="single" w:sz="4" w:space="0" w:color="auto"/>
              <w:right w:val="single" w:sz="12" w:space="0" w:color="auto"/>
            </w:tcBorders>
          </w:tcPr>
          <w:p w14:paraId="636E31C5" w14:textId="77777777" w:rsidR="00514DF3" w:rsidRPr="00514DF3" w:rsidRDefault="00514DF3" w:rsidP="00514DF3">
            <w:pPr>
              <w:ind w:right="-720"/>
              <w:jc w:val="both"/>
              <w:rPr>
                <w:rFonts w:ascii="Calibri" w:hAnsi="Calibri" w:cs="Arial"/>
                <w:b/>
                <w:bCs/>
              </w:rPr>
            </w:pPr>
            <w:r w:rsidRPr="00514DF3">
              <w:rPr>
                <w:rFonts w:ascii="Calibri" w:hAnsi="Calibri" w:cs="Arial"/>
                <w:b/>
                <w:bCs/>
                <w:sz w:val="22"/>
                <w:szCs w:val="22"/>
              </w:rPr>
              <w:t>MA</w:t>
            </w:r>
          </w:p>
        </w:tc>
      </w:tr>
      <w:tr w:rsidR="00514DF3" w14:paraId="6D5BDCAF" w14:textId="77777777" w:rsidTr="000A6E84">
        <w:tc>
          <w:tcPr>
            <w:tcW w:w="1929" w:type="pct"/>
            <w:vMerge/>
            <w:tcBorders>
              <w:left w:val="single" w:sz="4" w:space="0" w:color="auto"/>
              <w:right w:val="single" w:sz="4" w:space="0" w:color="auto"/>
            </w:tcBorders>
          </w:tcPr>
          <w:p w14:paraId="3E71D8C6" w14:textId="77777777" w:rsidR="00514DF3" w:rsidRPr="00514DF3" w:rsidRDefault="00514DF3" w:rsidP="00514DF3">
            <w:pPr>
              <w:pStyle w:val="Heading8"/>
              <w:spacing w:before="0"/>
              <w:rPr>
                <w:rFonts w:ascii="Calibri" w:hAnsi="Calibri" w:cs="Arial"/>
                <w:b/>
                <w:bCs/>
              </w:rPr>
            </w:pPr>
          </w:p>
        </w:tc>
        <w:tc>
          <w:tcPr>
            <w:tcW w:w="673" w:type="pct"/>
            <w:tcBorders>
              <w:top w:val="single" w:sz="4" w:space="0" w:color="auto"/>
              <w:left w:val="single" w:sz="4" w:space="0" w:color="auto"/>
              <w:bottom w:val="single" w:sz="4" w:space="0" w:color="auto"/>
              <w:right w:val="single" w:sz="4" w:space="0" w:color="auto"/>
            </w:tcBorders>
          </w:tcPr>
          <w:p w14:paraId="30960B68" w14:textId="77777777" w:rsidR="00514DF3" w:rsidRPr="00514DF3" w:rsidRDefault="00514DF3" w:rsidP="00514DF3">
            <w:pPr>
              <w:pStyle w:val="Heading8"/>
              <w:spacing w:before="0"/>
              <w:rPr>
                <w:rFonts w:ascii="Calibri" w:hAnsi="Calibri" w:cs="Arial"/>
                <w:b/>
                <w:bCs/>
              </w:rPr>
            </w:pPr>
            <w:r w:rsidRPr="00514DF3">
              <w:rPr>
                <w:rFonts w:ascii="Calibri" w:hAnsi="Calibri" w:cs="Arial"/>
                <w:b/>
                <w:bCs/>
              </w:rPr>
              <w:t>#</w:t>
            </w:r>
          </w:p>
        </w:tc>
        <w:tc>
          <w:tcPr>
            <w:tcW w:w="653" w:type="pct"/>
            <w:tcBorders>
              <w:top w:val="single" w:sz="4" w:space="0" w:color="auto"/>
              <w:left w:val="single" w:sz="4" w:space="0" w:color="auto"/>
              <w:bottom w:val="single" w:sz="4" w:space="0" w:color="auto"/>
              <w:right w:val="single" w:sz="4" w:space="0" w:color="auto"/>
            </w:tcBorders>
          </w:tcPr>
          <w:p w14:paraId="074068B4" w14:textId="0E1881E8" w:rsidR="00514DF3" w:rsidRPr="00514DF3" w:rsidRDefault="00514DF3" w:rsidP="00514DF3">
            <w:pPr>
              <w:pStyle w:val="Heading8"/>
              <w:spacing w:before="0"/>
              <w:rPr>
                <w:rFonts w:ascii="Calibri" w:hAnsi="Calibri" w:cs="Arial"/>
                <w:b/>
                <w:bCs/>
              </w:rPr>
            </w:pPr>
            <w:r w:rsidRPr="00514DF3">
              <w:rPr>
                <w:rFonts w:ascii="Calibri" w:hAnsi="Calibri" w:cs="Arial"/>
                <w:b/>
                <w:bCs/>
              </w:rPr>
              <w:t>%</w:t>
            </w:r>
          </w:p>
        </w:tc>
        <w:tc>
          <w:tcPr>
            <w:tcW w:w="841" w:type="pct"/>
            <w:gridSpan w:val="2"/>
            <w:tcBorders>
              <w:top w:val="single" w:sz="4" w:space="0" w:color="auto"/>
              <w:left w:val="single" w:sz="4" w:space="0" w:color="auto"/>
              <w:bottom w:val="single" w:sz="4" w:space="0" w:color="auto"/>
              <w:right w:val="single" w:sz="12" w:space="0" w:color="auto"/>
            </w:tcBorders>
          </w:tcPr>
          <w:p w14:paraId="4CFD85A6" w14:textId="77777777" w:rsidR="00514DF3" w:rsidRPr="00514DF3" w:rsidRDefault="00514DF3" w:rsidP="00514DF3">
            <w:pPr>
              <w:pStyle w:val="Heading8"/>
              <w:spacing w:before="0"/>
              <w:rPr>
                <w:rFonts w:ascii="Calibri" w:hAnsi="Calibri" w:cs="Arial"/>
                <w:b/>
                <w:bCs/>
              </w:rPr>
            </w:pPr>
            <w:r w:rsidRPr="00514DF3">
              <w:rPr>
                <w:rFonts w:ascii="Calibri" w:hAnsi="Calibri" w:cs="Arial"/>
                <w:b/>
                <w:bCs/>
              </w:rPr>
              <w:t>%</w:t>
            </w:r>
          </w:p>
        </w:tc>
        <w:tc>
          <w:tcPr>
            <w:tcW w:w="904" w:type="pct"/>
            <w:tcBorders>
              <w:top w:val="single" w:sz="4" w:space="0" w:color="auto"/>
              <w:left w:val="single" w:sz="12" w:space="0" w:color="auto"/>
              <w:bottom w:val="single" w:sz="4" w:space="0" w:color="auto"/>
              <w:right w:val="single" w:sz="4" w:space="0" w:color="auto"/>
            </w:tcBorders>
          </w:tcPr>
          <w:p w14:paraId="34FD1D5A" w14:textId="77777777" w:rsidR="00514DF3" w:rsidRPr="00514DF3" w:rsidRDefault="00514DF3" w:rsidP="00514DF3">
            <w:pPr>
              <w:pStyle w:val="Heading8"/>
              <w:spacing w:before="0"/>
              <w:rPr>
                <w:rFonts w:ascii="Calibri" w:hAnsi="Calibri" w:cs="Arial"/>
                <w:b/>
                <w:bCs/>
              </w:rPr>
            </w:pPr>
            <w:r w:rsidRPr="00514DF3">
              <w:rPr>
                <w:rFonts w:ascii="Calibri" w:hAnsi="Calibri" w:cs="Arial"/>
                <w:b/>
                <w:bCs/>
              </w:rPr>
              <w:t>%</w:t>
            </w:r>
          </w:p>
        </w:tc>
      </w:tr>
      <w:tr w:rsidR="00514DF3" w:rsidRPr="00D1544E" w14:paraId="0BD5B6C7" w14:textId="77777777" w:rsidTr="000A6E84">
        <w:tc>
          <w:tcPr>
            <w:tcW w:w="1929" w:type="pct"/>
            <w:tcBorders>
              <w:top w:val="single" w:sz="4" w:space="0" w:color="auto"/>
              <w:left w:val="single" w:sz="4" w:space="0" w:color="auto"/>
              <w:bottom w:val="single" w:sz="4" w:space="0" w:color="auto"/>
              <w:right w:val="single" w:sz="4" w:space="0" w:color="auto"/>
            </w:tcBorders>
          </w:tcPr>
          <w:p w14:paraId="782E215A" w14:textId="77777777" w:rsidR="00514DF3" w:rsidRPr="00D1544E" w:rsidRDefault="00514DF3" w:rsidP="000A6E84">
            <w:pPr>
              <w:ind w:right="-720"/>
              <w:rPr>
                <w:rFonts w:ascii="Calibri" w:hAnsi="Calibri" w:cs="Arial"/>
                <w:sz w:val="20"/>
                <w:szCs w:val="20"/>
              </w:rPr>
            </w:pPr>
            <w:r>
              <w:rPr>
                <w:rFonts w:ascii="Calibri" w:hAnsi="Calibri" w:cs="Arial"/>
                <w:sz w:val="20"/>
                <w:szCs w:val="20"/>
              </w:rPr>
              <w:t>Less than age 5</w:t>
            </w:r>
          </w:p>
        </w:tc>
        <w:tc>
          <w:tcPr>
            <w:tcW w:w="673" w:type="pct"/>
            <w:tcBorders>
              <w:top w:val="single" w:sz="4" w:space="0" w:color="auto"/>
              <w:left w:val="single" w:sz="4" w:space="0" w:color="auto"/>
              <w:bottom w:val="single" w:sz="4" w:space="0" w:color="auto"/>
              <w:right w:val="single" w:sz="4" w:space="0" w:color="auto"/>
            </w:tcBorders>
          </w:tcPr>
          <w:p w14:paraId="1CC27C99" w14:textId="39162AA2" w:rsidR="00514DF3" w:rsidRPr="00D1544E" w:rsidRDefault="00364A7A" w:rsidP="000A6E84">
            <w:pPr>
              <w:ind w:right="-720"/>
              <w:rPr>
                <w:rFonts w:ascii="Calibri" w:hAnsi="Calibri" w:cs="Arial"/>
                <w:sz w:val="20"/>
                <w:szCs w:val="20"/>
              </w:rPr>
            </w:pPr>
            <w:r>
              <w:rPr>
                <w:rFonts w:ascii="Calibri" w:hAnsi="Calibri" w:cs="Arial"/>
                <w:sz w:val="20"/>
                <w:szCs w:val="20"/>
              </w:rPr>
              <w:t>0</w:t>
            </w:r>
          </w:p>
        </w:tc>
        <w:tc>
          <w:tcPr>
            <w:tcW w:w="653" w:type="pct"/>
            <w:tcBorders>
              <w:top w:val="single" w:sz="4" w:space="0" w:color="auto"/>
              <w:left w:val="single" w:sz="4" w:space="0" w:color="auto"/>
              <w:bottom w:val="single" w:sz="4" w:space="0" w:color="auto"/>
              <w:right w:val="single" w:sz="4" w:space="0" w:color="auto"/>
            </w:tcBorders>
          </w:tcPr>
          <w:p w14:paraId="6C32B9A5" w14:textId="66FC5D4A" w:rsidR="00514DF3" w:rsidRPr="00D1544E" w:rsidRDefault="00364A7A" w:rsidP="000A6E84">
            <w:pPr>
              <w:ind w:right="-720"/>
              <w:rPr>
                <w:rFonts w:ascii="Calibri" w:hAnsi="Calibri" w:cs="Arial"/>
                <w:sz w:val="20"/>
                <w:szCs w:val="20"/>
              </w:rPr>
            </w:pPr>
            <w:r>
              <w:rPr>
                <w:rFonts w:ascii="Calibri" w:hAnsi="Calibri" w:cs="Arial"/>
                <w:sz w:val="20"/>
                <w:szCs w:val="20"/>
              </w:rPr>
              <w:t>0.0</w:t>
            </w:r>
          </w:p>
        </w:tc>
        <w:tc>
          <w:tcPr>
            <w:tcW w:w="841" w:type="pct"/>
            <w:gridSpan w:val="2"/>
            <w:tcBorders>
              <w:top w:val="single" w:sz="4" w:space="0" w:color="auto"/>
              <w:left w:val="single" w:sz="4" w:space="0" w:color="auto"/>
              <w:bottom w:val="single" w:sz="4" w:space="0" w:color="auto"/>
              <w:right w:val="single" w:sz="4" w:space="0" w:color="auto"/>
            </w:tcBorders>
          </w:tcPr>
          <w:p w14:paraId="7108D464" w14:textId="1BEAC43B" w:rsidR="00514DF3" w:rsidRPr="00D1544E" w:rsidRDefault="00A232CC" w:rsidP="000A6E84">
            <w:pPr>
              <w:ind w:right="-720"/>
              <w:rPr>
                <w:rFonts w:ascii="Calibri" w:hAnsi="Calibri" w:cs="Arial"/>
                <w:sz w:val="20"/>
                <w:szCs w:val="20"/>
              </w:rPr>
            </w:pPr>
            <w:r>
              <w:rPr>
                <w:rFonts w:ascii="Calibri" w:hAnsi="Calibri" w:cs="Arial"/>
                <w:sz w:val="20"/>
                <w:szCs w:val="20"/>
              </w:rPr>
              <w:t>0.3</w:t>
            </w:r>
          </w:p>
        </w:tc>
        <w:tc>
          <w:tcPr>
            <w:tcW w:w="904" w:type="pct"/>
            <w:tcBorders>
              <w:top w:val="single" w:sz="4" w:space="0" w:color="auto"/>
              <w:left w:val="single" w:sz="4" w:space="0" w:color="auto"/>
              <w:bottom w:val="single" w:sz="4" w:space="0" w:color="auto"/>
              <w:right w:val="single" w:sz="4" w:space="0" w:color="auto"/>
            </w:tcBorders>
          </w:tcPr>
          <w:p w14:paraId="7AC8FE6E" w14:textId="58FB9B65" w:rsidR="00514DF3" w:rsidRPr="00D1544E" w:rsidRDefault="00D93E29" w:rsidP="000A6E84">
            <w:pPr>
              <w:ind w:right="-720"/>
              <w:rPr>
                <w:rFonts w:ascii="Calibri" w:hAnsi="Calibri" w:cs="Arial"/>
                <w:sz w:val="20"/>
                <w:szCs w:val="20"/>
              </w:rPr>
            </w:pPr>
            <w:r>
              <w:rPr>
                <w:rFonts w:ascii="Calibri" w:hAnsi="Calibri" w:cs="Arial"/>
                <w:sz w:val="20"/>
                <w:szCs w:val="20"/>
              </w:rPr>
              <w:t>0.8</w:t>
            </w:r>
          </w:p>
        </w:tc>
      </w:tr>
      <w:tr w:rsidR="00514DF3" w:rsidRPr="00D1544E" w14:paraId="0D5B49C8" w14:textId="77777777" w:rsidTr="000A6E84">
        <w:tc>
          <w:tcPr>
            <w:tcW w:w="1929" w:type="pct"/>
            <w:tcBorders>
              <w:top w:val="single" w:sz="4" w:space="0" w:color="auto"/>
              <w:left w:val="single" w:sz="4" w:space="0" w:color="auto"/>
              <w:bottom w:val="single" w:sz="4" w:space="0" w:color="auto"/>
              <w:right w:val="single" w:sz="4" w:space="0" w:color="auto"/>
            </w:tcBorders>
          </w:tcPr>
          <w:p w14:paraId="20D1AAAA" w14:textId="77777777" w:rsidR="00514DF3" w:rsidRPr="00D1544E" w:rsidRDefault="00514DF3" w:rsidP="000A6E84">
            <w:pPr>
              <w:ind w:right="-720"/>
              <w:rPr>
                <w:rFonts w:ascii="Calibri" w:hAnsi="Calibri" w:cs="Arial"/>
                <w:sz w:val="20"/>
                <w:szCs w:val="20"/>
              </w:rPr>
            </w:pPr>
            <w:r w:rsidRPr="00D1544E">
              <w:rPr>
                <w:rFonts w:ascii="Calibri" w:hAnsi="Calibri" w:cs="Arial"/>
                <w:sz w:val="20"/>
                <w:szCs w:val="20"/>
              </w:rPr>
              <w:t>5 to 1</w:t>
            </w:r>
            <w:r>
              <w:rPr>
                <w:rFonts w:ascii="Calibri" w:hAnsi="Calibri" w:cs="Arial"/>
                <w:sz w:val="20"/>
                <w:szCs w:val="20"/>
              </w:rPr>
              <w:t>7</w:t>
            </w:r>
            <w:r w:rsidRPr="00D1544E">
              <w:rPr>
                <w:rFonts w:ascii="Calibri" w:hAnsi="Calibri" w:cs="Arial"/>
                <w:sz w:val="20"/>
                <w:szCs w:val="20"/>
              </w:rPr>
              <w:t xml:space="preserve"> years</w:t>
            </w:r>
          </w:p>
        </w:tc>
        <w:tc>
          <w:tcPr>
            <w:tcW w:w="673" w:type="pct"/>
            <w:tcBorders>
              <w:top w:val="single" w:sz="4" w:space="0" w:color="auto"/>
              <w:left w:val="single" w:sz="4" w:space="0" w:color="auto"/>
              <w:bottom w:val="single" w:sz="4" w:space="0" w:color="auto"/>
              <w:right w:val="single" w:sz="4" w:space="0" w:color="auto"/>
            </w:tcBorders>
          </w:tcPr>
          <w:p w14:paraId="268D0258" w14:textId="4D2F434B" w:rsidR="00514DF3" w:rsidRPr="00D1544E" w:rsidRDefault="00364A7A" w:rsidP="000A6E84">
            <w:pPr>
              <w:ind w:right="-720"/>
              <w:rPr>
                <w:rFonts w:ascii="Calibri" w:hAnsi="Calibri" w:cs="Arial"/>
                <w:sz w:val="20"/>
                <w:szCs w:val="20"/>
              </w:rPr>
            </w:pPr>
            <w:r>
              <w:rPr>
                <w:rFonts w:ascii="Calibri" w:hAnsi="Calibri" w:cs="Arial"/>
                <w:sz w:val="20"/>
                <w:szCs w:val="20"/>
              </w:rPr>
              <w:t>171</w:t>
            </w:r>
          </w:p>
        </w:tc>
        <w:tc>
          <w:tcPr>
            <w:tcW w:w="653" w:type="pct"/>
            <w:tcBorders>
              <w:top w:val="single" w:sz="4" w:space="0" w:color="auto"/>
              <w:left w:val="single" w:sz="4" w:space="0" w:color="auto"/>
              <w:bottom w:val="single" w:sz="4" w:space="0" w:color="auto"/>
              <w:right w:val="single" w:sz="4" w:space="0" w:color="auto"/>
            </w:tcBorders>
          </w:tcPr>
          <w:p w14:paraId="0A9FA17F" w14:textId="42CE77C4" w:rsidR="00514DF3" w:rsidRPr="00D1544E" w:rsidRDefault="00364A7A" w:rsidP="000A6E84">
            <w:pPr>
              <w:ind w:right="-720"/>
              <w:rPr>
                <w:rFonts w:ascii="Calibri" w:hAnsi="Calibri" w:cs="Arial"/>
                <w:sz w:val="20"/>
                <w:szCs w:val="20"/>
              </w:rPr>
            </w:pPr>
            <w:r>
              <w:rPr>
                <w:rFonts w:ascii="Calibri" w:hAnsi="Calibri" w:cs="Arial"/>
                <w:sz w:val="20"/>
                <w:szCs w:val="20"/>
              </w:rPr>
              <w:t>2.5</w:t>
            </w:r>
          </w:p>
        </w:tc>
        <w:tc>
          <w:tcPr>
            <w:tcW w:w="841" w:type="pct"/>
            <w:gridSpan w:val="2"/>
            <w:tcBorders>
              <w:top w:val="single" w:sz="4" w:space="0" w:color="auto"/>
              <w:left w:val="single" w:sz="4" w:space="0" w:color="auto"/>
              <w:bottom w:val="single" w:sz="4" w:space="0" w:color="auto"/>
              <w:right w:val="single" w:sz="4" w:space="0" w:color="auto"/>
            </w:tcBorders>
          </w:tcPr>
          <w:p w14:paraId="2903291B" w14:textId="51E1FD8A" w:rsidR="00514DF3" w:rsidRPr="00D1544E" w:rsidRDefault="00A232CC" w:rsidP="000A6E84">
            <w:pPr>
              <w:ind w:right="-720"/>
              <w:rPr>
                <w:rFonts w:ascii="Calibri" w:hAnsi="Calibri" w:cs="Arial"/>
                <w:sz w:val="20"/>
                <w:szCs w:val="20"/>
              </w:rPr>
            </w:pPr>
            <w:r>
              <w:rPr>
                <w:rFonts w:ascii="Calibri" w:hAnsi="Calibri" w:cs="Arial"/>
                <w:sz w:val="20"/>
                <w:szCs w:val="20"/>
              </w:rPr>
              <w:t>4.2</w:t>
            </w:r>
          </w:p>
        </w:tc>
        <w:tc>
          <w:tcPr>
            <w:tcW w:w="904" w:type="pct"/>
            <w:tcBorders>
              <w:top w:val="single" w:sz="4" w:space="0" w:color="auto"/>
              <w:left w:val="single" w:sz="4" w:space="0" w:color="auto"/>
              <w:bottom w:val="single" w:sz="4" w:space="0" w:color="auto"/>
              <w:right w:val="single" w:sz="4" w:space="0" w:color="auto"/>
            </w:tcBorders>
          </w:tcPr>
          <w:p w14:paraId="794CAB79" w14:textId="19D815AA" w:rsidR="00514DF3" w:rsidRPr="00D1544E" w:rsidRDefault="00D93E29" w:rsidP="000A6E84">
            <w:pPr>
              <w:ind w:right="-720"/>
              <w:rPr>
                <w:rFonts w:ascii="Calibri" w:hAnsi="Calibri" w:cs="Arial"/>
                <w:sz w:val="20"/>
                <w:szCs w:val="20"/>
              </w:rPr>
            </w:pPr>
            <w:r>
              <w:rPr>
                <w:rFonts w:ascii="Calibri" w:hAnsi="Calibri" w:cs="Arial"/>
                <w:sz w:val="20"/>
                <w:szCs w:val="20"/>
              </w:rPr>
              <w:t>6.1</w:t>
            </w:r>
          </w:p>
        </w:tc>
      </w:tr>
      <w:tr w:rsidR="00A232CC" w:rsidRPr="00D1544E" w14:paraId="3E8A8942" w14:textId="77777777" w:rsidTr="000A6E84">
        <w:trPr>
          <w:trHeight w:val="215"/>
        </w:trPr>
        <w:tc>
          <w:tcPr>
            <w:tcW w:w="1929" w:type="pct"/>
            <w:tcBorders>
              <w:top w:val="single" w:sz="4" w:space="0" w:color="auto"/>
              <w:left w:val="single" w:sz="4" w:space="0" w:color="auto"/>
              <w:bottom w:val="single" w:sz="4" w:space="0" w:color="auto"/>
              <w:right w:val="single" w:sz="4" w:space="0" w:color="auto"/>
            </w:tcBorders>
          </w:tcPr>
          <w:p w14:paraId="022A24D9" w14:textId="77777777" w:rsidR="00A232CC" w:rsidRPr="00D1544E" w:rsidRDefault="00A232CC" w:rsidP="00A232CC">
            <w:pPr>
              <w:ind w:right="-720"/>
              <w:rPr>
                <w:rFonts w:ascii="Calibri" w:hAnsi="Calibri" w:cs="Arial"/>
                <w:sz w:val="20"/>
                <w:szCs w:val="20"/>
              </w:rPr>
            </w:pPr>
            <w:r>
              <w:rPr>
                <w:rFonts w:ascii="Calibri" w:hAnsi="Calibri" w:cs="Arial"/>
                <w:sz w:val="20"/>
                <w:szCs w:val="20"/>
              </w:rPr>
              <w:t>18</w:t>
            </w:r>
            <w:r w:rsidRPr="00D1544E">
              <w:rPr>
                <w:rFonts w:ascii="Calibri" w:hAnsi="Calibri" w:cs="Arial"/>
                <w:sz w:val="20"/>
                <w:szCs w:val="20"/>
              </w:rPr>
              <w:t xml:space="preserve"> to </w:t>
            </w:r>
            <w:r>
              <w:rPr>
                <w:rFonts w:ascii="Calibri" w:hAnsi="Calibri" w:cs="Arial"/>
                <w:sz w:val="20"/>
                <w:szCs w:val="20"/>
              </w:rPr>
              <w:t>34</w:t>
            </w:r>
            <w:r w:rsidRPr="00D1544E">
              <w:rPr>
                <w:rFonts w:ascii="Calibri" w:hAnsi="Calibri" w:cs="Arial"/>
                <w:sz w:val="20"/>
                <w:szCs w:val="20"/>
              </w:rPr>
              <w:t xml:space="preserve"> years</w:t>
            </w:r>
          </w:p>
        </w:tc>
        <w:tc>
          <w:tcPr>
            <w:tcW w:w="673" w:type="pct"/>
            <w:tcBorders>
              <w:top w:val="single" w:sz="4" w:space="0" w:color="auto"/>
              <w:left w:val="single" w:sz="4" w:space="0" w:color="auto"/>
              <w:bottom w:val="single" w:sz="4" w:space="0" w:color="auto"/>
              <w:right w:val="single" w:sz="4" w:space="0" w:color="auto"/>
            </w:tcBorders>
          </w:tcPr>
          <w:p w14:paraId="25D44C3C" w14:textId="3AB34F82" w:rsidR="00A232CC" w:rsidRPr="00D1544E" w:rsidRDefault="00364A7A" w:rsidP="00A232CC">
            <w:pPr>
              <w:ind w:right="-720"/>
              <w:rPr>
                <w:rFonts w:ascii="Calibri" w:hAnsi="Calibri" w:cs="Arial"/>
                <w:sz w:val="20"/>
                <w:szCs w:val="20"/>
              </w:rPr>
            </w:pPr>
            <w:r>
              <w:rPr>
                <w:rFonts w:ascii="Calibri" w:hAnsi="Calibri" w:cs="Arial"/>
                <w:sz w:val="20"/>
                <w:szCs w:val="20"/>
              </w:rPr>
              <w:t>309</w:t>
            </w:r>
          </w:p>
        </w:tc>
        <w:tc>
          <w:tcPr>
            <w:tcW w:w="653" w:type="pct"/>
            <w:tcBorders>
              <w:top w:val="single" w:sz="4" w:space="0" w:color="auto"/>
              <w:left w:val="single" w:sz="4" w:space="0" w:color="auto"/>
              <w:bottom w:val="single" w:sz="4" w:space="0" w:color="auto"/>
              <w:right w:val="single" w:sz="4" w:space="0" w:color="auto"/>
            </w:tcBorders>
          </w:tcPr>
          <w:p w14:paraId="5C7D6480" w14:textId="1619BD2E" w:rsidR="00A232CC" w:rsidRPr="00D1544E" w:rsidRDefault="00364A7A" w:rsidP="00A232CC">
            <w:pPr>
              <w:ind w:right="-720"/>
              <w:rPr>
                <w:rFonts w:ascii="Calibri" w:hAnsi="Calibri" w:cs="Arial"/>
                <w:sz w:val="20"/>
                <w:szCs w:val="20"/>
              </w:rPr>
            </w:pPr>
            <w:r>
              <w:rPr>
                <w:rFonts w:ascii="Calibri" w:hAnsi="Calibri" w:cs="Arial"/>
                <w:sz w:val="20"/>
                <w:szCs w:val="20"/>
              </w:rPr>
              <w:t>8.7</w:t>
            </w:r>
          </w:p>
        </w:tc>
        <w:tc>
          <w:tcPr>
            <w:tcW w:w="841" w:type="pct"/>
            <w:gridSpan w:val="2"/>
            <w:tcBorders>
              <w:top w:val="single" w:sz="4" w:space="0" w:color="auto"/>
              <w:left w:val="single" w:sz="4" w:space="0" w:color="auto"/>
              <w:bottom w:val="single" w:sz="4" w:space="0" w:color="auto"/>
              <w:right w:val="single" w:sz="4" w:space="0" w:color="auto"/>
            </w:tcBorders>
          </w:tcPr>
          <w:p w14:paraId="51857703" w14:textId="1F603090" w:rsidR="00A232CC" w:rsidRPr="00D1544E" w:rsidRDefault="00A232CC" w:rsidP="00A232CC">
            <w:pPr>
              <w:ind w:right="-720"/>
              <w:rPr>
                <w:rFonts w:ascii="Calibri" w:hAnsi="Calibri" w:cs="Arial"/>
                <w:sz w:val="20"/>
                <w:szCs w:val="20"/>
              </w:rPr>
            </w:pPr>
            <w:r>
              <w:rPr>
                <w:rFonts w:ascii="Calibri" w:hAnsi="Calibri" w:cs="Arial"/>
                <w:sz w:val="20"/>
                <w:szCs w:val="20"/>
              </w:rPr>
              <w:t>5.7</w:t>
            </w:r>
          </w:p>
        </w:tc>
        <w:tc>
          <w:tcPr>
            <w:tcW w:w="904" w:type="pct"/>
            <w:tcBorders>
              <w:top w:val="single" w:sz="4" w:space="0" w:color="auto"/>
              <w:left w:val="single" w:sz="4" w:space="0" w:color="auto"/>
              <w:bottom w:val="single" w:sz="4" w:space="0" w:color="auto"/>
              <w:right w:val="single" w:sz="4" w:space="0" w:color="auto"/>
            </w:tcBorders>
          </w:tcPr>
          <w:p w14:paraId="0833993E" w14:textId="2552FEF9" w:rsidR="00A232CC" w:rsidRPr="00D1544E" w:rsidRDefault="00D93E29" w:rsidP="00A232CC">
            <w:pPr>
              <w:ind w:right="-720"/>
              <w:rPr>
                <w:rFonts w:ascii="Calibri" w:hAnsi="Calibri" w:cs="Arial"/>
                <w:sz w:val="20"/>
                <w:szCs w:val="20"/>
              </w:rPr>
            </w:pPr>
            <w:r>
              <w:rPr>
                <w:rFonts w:ascii="Calibri" w:hAnsi="Calibri" w:cs="Arial"/>
                <w:sz w:val="20"/>
                <w:szCs w:val="20"/>
              </w:rPr>
              <w:t>6.4</w:t>
            </w:r>
          </w:p>
        </w:tc>
      </w:tr>
      <w:tr w:rsidR="00A232CC" w:rsidRPr="00D1544E" w14:paraId="19CEA31A" w14:textId="77777777" w:rsidTr="000A6E84">
        <w:trPr>
          <w:trHeight w:val="215"/>
        </w:trPr>
        <w:tc>
          <w:tcPr>
            <w:tcW w:w="1929" w:type="pct"/>
            <w:tcBorders>
              <w:top w:val="single" w:sz="4" w:space="0" w:color="auto"/>
              <w:left w:val="single" w:sz="4" w:space="0" w:color="auto"/>
              <w:bottom w:val="single" w:sz="4" w:space="0" w:color="auto"/>
              <w:right w:val="single" w:sz="4" w:space="0" w:color="auto"/>
            </w:tcBorders>
          </w:tcPr>
          <w:p w14:paraId="63C0897B" w14:textId="77777777" w:rsidR="00A232CC" w:rsidRPr="00D1544E" w:rsidRDefault="00A232CC" w:rsidP="00A232CC">
            <w:pPr>
              <w:ind w:right="-720"/>
              <w:rPr>
                <w:rFonts w:ascii="Calibri" w:hAnsi="Calibri" w:cs="Arial"/>
                <w:sz w:val="20"/>
                <w:szCs w:val="20"/>
              </w:rPr>
            </w:pPr>
            <w:r>
              <w:rPr>
                <w:rFonts w:ascii="Calibri" w:hAnsi="Calibri" w:cs="Arial"/>
                <w:sz w:val="20"/>
                <w:szCs w:val="20"/>
              </w:rPr>
              <w:t>35 to 64 years</w:t>
            </w:r>
          </w:p>
        </w:tc>
        <w:tc>
          <w:tcPr>
            <w:tcW w:w="673" w:type="pct"/>
            <w:tcBorders>
              <w:top w:val="single" w:sz="4" w:space="0" w:color="auto"/>
              <w:left w:val="single" w:sz="4" w:space="0" w:color="auto"/>
              <w:bottom w:val="single" w:sz="4" w:space="0" w:color="auto"/>
              <w:right w:val="single" w:sz="4" w:space="0" w:color="auto"/>
            </w:tcBorders>
          </w:tcPr>
          <w:p w14:paraId="6C673216" w14:textId="48CB9448" w:rsidR="00A232CC" w:rsidRPr="00D1544E" w:rsidRDefault="00364A7A" w:rsidP="00A232CC">
            <w:pPr>
              <w:ind w:right="-720"/>
              <w:rPr>
                <w:rFonts w:ascii="Calibri" w:hAnsi="Calibri" w:cs="Arial"/>
                <w:sz w:val="20"/>
                <w:szCs w:val="20"/>
              </w:rPr>
            </w:pPr>
            <w:r>
              <w:rPr>
                <w:rFonts w:ascii="Calibri" w:hAnsi="Calibri" w:cs="Arial"/>
                <w:sz w:val="20"/>
                <w:szCs w:val="20"/>
              </w:rPr>
              <w:t>341</w:t>
            </w:r>
          </w:p>
        </w:tc>
        <w:tc>
          <w:tcPr>
            <w:tcW w:w="653" w:type="pct"/>
            <w:tcBorders>
              <w:top w:val="single" w:sz="4" w:space="0" w:color="auto"/>
              <w:left w:val="single" w:sz="4" w:space="0" w:color="auto"/>
              <w:bottom w:val="single" w:sz="4" w:space="0" w:color="auto"/>
              <w:right w:val="single" w:sz="4" w:space="0" w:color="auto"/>
            </w:tcBorders>
          </w:tcPr>
          <w:p w14:paraId="4DF9603D" w14:textId="31F265A3" w:rsidR="00A232CC" w:rsidRPr="00D1544E" w:rsidRDefault="00364A7A" w:rsidP="00A232CC">
            <w:pPr>
              <w:ind w:right="-720"/>
              <w:rPr>
                <w:rFonts w:ascii="Calibri" w:hAnsi="Calibri" w:cs="Arial"/>
                <w:sz w:val="20"/>
                <w:szCs w:val="20"/>
              </w:rPr>
            </w:pPr>
            <w:r>
              <w:rPr>
                <w:rFonts w:ascii="Calibri" w:hAnsi="Calibri" w:cs="Arial"/>
                <w:sz w:val="20"/>
                <w:szCs w:val="20"/>
              </w:rPr>
              <w:t>2.6</w:t>
            </w:r>
          </w:p>
        </w:tc>
        <w:tc>
          <w:tcPr>
            <w:tcW w:w="841" w:type="pct"/>
            <w:gridSpan w:val="2"/>
            <w:tcBorders>
              <w:top w:val="single" w:sz="4" w:space="0" w:color="auto"/>
              <w:left w:val="single" w:sz="4" w:space="0" w:color="auto"/>
              <w:bottom w:val="single" w:sz="4" w:space="0" w:color="auto"/>
              <w:right w:val="single" w:sz="4" w:space="0" w:color="auto"/>
            </w:tcBorders>
          </w:tcPr>
          <w:p w14:paraId="72EDF3E0" w14:textId="21AEDD90" w:rsidR="00A232CC" w:rsidRPr="00D1544E" w:rsidRDefault="00A232CC" w:rsidP="00A232CC">
            <w:pPr>
              <w:ind w:right="-720"/>
              <w:rPr>
                <w:rFonts w:ascii="Calibri" w:hAnsi="Calibri" w:cs="Arial"/>
                <w:sz w:val="20"/>
                <w:szCs w:val="20"/>
              </w:rPr>
            </w:pPr>
            <w:r>
              <w:rPr>
                <w:rFonts w:ascii="Calibri" w:hAnsi="Calibri" w:cs="Arial"/>
                <w:sz w:val="20"/>
                <w:szCs w:val="20"/>
              </w:rPr>
              <w:t>7.3</w:t>
            </w:r>
          </w:p>
        </w:tc>
        <w:tc>
          <w:tcPr>
            <w:tcW w:w="904" w:type="pct"/>
            <w:tcBorders>
              <w:top w:val="single" w:sz="4" w:space="0" w:color="auto"/>
              <w:left w:val="single" w:sz="4" w:space="0" w:color="auto"/>
              <w:bottom w:val="single" w:sz="4" w:space="0" w:color="auto"/>
              <w:right w:val="single" w:sz="4" w:space="0" w:color="auto"/>
            </w:tcBorders>
          </w:tcPr>
          <w:p w14:paraId="2DB1D1E9" w14:textId="2B59FE3A" w:rsidR="00A232CC" w:rsidRPr="00D1544E" w:rsidRDefault="00D93E29" w:rsidP="00A232CC">
            <w:pPr>
              <w:ind w:right="-720"/>
              <w:rPr>
                <w:rFonts w:ascii="Calibri" w:hAnsi="Calibri" w:cs="Arial"/>
                <w:sz w:val="20"/>
                <w:szCs w:val="20"/>
              </w:rPr>
            </w:pPr>
            <w:r>
              <w:rPr>
                <w:rFonts w:ascii="Calibri" w:hAnsi="Calibri" w:cs="Arial"/>
                <w:sz w:val="20"/>
                <w:szCs w:val="20"/>
              </w:rPr>
              <w:t>10.5</w:t>
            </w:r>
          </w:p>
        </w:tc>
      </w:tr>
      <w:tr w:rsidR="00A232CC" w:rsidRPr="00D1544E" w14:paraId="5715DFA5" w14:textId="77777777" w:rsidTr="000A6E84">
        <w:tc>
          <w:tcPr>
            <w:tcW w:w="1929" w:type="pct"/>
            <w:tcBorders>
              <w:top w:val="single" w:sz="4" w:space="0" w:color="auto"/>
              <w:left w:val="single" w:sz="4" w:space="0" w:color="auto"/>
              <w:bottom w:val="single" w:sz="4" w:space="0" w:color="auto"/>
              <w:right w:val="single" w:sz="4" w:space="0" w:color="auto"/>
            </w:tcBorders>
          </w:tcPr>
          <w:p w14:paraId="2753CC8D" w14:textId="77777777" w:rsidR="00A232CC" w:rsidRPr="00D1544E" w:rsidRDefault="00A232CC" w:rsidP="00A232CC">
            <w:pPr>
              <w:ind w:right="-720"/>
              <w:rPr>
                <w:rFonts w:ascii="Calibri" w:hAnsi="Calibri" w:cs="Arial"/>
                <w:sz w:val="20"/>
                <w:szCs w:val="20"/>
              </w:rPr>
            </w:pPr>
            <w:r>
              <w:rPr>
                <w:rFonts w:ascii="Calibri" w:hAnsi="Calibri" w:cs="Arial"/>
                <w:sz w:val="20"/>
                <w:szCs w:val="20"/>
              </w:rPr>
              <w:t>6</w:t>
            </w:r>
            <w:r w:rsidRPr="00D1544E">
              <w:rPr>
                <w:rFonts w:ascii="Calibri" w:hAnsi="Calibri" w:cs="Arial"/>
                <w:sz w:val="20"/>
                <w:szCs w:val="20"/>
              </w:rPr>
              <w:t>5 years+</w:t>
            </w:r>
          </w:p>
        </w:tc>
        <w:tc>
          <w:tcPr>
            <w:tcW w:w="673" w:type="pct"/>
            <w:tcBorders>
              <w:top w:val="single" w:sz="4" w:space="0" w:color="auto"/>
              <w:left w:val="single" w:sz="4" w:space="0" w:color="auto"/>
              <w:bottom w:val="single" w:sz="4" w:space="0" w:color="auto"/>
              <w:right w:val="single" w:sz="4" w:space="0" w:color="auto"/>
            </w:tcBorders>
          </w:tcPr>
          <w:p w14:paraId="54DB083A" w14:textId="5033A814" w:rsidR="00A232CC" w:rsidRPr="00D1544E" w:rsidRDefault="00D44E3C" w:rsidP="00A232CC">
            <w:pPr>
              <w:ind w:right="-720"/>
              <w:rPr>
                <w:rFonts w:ascii="Calibri" w:hAnsi="Calibri" w:cs="Arial"/>
                <w:sz w:val="20"/>
                <w:szCs w:val="20"/>
              </w:rPr>
            </w:pPr>
            <w:r>
              <w:rPr>
                <w:rFonts w:ascii="Calibri" w:hAnsi="Calibri" w:cs="Arial"/>
                <w:sz w:val="20"/>
                <w:szCs w:val="20"/>
              </w:rPr>
              <w:t>1,441</w:t>
            </w:r>
          </w:p>
        </w:tc>
        <w:tc>
          <w:tcPr>
            <w:tcW w:w="653" w:type="pct"/>
            <w:tcBorders>
              <w:top w:val="single" w:sz="4" w:space="0" w:color="auto"/>
              <w:left w:val="single" w:sz="4" w:space="0" w:color="auto"/>
              <w:bottom w:val="single" w:sz="4" w:space="0" w:color="auto"/>
              <w:right w:val="single" w:sz="4" w:space="0" w:color="auto"/>
            </w:tcBorders>
          </w:tcPr>
          <w:p w14:paraId="71D76C17" w14:textId="5FF2EB60" w:rsidR="00A232CC" w:rsidRPr="00D1544E" w:rsidRDefault="00D44E3C" w:rsidP="00A232CC">
            <w:pPr>
              <w:ind w:right="-720"/>
              <w:rPr>
                <w:rFonts w:ascii="Calibri" w:hAnsi="Calibri" w:cs="Arial"/>
                <w:sz w:val="20"/>
                <w:szCs w:val="20"/>
              </w:rPr>
            </w:pPr>
            <w:r>
              <w:rPr>
                <w:rFonts w:ascii="Calibri" w:hAnsi="Calibri" w:cs="Arial"/>
                <w:sz w:val="20"/>
                <w:szCs w:val="20"/>
              </w:rPr>
              <w:t>25.0</w:t>
            </w:r>
          </w:p>
        </w:tc>
        <w:tc>
          <w:tcPr>
            <w:tcW w:w="841" w:type="pct"/>
            <w:gridSpan w:val="2"/>
            <w:tcBorders>
              <w:top w:val="single" w:sz="4" w:space="0" w:color="auto"/>
              <w:left w:val="single" w:sz="4" w:space="0" w:color="auto"/>
              <w:bottom w:val="single" w:sz="4" w:space="0" w:color="auto"/>
              <w:right w:val="single" w:sz="4" w:space="0" w:color="auto"/>
            </w:tcBorders>
          </w:tcPr>
          <w:p w14:paraId="705A9215" w14:textId="664D2876" w:rsidR="00A232CC" w:rsidRPr="00D1544E" w:rsidRDefault="00364A7A" w:rsidP="00A232CC">
            <w:pPr>
              <w:ind w:right="-720"/>
              <w:rPr>
                <w:rFonts w:ascii="Calibri" w:hAnsi="Calibri" w:cs="Arial"/>
                <w:sz w:val="20"/>
                <w:szCs w:val="20"/>
              </w:rPr>
            </w:pPr>
            <w:r>
              <w:rPr>
                <w:rFonts w:ascii="Calibri" w:hAnsi="Calibri" w:cs="Arial"/>
                <w:sz w:val="20"/>
                <w:szCs w:val="20"/>
              </w:rPr>
              <w:t>27.8</w:t>
            </w:r>
          </w:p>
        </w:tc>
        <w:tc>
          <w:tcPr>
            <w:tcW w:w="904" w:type="pct"/>
            <w:tcBorders>
              <w:top w:val="single" w:sz="4" w:space="0" w:color="auto"/>
              <w:left w:val="single" w:sz="4" w:space="0" w:color="auto"/>
              <w:bottom w:val="single" w:sz="4" w:space="0" w:color="auto"/>
              <w:right w:val="single" w:sz="4" w:space="0" w:color="auto"/>
            </w:tcBorders>
          </w:tcPr>
          <w:p w14:paraId="5DA326D7" w14:textId="65C19C54" w:rsidR="00A232CC" w:rsidRPr="00D1544E" w:rsidRDefault="00364A7A" w:rsidP="00A232CC">
            <w:pPr>
              <w:ind w:right="-720"/>
              <w:rPr>
                <w:rFonts w:ascii="Calibri" w:hAnsi="Calibri" w:cs="Arial"/>
                <w:sz w:val="20"/>
                <w:szCs w:val="20"/>
              </w:rPr>
            </w:pPr>
            <w:r>
              <w:rPr>
                <w:rFonts w:ascii="Calibri" w:hAnsi="Calibri" w:cs="Arial"/>
                <w:sz w:val="20"/>
                <w:szCs w:val="20"/>
              </w:rPr>
              <w:t>31.3</w:t>
            </w:r>
          </w:p>
        </w:tc>
      </w:tr>
      <w:tr w:rsidR="00A232CC" w:rsidRPr="00D1544E" w14:paraId="28E7203A" w14:textId="77777777" w:rsidTr="000A6E84">
        <w:tc>
          <w:tcPr>
            <w:tcW w:w="1929" w:type="pct"/>
            <w:tcBorders>
              <w:top w:val="single" w:sz="4" w:space="0" w:color="auto"/>
              <w:left w:val="single" w:sz="4" w:space="0" w:color="auto"/>
              <w:bottom w:val="single" w:sz="4" w:space="0" w:color="auto"/>
              <w:right w:val="single" w:sz="4" w:space="0" w:color="auto"/>
            </w:tcBorders>
          </w:tcPr>
          <w:p w14:paraId="7D31991A" w14:textId="77777777" w:rsidR="00A232CC" w:rsidRPr="00D1544E" w:rsidRDefault="00A232CC" w:rsidP="00A232CC">
            <w:pPr>
              <w:ind w:right="-720"/>
              <w:rPr>
                <w:rFonts w:ascii="Calibri" w:hAnsi="Calibri" w:cs="Arial"/>
                <w:sz w:val="20"/>
                <w:szCs w:val="20"/>
              </w:rPr>
            </w:pPr>
            <w:r>
              <w:rPr>
                <w:rFonts w:ascii="Calibri" w:hAnsi="Calibri" w:cs="Arial"/>
                <w:sz w:val="20"/>
                <w:szCs w:val="20"/>
              </w:rPr>
              <w:t>Total</w:t>
            </w:r>
          </w:p>
        </w:tc>
        <w:tc>
          <w:tcPr>
            <w:tcW w:w="673" w:type="pct"/>
            <w:tcBorders>
              <w:top w:val="single" w:sz="4" w:space="0" w:color="auto"/>
              <w:left w:val="single" w:sz="4" w:space="0" w:color="auto"/>
              <w:bottom w:val="single" w:sz="4" w:space="0" w:color="auto"/>
              <w:right w:val="single" w:sz="4" w:space="0" w:color="auto"/>
            </w:tcBorders>
          </w:tcPr>
          <w:p w14:paraId="72CB6451" w14:textId="3C7796F3" w:rsidR="00A232CC" w:rsidRDefault="00D44E3C" w:rsidP="00A232CC">
            <w:pPr>
              <w:ind w:right="-720"/>
              <w:rPr>
                <w:rFonts w:ascii="Calibri" w:hAnsi="Calibri" w:cs="Arial"/>
                <w:sz w:val="20"/>
                <w:szCs w:val="20"/>
              </w:rPr>
            </w:pPr>
            <w:r>
              <w:rPr>
                <w:rFonts w:ascii="Calibri" w:hAnsi="Calibri" w:cs="Arial"/>
                <w:sz w:val="20"/>
                <w:szCs w:val="20"/>
              </w:rPr>
              <w:t>2,262</w:t>
            </w:r>
          </w:p>
        </w:tc>
        <w:tc>
          <w:tcPr>
            <w:tcW w:w="653" w:type="pct"/>
            <w:tcBorders>
              <w:top w:val="single" w:sz="4" w:space="0" w:color="auto"/>
              <w:left w:val="single" w:sz="4" w:space="0" w:color="auto"/>
              <w:bottom w:val="single" w:sz="4" w:space="0" w:color="auto"/>
              <w:right w:val="single" w:sz="4" w:space="0" w:color="auto"/>
            </w:tcBorders>
          </w:tcPr>
          <w:p w14:paraId="7FD46A96" w14:textId="72381DA7" w:rsidR="00A232CC" w:rsidRDefault="00D44E3C" w:rsidP="00A232CC">
            <w:pPr>
              <w:ind w:right="-720"/>
              <w:rPr>
                <w:rFonts w:ascii="Calibri" w:hAnsi="Calibri" w:cs="Arial"/>
                <w:sz w:val="20"/>
                <w:szCs w:val="20"/>
              </w:rPr>
            </w:pPr>
            <w:r>
              <w:rPr>
                <w:rFonts w:ascii="Calibri" w:hAnsi="Calibri" w:cs="Arial"/>
                <w:sz w:val="20"/>
                <w:szCs w:val="20"/>
              </w:rPr>
              <w:t>7.4</w:t>
            </w:r>
          </w:p>
        </w:tc>
        <w:tc>
          <w:tcPr>
            <w:tcW w:w="841" w:type="pct"/>
            <w:gridSpan w:val="2"/>
            <w:tcBorders>
              <w:top w:val="single" w:sz="4" w:space="0" w:color="auto"/>
              <w:left w:val="single" w:sz="4" w:space="0" w:color="auto"/>
              <w:bottom w:val="single" w:sz="4" w:space="0" w:color="auto"/>
              <w:right w:val="single" w:sz="4" w:space="0" w:color="auto"/>
            </w:tcBorders>
          </w:tcPr>
          <w:p w14:paraId="130A03BE" w14:textId="5D6773F0" w:rsidR="00A232CC" w:rsidRPr="00D1544E" w:rsidRDefault="00F51013" w:rsidP="00A232CC">
            <w:pPr>
              <w:ind w:right="-720"/>
              <w:rPr>
                <w:rFonts w:ascii="Calibri" w:hAnsi="Calibri" w:cs="Arial"/>
                <w:sz w:val="20"/>
                <w:szCs w:val="20"/>
              </w:rPr>
            </w:pPr>
            <w:r>
              <w:rPr>
                <w:rFonts w:ascii="Calibri" w:hAnsi="Calibri" w:cs="Arial"/>
                <w:sz w:val="20"/>
                <w:szCs w:val="20"/>
              </w:rPr>
              <w:t>9.5</w:t>
            </w:r>
          </w:p>
        </w:tc>
        <w:tc>
          <w:tcPr>
            <w:tcW w:w="904" w:type="pct"/>
            <w:tcBorders>
              <w:top w:val="single" w:sz="4" w:space="0" w:color="auto"/>
              <w:left w:val="single" w:sz="4" w:space="0" w:color="auto"/>
              <w:bottom w:val="single" w:sz="4" w:space="0" w:color="auto"/>
              <w:right w:val="single" w:sz="4" w:space="0" w:color="auto"/>
            </w:tcBorders>
          </w:tcPr>
          <w:p w14:paraId="023E3E42" w14:textId="3576024E" w:rsidR="00A232CC" w:rsidRPr="00D1544E" w:rsidRDefault="00970576" w:rsidP="00A232CC">
            <w:pPr>
              <w:ind w:right="-720"/>
              <w:rPr>
                <w:rFonts w:ascii="Calibri" w:hAnsi="Calibri" w:cs="Arial"/>
                <w:sz w:val="20"/>
                <w:szCs w:val="20"/>
              </w:rPr>
            </w:pPr>
            <w:r>
              <w:rPr>
                <w:rFonts w:ascii="Calibri" w:hAnsi="Calibri" w:cs="Arial"/>
                <w:sz w:val="20"/>
                <w:szCs w:val="20"/>
              </w:rPr>
              <w:t>11.7</w:t>
            </w:r>
          </w:p>
        </w:tc>
      </w:tr>
    </w:tbl>
    <w:p w14:paraId="45CC1808" w14:textId="5B489125" w:rsidR="00514DF3" w:rsidRDefault="00514DF3" w:rsidP="00A82887">
      <w:pPr>
        <w:pStyle w:val="Caption"/>
        <w:ind w:firstLine="720"/>
        <w:rPr>
          <w:rFonts w:asciiTheme="minorHAnsi" w:hAnsiTheme="minorHAnsi" w:cstheme="minorHAnsi"/>
          <w:b w:val="0"/>
          <w:bCs/>
          <w:iCs/>
          <w:sz w:val="20"/>
        </w:rPr>
      </w:pPr>
      <w:r w:rsidRPr="00D1544E">
        <w:rPr>
          <w:sz w:val="20"/>
        </w:rPr>
        <w:t xml:space="preserve">    </w:t>
      </w:r>
      <w:r>
        <w:rPr>
          <w:sz w:val="20"/>
        </w:rPr>
        <w:tab/>
      </w:r>
      <w:r w:rsidRPr="00514DF3">
        <w:rPr>
          <w:rFonts w:asciiTheme="minorHAnsi" w:hAnsiTheme="minorHAnsi" w:cstheme="minorHAnsi"/>
          <w:b w:val="0"/>
          <w:bCs/>
          <w:iCs/>
          <w:sz w:val="20"/>
        </w:rPr>
        <w:t>Source: U.S. Census Bureau, American Community Survey 5-Year Estimates, 201</w:t>
      </w:r>
      <w:r w:rsidR="00A232CC">
        <w:rPr>
          <w:rFonts w:asciiTheme="minorHAnsi" w:hAnsiTheme="minorHAnsi" w:cstheme="minorHAnsi"/>
          <w:b w:val="0"/>
          <w:bCs/>
          <w:iCs/>
          <w:sz w:val="20"/>
        </w:rPr>
        <w:t>6</w:t>
      </w:r>
      <w:r w:rsidRPr="00514DF3">
        <w:rPr>
          <w:rFonts w:asciiTheme="minorHAnsi" w:hAnsiTheme="minorHAnsi" w:cstheme="minorHAnsi"/>
          <w:b w:val="0"/>
          <w:bCs/>
          <w:iCs/>
          <w:sz w:val="20"/>
        </w:rPr>
        <w:t>-20</w:t>
      </w:r>
      <w:r w:rsidR="00A232CC">
        <w:rPr>
          <w:rFonts w:asciiTheme="minorHAnsi" w:hAnsiTheme="minorHAnsi" w:cstheme="minorHAnsi"/>
          <w:b w:val="0"/>
          <w:bCs/>
          <w:iCs/>
          <w:sz w:val="20"/>
        </w:rPr>
        <w:t>20.</w:t>
      </w:r>
    </w:p>
    <w:p w14:paraId="27ACE8B0" w14:textId="77777777" w:rsidR="00514DF3" w:rsidRPr="00A82887" w:rsidRDefault="00514DF3" w:rsidP="00A82887">
      <w:pPr>
        <w:ind w:left="1440" w:right="-720"/>
        <w:rPr>
          <w:rFonts w:asciiTheme="minorHAnsi" w:hAnsiTheme="minorHAnsi" w:cstheme="minorHAnsi"/>
          <w:sz w:val="20"/>
          <w:szCs w:val="20"/>
        </w:rPr>
      </w:pPr>
    </w:p>
    <w:p w14:paraId="3F66D1F2" w14:textId="74AADADD" w:rsidR="00500A48" w:rsidRDefault="00500A48" w:rsidP="00514DF3">
      <w:pPr>
        <w:pStyle w:val="BodyText"/>
        <w:tabs>
          <w:tab w:val="left" w:pos="0"/>
        </w:tabs>
        <w:jc w:val="both"/>
        <w:rPr>
          <w:rFonts w:asciiTheme="minorHAnsi" w:hAnsiTheme="minorHAnsi" w:cstheme="minorHAnsi"/>
          <w:sz w:val="22"/>
          <w:szCs w:val="22"/>
        </w:rPr>
      </w:pPr>
      <w:r w:rsidRPr="00500A48">
        <w:rPr>
          <w:rFonts w:asciiTheme="minorHAnsi" w:hAnsiTheme="minorHAnsi" w:cstheme="minorHAnsi"/>
          <w:sz w:val="22"/>
          <w:szCs w:val="22"/>
        </w:rPr>
        <w:t>The 20</w:t>
      </w:r>
      <w:r w:rsidR="00970576">
        <w:rPr>
          <w:rFonts w:asciiTheme="minorHAnsi" w:hAnsiTheme="minorHAnsi" w:cstheme="minorHAnsi"/>
          <w:sz w:val="22"/>
          <w:szCs w:val="22"/>
        </w:rPr>
        <w:t>20</w:t>
      </w:r>
      <w:r w:rsidRPr="00500A48">
        <w:rPr>
          <w:rFonts w:asciiTheme="minorHAnsi" w:hAnsiTheme="minorHAnsi" w:cstheme="minorHAnsi"/>
          <w:sz w:val="22"/>
          <w:szCs w:val="22"/>
        </w:rPr>
        <w:t xml:space="preserve"> census estimates also identify numbers of residents with particular disabilities, as summarized in Table III-</w:t>
      </w:r>
      <w:r w:rsidR="00E901EA">
        <w:rPr>
          <w:rFonts w:asciiTheme="minorHAnsi" w:hAnsiTheme="minorHAnsi" w:cstheme="minorHAnsi"/>
          <w:sz w:val="22"/>
          <w:szCs w:val="22"/>
        </w:rPr>
        <w:t>20</w:t>
      </w:r>
      <w:r w:rsidRPr="00500A48">
        <w:rPr>
          <w:rFonts w:asciiTheme="minorHAnsi" w:hAnsiTheme="minorHAnsi" w:cstheme="minorHAnsi"/>
          <w:sz w:val="22"/>
          <w:szCs w:val="22"/>
        </w:rPr>
        <w:t xml:space="preserve">.  It should be noted that some residents will have multiple challenges but </w:t>
      </w:r>
      <w:r w:rsidR="00970576">
        <w:rPr>
          <w:rFonts w:asciiTheme="minorHAnsi" w:hAnsiTheme="minorHAnsi" w:cstheme="minorHAnsi"/>
          <w:sz w:val="22"/>
          <w:szCs w:val="22"/>
        </w:rPr>
        <w:t>more than</w:t>
      </w:r>
      <w:r w:rsidRPr="00500A48">
        <w:rPr>
          <w:rFonts w:asciiTheme="minorHAnsi" w:hAnsiTheme="minorHAnsi" w:cstheme="minorHAnsi"/>
          <w:sz w:val="22"/>
          <w:szCs w:val="22"/>
        </w:rPr>
        <w:t xml:space="preserve"> half of the </w:t>
      </w:r>
      <w:r w:rsidR="00970576">
        <w:rPr>
          <w:rFonts w:asciiTheme="minorHAnsi" w:hAnsiTheme="minorHAnsi" w:cstheme="minorHAnsi"/>
          <w:sz w:val="22"/>
          <w:szCs w:val="22"/>
        </w:rPr>
        <w:t>2,262</w:t>
      </w:r>
      <w:r w:rsidRPr="00500A48">
        <w:rPr>
          <w:rFonts w:asciiTheme="minorHAnsi" w:hAnsiTheme="minorHAnsi" w:cstheme="minorHAnsi"/>
          <w:sz w:val="22"/>
          <w:szCs w:val="22"/>
        </w:rPr>
        <w:t xml:space="preserve"> residents who claimed a disability experienced an ambulatory difficulty with about 3</w:t>
      </w:r>
      <w:r w:rsidR="00970576">
        <w:rPr>
          <w:rFonts w:asciiTheme="minorHAnsi" w:hAnsiTheme="minorHAnsi" w:cstheme="minorHAnsi"/>
          <w:sz w:val="22"/>
          <w:szCs w:val="22"/>
        </w:rPr>
        <w:t>7</w:t>
      </w:r>
      <w:r w:rsidRPr="00500A48">
        <w:rPr>
          <w:rFonts w:asciiTheme="minorHAnsi" w:hAnsiTheme="minorHAnsi" w:cstheme="minorHAnsi"/>
          <w:sz w:val="22"/>
          <w:szCs w:val="22"/>
        </w:rPr>
        <w:t>% and 3</w:t>
      </w:r>
      <w:r w:rsidR="00970576">
        <w:rPr>
          <w:rFonts w:asciiTheme="minorHAnsi" w:hAnsiTheme="minorHAnsi" w:cstheme="minorHAnsi"/>
          <w:sz w:val="22"/>
          <w:szCs w:val="22"/>
        </w:rPr>
        <w:t>9</w:t>
      </w:r>
      <w:r w:rsidRPr="00500A48">
        <w:rPr>
          <w:rFonts w:asciiTheme="minorHAnsi" w:hAnsiTheme="minorHAnsi" w:cstheme="minorHAnsi"/>
          <w:sz w:val="22"/>
          <w:szCs w:val="22"/>
        </w:rPr>
        <w:t xml:space="preserve">% with </w:t>
      </w:r>
      <w:r w:rsidR="00C0530E">
        <w:rPr>
          <w:rFonts w:asciiTheme="minorHAnsi" w:hAnsiTheme="minorHAnsi" w:cstheme="minorHAnsi"/>
          <w:sz w:val="22"/>
          <w:szCs w:val="22"/>
        </w:rPr>
        <w:t>cognitive</w:t>
      </w:r>
      <w:r w:rsidRPr="00500A48">
        <w:rPr>
          <w:rFonts w:asciiTheme="minorHAnsi" w:hAnsiTheme="minorHAnsi" w:cstheme="minorHAnsi"/>
          <w:sz w:val="22"/>
          <w:szCs w:val="22"/>
        </w:rPr>
        <w:t xml:space="preserve"> </w:t>
      </w:r>
      <w:r w:rsidR="002F069C">
        <w:rPr>
          <w:rFonts w:asciiTheme="minorHAnsi" w:hAnsiTheme="minorHAnsi" w:cstheme="minorHAnsi"/>
          <w:sz w:val="22"/>
          <w:szCs w:val="22"/>
        </w:rPr>
        <w:t>and/</w:t>
      </w:r>
      <w:r w:rsidRPr="00500A48">
        <w:rPr>
          <w:rFonts w:asciiTheme="minorHAnsi" w:hAnsiTheme="minorHAnsi" w:cstheme="minorHAnsi"/>
          <w:sz w:val="22"/>
          <w:szCs w:val="22"/>
        </w:rPr>
        <w:t>or independently living problem</w:t>
      </w:r>
      <w:r w:rsidR="00D447B1">
        <w:rPr>
          <w:rFonts w:asciiTheme="minorHAnsi" w:hAnsiTheme="minorHAnsi" w:cstheme="minorHAnsi"/>
          <w:sz w:val="22"/>
          <w:szCs w:val="22"/>
        </w:rPr>
        <w:t>s</w:t>
      </w:r>
      <w:r w:rsidRPr="00500A48">
        <w:rPr>
          <w:rFonts w:asciiTheme="minorHAnsi" w:hAnsiTheme="minorHAnsi" w:cstheme="minorHAnsi"/>
          <w:sz w:val="22"/>
          <w:szCs w:val="22"/>
        </w:rPr>
        <w:t>, respectively.</w:t>
      </w:r>
    </w:p>
    <w:p w14:paraId="669108A7" w14:textId="10385BE7" w:rsidR="00500A48" w:rsidRPr="00500A48" w:rsidRDefault="00500A48" w:rsidP="00500A48">
      <w:pPr>
        <w:pStyle w:val="BodyText"/>
        <w:tabs>
          <w:tab w:val="left" w:pos="0"/>
        </w:tabs>
        <w:spacing w:after="0"/>
        <w:ind w:right="-180"/>
        <w:jc w:val="center"/>
        <w:rPr>
          <w:rFonts w:asciiTheme="minorHAnsi" w:hAnsiTheme="minorHAnsi" w:cstheme="minorHAnsi"/>
          <w:b/>
          <w:bCs/>
          <w:sz w:val="22"/>
          <w:szCs w:val="22"/>
        </w:rPr>
      </w:pPr>
      <w:r w:rsidRPr="00500A48">
        <w:rPr>
          <w:rFonts w:asciiTheme="minorHAnsi" w:hAnsiTheme="minorHAnsi" w:cstheme="minorHAnsi"/>
          <w:b/>
          <w:bCs/>
          <w:sz w:val="22"/>
          <w:szCs w:val="22"/>
        </w:rPr>
        <w:t>Table III-</w:t>
      </w:r>
      <w:r>
        <w:rPr>
          <w:rFonts w:asciiTheme="minorHAnsi" w:hAnsiTheme="minorHAnsi" w:cstheme="minorHAnsi"/>
          <w:b/>
          <w:bCs/>
          <w:sz w:val="22"/>
          <w:szCs w:val="22"/>
        </w:rPr>
        <w:t>20</w:t>
      </w:r>
      <w:r w:rsidRPr="00500A48">
        <w:rPr>
          <w:rFonts w:asciiTheme="minorHAnsi" w:hAnsiTheme="minorHAnsi" w:cstheme="minorHAnsi"/>
          <w:b/>
          <w:bCs/>
          <w:sz w:val="22"/>
          <w:szCs w:val="22"/>
        </w:rPr>
        <w:t>: Types and Distribution of Disabilities, 20</w:t>
      </w:r>
      <w:r w:rsidR="00A232CC">
        <w:rPr>
          <w:rFonts w:asciiTheme="minorHAnsi" w:hAnsiTheme="minorHAnsi" w:cstheme="minorHAnsi"/>
          <w:b/>
          <w:bCs/>
          <w:sz w:val="22"/>
          <w:szCs w:val="22"/>
        </w:rPr>
        <w:t>20</w:t>
      </w:r>
    </w:p>
    <w:tbl>
      <w:tblPr>
        <w:tblW w:w="86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29"/>
        <w:gridCol w:w="1907"/>
        <w:gridCol w:w="2280"/>
      </w:tblGrid>
      <w:tr w:rsidR="00500A48" w:rsidRPr="00500A48" w14:paraId="3A87544D" w14:textId="77777777" w:rsidTr="000A6E84">
        <w:trPr>
          <w:trHeight w:val="20"/>
        </w:trPr>
        <w:tc>
          <w:tcPr>
            <w:tcW w:w="2214" w:type="dxa"/>
            <w:shd w:val="clear" w:color="auto" w:fill="auto"/>
            <w:vAlign w:val="center"/>
          </w:tcPr>
          <w:p w14:paraId="6505E368" w14:textId="77777777" w:rsidR="00500A48" w:rsidRPr="00500A48" w:rsidRDefault="00500A48" w:rsidP="000A6E84">
            <w:pPr>
              <w:pStyle w:val="BodyText"/>
              <w:tabs>
                <w:tab w:val="left" w:pos="0"/>
              </w:tabs>
              <w:spacing w:after="0"/>
              <w:jc w:val="center"/>
              <w:rPr>
                <w:rFonts w:asciiTheme="minorHAnsi" w:eastAsia="Calibri" w:hAnsiTheme="minorHAnsi" w:cstheme="minorHAnsi"/>
                <w:b/>
                <w:bCs/>
              </w:rPr>
            </w:pPr>
            <w:r w:rsidRPr="00500A48">
              <w:rPr>
                <w:rFonts w:asciiTheme="minorHAnsi" w:eastAsia="Calibri" w:hAnsiTheme="minorHAnsi" w:cstheme="minorHAnsi"/>
                <w:b/>
                <w:bCs/>
                <w:sz w:val="22"/>
                <w:szCs w:val="22"/>
              </w:rPr>
              <w:t>Type of Disability</w:t>
            </w:r>
          </w:p>
        </w:tc>
        <w:tc>
          <w:tcPr>
            <w:tcW w:w="2229" w:type="dxa"/>
            <w:shd w:val="clear" w:color="auto" w:fill="auto"/>
            <w:vAlign w:val="center"/>
          </w:tcPr>
          <w:p w14:paraId="2DF1E679" w14:textId="77777777" w:rsidR="00500A48" w:rsidRPr="00500A48" w:rsidRDefault="00500A48" w:rsidP="000A6E84">
            <w:pPr>
              <w:pStyle w:val="BodyText"/>
              <w:tabs>
                <w:tab w:val="left" w:pos="0"/>
              </w:tabs>
              <w:spacing w:after="0"/>
              <w:jc w:val="center"/>
              <w:rPr>
                <w:rFonts w:asciiTheme="minorHAnsi" w:eastAsia="Calibri" w:hAnsiTheme="minorHAnsi" w:cstheme="minorHAnsi"/>
                <w:b/>
                <w:bCs/>
              </w:rPr>
            </w:pPr>
            <w:r w:rsidRPr="00500A48">
              <w:rPr>
                <w:rFonts w:asciiTheme="minorHAnsi" w:eastAsia="Calibri" w:hAnsiTheme="minorHAnsi" w:cstheme="minorHAnsi"/>
                <w:b/>
                <w:bCs/>
                <w:sz w:val="22"/>
                <w:szCs w:val="22"/>
              </w:rPr>
              <w:t># Residents</w:t>
            </w:r>
          </w:p>
        </w:tc>
        <w:tc>
          <w:tcPr>
            <w:tcW w:w="1907" w:type="dxa"/>
            <w:shd w:val="clear" w:color="auto" w:fill="auto"/>
            <w:vAlign w:val="center"/>
          </w:tcPr>
          <w:p w14:paraId="342373B1" w14:textId="77777777" w:rsidR="00500A48" w:rsidRPr="00500A48" w:rsidRDefault="00500A48" w:rsidP="000A6E84">
            <w:pPr>
              <w:pStyle w:val="BodyText"/>
              <w:tabs>
                <w:tab w:val="left" w:pos="0"/>
              </w:tabs>
              <w:spacing w:after="0"/>
              <w:jc w:val="center"/>
              <w:rPr>
                <w:rFonts w:asciiTheme="minorHAnsi" w:eastAsia="Calibri" w:hAnsiTheme="minorHAnsi" w:cstheme="minorHAnsi"/>
                <w:b/>
                <w:bCs/>
              </w:rPr>
            </w:pPr>
            <w:r w:rsidRPr="00500A48">
              <w:rPr>
                <w:rFonts w:asciiTheme="minorHAnsi" w:eastAsia="Calibri" w:hAnsiTheme="minorHAnsi" w:cstheme="minorHAnsi"/>
                <w:b/>
                <w:bCs/>
                <w:sz w:val="22"/>
                <w:szCs w:val="22"/>
              </w:rPr>
              <w:t>% Disabled</w:t>
            </w:r>
          </w:p>
        </w:tc>
        <w:tc>
          <w:tcPr>
            <w:tcW w:w="2280" w:type="dxa"/>
            <w:shd w:val="clear" w:color="auto" w:fill="auto"/>
            <w:vAlign w:val="center"/>
          </w:tcPr>
          <w:p w14:paraId="4F1A2EEF" w14:textId="77777777" w:rsidR="00500A48" w:rsidRPr="00500A48" w:rsidRDefault="00500A48" w:rsidP="000A6E84">
            <w:pPr>
              <w:pStyle w:val="BodyText"/>
              <w:tabs>
                <w:tab w:val="left" w:pos="0"/>
              </w:tabs>
              <w:spacing w:after="0"/>
              <w:jc w:val="center"/>
              <w:rPr>
                <w:rFonts w:asciiTheme="minorHAnsi" w:eastAsia="Calibri" w:hAnsiTheme="minorHAnsi" w:cstheme="minorHAnsi"/>
                <w:b/>
                <w:bCs/>
              </w:rPr>
            </w:pPr>
            <w:r w:rsidRPr="00500A48">
              <w:rPr>
                <w:rFonts w:asciiTheme="minorHAnsi" w:eastAsia="Calibri" w:hAnsiTheme="minorHAnsi" w:cstheme="minorHAnsi"/>
                <w:b/>
                <w:bCs/>
                <w:sz w:val="22"/>
                <w:szCs w:val="22"/>
              </w:rPr>
              <w:t>% All Residents</w:t>
            </w:r>
          </w:p>
        </w:tc>
      </w:tr>
      <w:tr w:rsidR="00E901EA" w:rsidRPr="00500A48" w14:paraId="2B502AD4" w14:textId="77777777" w:rsidTr="000A6E84">
        <w:trPr>
          <w:trHeight w:val="20"/>
        </w:trPr>
        <w:tc>
          <w:tcPr>
            <w:tcW w:w="2214" w:type="dxa"/>
            <w:shd w:val="clear" w:color="auto" w:fill="auto"/>
            <w:vAlign w:val="center"/>
          </w:tcPr>
          <w:p w14:paraId="74B9E0C4"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Hearing Difficulty</w:t>
            </w:r>
          </w:p>
        </w:tc>
        <w:tc>
          <w:tcPr>
            <w:tcW w:w="2229" w:type="dxa"/>
            <w:shd w:val="clear" w:color="auto" w:fill="auto"/>
            <w:vAlign w:val="center"/>
          </w:tcPr>
          <w:p w14:paraId="19F0B465" w14:textId="691402CF"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694</w:t>
            </w:r>
          </w:p>
        </w:tc>
        <w:tc>
          <w:tcPr>
            <w:tcW w:w="1907" w:type="dxa"/>
            <w:shd w:val="clear" w:color="auto" w:fill="auto"/>
            <w:vAlign w:val="center"/>
          </w:tcPr>
          <w:p w14:paraId="42453D77" w14:textId="3153C525"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30.7</w:t>
            </w:r>
          </w:p>
        </w:tc>
        <w:tc>
          <w:tcPr>
            <w:tcW w:w="2280" w:type="dxa"/>
            <w:shd w:val="clear" w:color="auto" w:fill="auto"/>
            <w:vAlign w:val="center"/>
          </w:tcPr>
          <w:p w14:paraId="7553CF9A" w14:textId="4732C226"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2.</w:t>
            </w:r>
            <w:r w:rsidR="00D44E3C">
              <w:rPr>
                <w:rFonts w:asciiTheme="minorHAnsi" w:eastAsia="Calibri" w:hAnsiTheme="minorHAnsi" w:cstheme="minorHAnsi"/>
                <w:bCs/>
                <w:sz w:val="20"/>
                <w:szCs w:val="20"/>
              </w:rPr>
              <w:t>3</w:t>
            </w:r>
          </w:p>
        </w:tc>
      </w:tr>
      <w:tr w:rsidR="00E901EA" w:rsidRPr="00500A48" w14:paraId="0C63C7EC" w14:textId="77777777" w:rsidTr="000A6E84">
        <w:trPr>
          <w:trHeight w:val="20"/>
        </w:trPr>
        <w:tc>
          <w:tcPr>
            <w:tcW w:w="2214" w:type="dxa"/>
            <w:shd w:val="clear" w:color="auto" w:fill="auto"/>
            <w:vAlign w:val="center"/>
          </w:tcPr>
          <w:p w14:paraId="3D87BF70"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Vision Difficulty</w:t>
            </w:r>
          </w:p>
        </w:tc>
        <w:tc>
          <w:tcPr>
            <w:tcW w:w="2229" w:type="dxa"/>
            <w:shd w:val="clear" w:color="auto" w:fill="auto"/>
            <w:vAlign w:val="center"/>
          </w:tcPr>
          <w:p w14:paraId="1BC7FCEA" w14:textId="463BA153"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256</w:t>
            </w:r>
          </w:p>
        </w:tc>
        <w:tc>
          <w:tcPr>
            <w:tcW w:w="1907" w:type="dxa"/>
            <w:shd w:val="clear" w:color="auto" w:fill="auto"/>
            <w:vAlign w:val="center"/>
          </w:tcPr>
          <w:p w14:paraId="623E4C96" w14:textId="5B8B3D83"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11.3</w:t>
            </w:r>
          </w:p>
        </w:tc>
        <w:tc>
          <w:tcPr>
            <w:tcW w:w="2280" w:type="dxa"/>
            <w:shd w:val="clear" w:color="auto" w:fill="auto"/>
            <w:vAlign w:val="center"/>
          </w:tcPr>
          <w:p w14:paraId="0B0CFD72" w14:textId="73977EF3"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0.8</w:t>
            </w:r>
          </w:p>
        </w:tc>
      </w:tr>
      <w:tr w:rsidR="00E901EA" w:rsidRPr="00500A48" w14:paraId="6CFD3556" w14:textId="77777777" w:rsidTr="000A6E84">
        <w:trPr>
          <w:trHeight w:val="20"/>
        </w:trPr>
        <w:tc>
          <w:tcPr>
            <w:tcW w:w="2214" w:type="dxa"/>
            <w:shd w:val="clear" w:color="auto" w:fill="auto"/>
            <w:vAlign w:val="center"/>
          </w:tcPr>
          <w:p w14:paraId="6AF9637A"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Cognitive Difficulty</w:t>
            </w:r>
          </w:p>
        </w:tc>
        <w:tc>
          <w:tcPr>
            <w:tcW w:w="2229" w:type="dxa"/>
            <w:shd w:val="clear" w:color="auto" w:fill="auto"/>
            <w:vAlign w:val="center"/>
          </w:tcPr>
          <w:p w14:paraId="7C6A28BE" w14:textId="1DC23B4E"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834</w:t>
            </w:r>
          </w:p>
        </w:tc>
        <w:tc>
          <w:tcPr>
            <w:tcW w:w="1907" w:type="dxa"/>
            <w:shd w:val="clear" w:color="auto" w:fill="auto"/>
            <w:vAlign w:val="center"/>
          </w:tcPr>
          <w:p w14:paraId="0FA9F0BF" w14:textId="34CCA44B"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36.9</w:t>
            </w:r>
          </w:p>
        </w:tc>
        <w:tc>
          <w:tcPr>
            <w:tcW w:w="2280" w:type="dxa"/>
            <w:shd w:val="clear" w:color="auto" w:fill="auto"/>
            <w:vAlign w:val="center"/>
          </w:tcPr>
          <w:p w14:paraId="05857C46" w14:textId="5A5EC082"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2.</w:t>
            </w:r>
            <w:r w:rsidR="00D44E3C">
              <w:rPr>
                <w:rFonts w:asciiTheme="minorHAnsi" w:eastAsia="Calibri" w:hAnsiTheme="minorHAnsi" w:cstheme="minorHAnsi"/>
                <w:bCs/>
                <w:sz w:val="20"/>
                <w:szCs w:val="20"/>
              </w:rPr>
              <w:t>9</w:t>
            </w:r>
          </w:p>
        </w:tc>
      </w:tr>
      <w:tr w:rsidR="00E901EA" w:rsidRPr="00500A48" w14:paraId="7D2BA26F" w14:textId="77777777" w:rsidTr="000A6E84">
        <w:trPr>
          <w:trHeight w:val="20"/>
        </w:trPr>
        <w:tc>
          <w:tcPr>
            <w:tcW w:w="2214" w:type="dxa"/>
            <w:shd w:val="clear" w:color="auto" w:fill="auto"/>
            <w:vAlign w:val="center"/>
          </w:tcPr>
          <w:p w14:paraId="48F40F04"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Ambulatory Difficulty</w:t>
            </w:r>
          </w:p>
        </w:tc>
        <w:tc>
          <w:tcPr>
            <w:tcW w:w="2229" w:type="dxa"/>
            <w:shd w:val="clear" w:color="auto" w:fill="auto"/>
            <w:vAlign w:val="center"/>
          </w:tcPr>
          <w:p w14:paraId="55F0E026" w14:textId="20C6AEED"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1,240</w:t>
            </w:r>
          </w:p>
        </w:tc>
        <w:tc>
          <w:tcPr>
            <w:tcW w:w="1907" w:type="dxa"/>
            <w:shd w:val="clear" w:color="auto" w:fill="auto"/>
            <w:vAlign w:val="center"/>
          </w:tcPr>
          <w:p w14:paraId="14D3E787" w14:textId="14109902"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54.8</w:t>
            </w:r>
          </w:p>
        </w:tc>
        <w:tc>
          <w:tcPr>
            <w:tcW w:w="2280" w:type="dxa"/>
            <w:shd w:val="clear" w:color="auto" w:fill="auto"/>
            <w:vAlign w:val="center"/>
          </w:tcPr>
          <w:p w14:paraId="2065D1BA" w14:textId="1CE09F16" w:rsidR="00E901EA" w:rsidRPr="00500A48" w:rsidRDefault="00D44E3C"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4.2</w:t>
            </w:r>
          </w:p>
        </w:tc>
      </w:tr>
      <w:tr w:rsidR="00E901EA" w:rsidRPr="00500A48" w14:paraId="17789660" w14:textId="77777777" w:rsidTr="000A6E84">
        <w:trPr>
          <w:trHeight w:val="20"/>
        </w:trPr>
        <w:tc>
          <w:tcPr>
            <w:tcW w:w="2214" w:type="dxa"/>
            <w:shd w:val="clear" w:color="auto" w:fill="auto"/>
            <w:vAlign w:val="center"/>
          </w:tcPr>
          <w:p w14:paraId="0E0382AD"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Self-care Difficulty</w:t>
            </w:r>
          </w:p>
        </w:tc>
        <w:tc>
          <w:tcPr>
            <w:tcW w:w="2229" w:type="dxa"/>
            <w:shd w:val="clear" w:color="auto" w:fill="auto"/>
            <w:vAlign w:val="center"/>
          </w:tcPr>
          <w:p w14:paraId="37B8CE30" w14:textId="787739D8"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684</w:t>
            </w:r>
          </w:p>
        </w:tc>
        <w:tc>
          <w:tcPr>
            <w:tcW w:w="1907" w:type="dxa"/>
            <w:shd w:val="clear" w:color="auto" w:fill="auto"/>
            <w:vAlign w:val="center"/>
          </w:tcPr>
          <w:p w14:paraId="47CAC8C6" w14:textId="275ACB47"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30.2</w:t>
            </w:r>
          </w:p>
        </w:tc>
        <w:tc>
          <w:tcPr>
            <w:tcW w:w="2280" w:type="dxa"/>
            <w:shd w:val="clear" w:color="auto" w:fill="auto"/>
            <w:vAlign w:val="center"/>
          </w:tcPr>
          <w:p w14:paraId="49853CC1" w14:textId="3CFFE2B8"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2.3</w:t>
            </w:r>
          </w:p>
        </w:tc>
      </w:tr>
      <w:tr w:rsidR="00E901EA" w:rsidRPr="00500A48" w14:paraId="0EC19202" w14:textId="77777777" w:rsidTr="000A6E84">
        <w:trPr>
          <w:trHeight w:val="20"/>
        </w:trPr>
        <w:tc>
          <w:tcPr>
            <w:tcW w:w="2214" w:type="dxa"/>
            <w:shd w:val="clear" w:color="auto" w:fill="auto"/>
            <w:vAlign w:val="center"/>
          </w:tcPr>
          <w:p w14:paraId="082DA7B0" w14:textId="77777777" w:rsidR="00E901EA" w:rsidRPr="00500A48" w:rsidRDefault="00E901EA" w:rsidP="00E901EA">
            <w:pPr>
              <w:pStyle w:val="BodyText"/>
              <w:tabs>
                <w:tab w:val="left" w:pos="0"/>
              </w:tabs>
              <w:spacing w:after="0"/>
              <w:jc w:val="center"/>
              <w:rPr>
                <w:rFonts w:asciiTheme="minorHAnsi" w:eastAsia="Calibri" w:hAnsiTheme="minorHAnsi" w:cstheme="minorHAnsi"/>
                <w:sz w:val="20"/>
                <w:szCs w:val="20"/>
              </w:rPr>
            </w:pPr>
            <w:r w:rsidRPr="00500A48">
              <w:rPr>
                <w:rFonts w:asciiTheme="minorHAnsi" w:eastAsia="Calibri" w:hAnsiTheme="minorHAnsi" w:cstheme="minorHAnsi"/>
                <w:sz w:val="20"/>
                <w:szCs w:val="20"/>
              </w:rPr>
              <w:t>Independent Living</w:t>
            </w:r>
          </w:p>
          <w:p w14:paraId="5A86B100" w14:textId="77777777" w:rsidR="00E901EA" w:rsidRPr="00500A48" w:rsidRDefault="00E901EA" w:rsidP="00E901EA">
            <w:pPr>
              <w:pStyle w:val="BodyText"/>
              <w:tabs>
                <w:tab w:val="left" w:pos="0"/>
              </w:tabs>
              <w:spacing w:after="0"/>
              <w:jc w:val="center"/>
              <w:rPr>
                <w:rFonts w:asciiTheme="minorHAnsi" w:eastAsia="Calibri" w:hAnsiTheme="minorHAnsi" w:cstheme="minorHAnsi"/>
                <w:bCs/>
                <w:sz w:val="20"/>
                <w:szCs w:val="20"/>
              </w:rPr>
            </w:pPr>
            <w:r w:rsidRPr="00500A48">
              <w:rPr>
                <w:rFonts w:asciiTheme="minorHAnsi" w:eastAsia="Calibri" w:hAnsiTheme="minorHAnsi" w:cstheme="minorHAnsi"/>
                <w:sz w:val="20"/>
                <w:szCs w:val="20"/>
              </w:rPr>
              <w:t>Difficulty</w:t>
            </w:r>
          </w:p>
        </w:tc>
        <w:tc>
          <w:tcPr>
            <w:tcW w:w="2229" w:type="dxa"/>
            <w:shd w:val="clear" w:color="auto" w:fill="auto"/>
            <w:vAlign w:val="center"/>
          </w:tcPr>
          <w:p w14:paraId="7C413153" w14:textId="1D4D623A"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885</w:t>
            </w:r>
          </w:p>
        </w:tc>
        <w:tc>
          <w:tcPr>
            <w:tcW w:w="1907" w:type="dxa"/>
            <w:shd w:val="clear" w:color="auto" w:fill="auto"/>
            <w:vAlign w:val="center"/>
          </w:tcPr>
          <w:p w14:paraId="6C0E45AB" w14:textId="5F7A0397"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39.1</w:t>
            </w:r>
          </w:p>
        </w:tc>
        <w:tc>
          <w:tcPr>
            <w:tcW w:w="2280" w:type="dxa"/>
            <w:shd w:val="clear" w:color="auto" w:fill="auto"/>
            <w:vAlign w:val="center"/>
          </w:tcPr>
          <w:p w14:paraId="7A93AF86" w14:textId="082A0766" w:rsidR="00E901EA" w:rsidRPr="00500A48" w:rsidRDefault="00970576" w:rsidP="00E901EA">
            <w:pPr>
              <w:pStyle w:val="BodyText"/>
              <w:tabs>
                <w:tab w:val="left" w:pos="0"/>
              </w:tabs>
              <w:spacing w:after="0"/>
              <w:jc w:val="center"/>
              <w:rPr>
                <w:rFonts w:asciiTheme="minorHAnsi" w:eastAsia="Calibri" w:hAnsiTheme="minorHAnsi" w:cstheme="minorHAnsi"/>
                <w:bCs/>
                <w:sz w:val="20"/>
                <w:szCs w:val="20"/>
              </w:rPr>
            </w:pPr>
            <w:r>
              <w:rPr>
                <w:rFonts w:asciiTheme="minorHAnsi" w:eastAsia="Calibri" w:hAnsiTheme="minorHAnsi" w:cstheme="minorHAnsi"/>
                <w:bCs/>
                <w:sz w:val="20"/>
                <w:szCs w:val="20"/>
              </w:rPr>
              <w:t>4.0</w:t>
            </w:r>
          </w:p>
        </w:tc>
      </w:tr>
    </w:tbl>
    <w:p w14:paraId="330B009D" w14:textId="7D0BB4E2" w:rsidR="00500A48" w:rsidRPr="00500A48" w:rsidRDefault="00500A48" w:rsidP="00500A48">
      <w:pPr>
        <w:pStyle w:val="BodyText"/>
        <w:tabs>
          <w:tab w:val="left" w:pos="0"/>
        </w:tabs>
        <w:spacing w:after="0"/>
        <w:ind w:left="720"/>
        <w:jc w:val="both"/>
        <w:rPr>
          <w:rFonts w:asciiTheme="minorHAnsi" w:hAnsiTheme="minorHAnsi" w:cstheme="minorHAnsi"/>
          <w:sz w:val="20"/>
          <w:szCs w:val="20"/>
        </w:rPr>
      </w:pPr>
      <w:r w:rsidRPr="00500A48">
        <w:rPr>
          <w:rFonts w:asciiTheme="minorHAnsi" w:hAnsiTheme="minorHAnsi" w:cstheme="minorHAnsi"/>
          <w:sz w:val="20"/>
          <w:szCs w:val="20"/>
        </w:rPr>
        <w:t>Source:  U.S. Census Bureau, Census American Community Survey 5-Year Estimates for 201</w:t>
      </w:r>
      <w:r w:rsidR="00A232CC">
        <w:rPr>
          <w:rFonts w:asciiTheme="minorHAnsi" w:hAnsiTheme="minorHAnsi" w:cstheme="minorHAnsi"/>
          <w:sz w:val="20"/>
          <w:szCs w:val="20"/>
        </w:rPr>
        <w:t>6</w:t>
      </w:r>
      <w:r w:rsidRPr="00500A48">
        <w:rPr>
          <w:rFonts w:asciiTheme="minorHAnsi" w:hAnsiTheme="minorHAnsi" w:cstheme="minorHAnsi"/>
          <w:sz w:val="20"/>
          <w:szCs w:val="20"/>
        </w:rPr>
        <w:t>-20</w:t>
      </w:r>
      <w:r w:rsidR="00A232CC">
        <w:rPr>
          <w:rFonts w:asciiTheme="minorHAnsi" w:hAnsiTheme="minorHAnsi" w:cstheme="minorHAnsi"/>
          <w:sz w:val="20"/>
          <w:szCs w:val="20"/>
        </w:rPr>
        <w:t>20</w:t>
      </w:r>
      <w:r w:rsidRPr="00500A48">
        <w:rPr>
          <w:rFonts w:asciiTheme="minorHAnsi" w:hAnsiTheme="minorHAnsi" w:cstheme="minorHAnsi"/>
          <w:sz w:val="20"/>
          <w:szCs w:val="20"/>
        </w:rPr>
        <w:t>.</w:t>
      </w:r>
    </w:p>
    <w:p w14:paraId="6649FC74" w14:textId="77777777" w:rsidR="00500A48" w:rsidRDefault="00500A48" w:rsidP="008772FC">
      <w:pPr>
        <w:rPr>
          <w:rFonts w:ascii="Calibri" w:hAnsi="Calibri"/>
          <w:b/>
          <w:bCs/>
          <w:color w:val="1F497D" w:themeColor="text2"/>
        </w:rPr>
      </w:pPr>
    </w:p>
    <w:p w14:paraId="108E7332" w14:textId="11C38894" w:rsidR="001E5BDE" w:rsidRDefault="00CC15E1" w:rsidP="008772FC">
      <w:pPr>
        <w:rPr>
          <w:rFonts w:ascii="Calibri" w:hAnsi="Calibri"/>
          <w:b/>
          <w:bCs/>
          <w:color w:val="1F497D" w:themeColor="text2"/>
        </w:rPr>
      </w:pPr>
      <w:r>
        <w:rPr>
          <w:rFonts w:ascii="Calibri" w:hAnsi="Calibri"/>
          <w:b/>
          <w:bCs/>
          <w:color w:val="1F497D" w:themeColor="text2"/>
        </w:rPr>
        <w:t>6</w:t>
      </w:r>
      <w:r w:rsidR="008772FC" w:rsidRPr="006065C2">
        <w:rPr>
          <w:rFonts w:ascii="Calibri" w:hAnsi="Calibri"/>
          <w:b/>
          <w:bCs/>
          <w:color w:val="1F497D" w:themeColor="text2"/>
        </w:rPr>
        <w:t>.</w:t>
      </w:r>
      <w:r w:rsidR="008772FC" w:rsidRPr="006065C2">
        <w:rPr>
          <w:rFonts w:ascii="Calibri" w:hAnsi="Calibri"/>
          <w:b/>
          <w:bCs/>
          <w:color w:val="1F497D" w:themeColor="text2"/>
        </w:rPr>
        <w:tab/>
        <w:t xml:space="preserve">Resident Mobility – </w:t>
      </w:r>
      <w:r w:rsidR="001B054B">
        <w:rPr>
          <w:rFonts w:ascii="Calibri" w:hAnsi="Calibri"/>
          <w:b/>
          <w:bCs/>
          <w:color w:val="1F497D" w:themeColor="text2"/>
        </w:rPr>
        <w:t>H</w:t>
      </w:r>
      <w:r w:rsidR="001E5BDE">
        <w:rPr>
          <w:rFonts w:ascii="Calibri" w:hAnsi="Calibri"/>
          <w:b/>
          <w:bCs/>
          <w:color w:val="1F497D" w:themeColor="text2"/>
        </w:rPr>
        <w:t xml:space="preserve">ousing turnover </w:t>
      </w:r>
      <w:r w:rsidR="001B054B">
        <w:rPr>
          <w:rFonts w:ascii="Calibri" w:hAnsi="Calibri"/>
          <w:b/>
          <w:bCs/>
          <w:color w:val="1F497D" w:themeColor="text2"/>
        </w:rPr>
        <w:t>lower than the statewide level</w:t>
      </w:r>
    </w:p>
    <w:p w14:paraId="1D54192D" w14:textId="063B62D7" w:rsidR="00FF11DE" w:rsidRDefault="008772FC" w:rsidP="00851077">
      <w:pPr>
        <w:pStyle w:val="BodyText"/>
        <w:spacing w:after="0"/>
        <w:jc w:val="both"/>
        <w:rPr>
          <w:rFonts w:ascii="Calibri" w:hAnsi="Calibri"/>
          <w:sz w:val="22"/>
          <w:szCs w:val="22"/>
        </w:rPr>
      </w:pPr>
      <w:r w:rsidRPr="006065C2">
        <w:rPr>
          <w:rFonts w:ascii="Calibri" w:hAnsi="Calibri"/>
          <w:sz w:val="22"/>
          <w:szCs w:val="22"/>
        </w:rPr>
        <w:t xml:space="preserve">Of the population one year of age or older, </w:t>
      </w:r>
      <w:r w:rsidR="00415A19">
        <w:rPr>
          <w:rFonts w:ascii="Calibri" w:hAnsi="Calibri"/>
          <w:sz w:val="22"/>
          <w:szCs w:val="22"/>
        </w:rPr>
        <w:t>92.6</w:t>
      </w:r>
      <w:r w:rsidRPr="006065C2">
        <w:rPr>
          <w:rFonts w:ascii="Calibri" w:hAnsi="Calibri"/>
          <w:sz w:val="22"/>
          <w:szCs w:val="22"/>
        </w:rPr>
        <w:t>% lived in the same house as they did the year before</w:t>
      </w:r>
      <w:r w:rsidR="00B62F84">
        <w:rPr>
          <w:rFonts w:ascii="Calibri" w:hAnsi="Calibri"/>
          <w:sz w:val="22"/>
          <w:szCs w:val="22"/>
        </w:rPr>
        <w:t xml:space="preserve"> according to 20</w:t>
      </w:r>
      <w:r w:rsidR="001D28FA">
        <w:rPr>
          <w:rFonts w:ascii="Calibri" w:hAnsi="Calibri"/>
          <w:sz w:val="22"/>
          <w:szCs w:val="22"/>
        </w:rPr>
        <w:t>20</w:t>
      </w:r>
      <w:r w:rsidR="00B62F84">
        <w:rPr>
          <w:rFonts w:ascii="Calibri" w:hAnsi="Calibri"/>
          <w:sz w:val="22"/>
          <w:szCs w:val="22"/>
        </w:rPr>
        <w:t xml:space="preserve"> census estimates</w:t>
      </w:r>
      <w:r w:rsidRPr="006065C2">
        <w:rPr>
          <w:rFonts w:ascii="Calibri" w:hAnsi="Calibri"/>
          <w:sz w:val="22"/>
          <w:szCs w:val="22"/>
        </w:rPr>
        <w:t>.  Of those</w:t>
      </w:r>
      <w:r w:rsidR="00FF11DE">
        <w:rPr>
          <w:rFonts w:ascii="Calibri" w:hAnsi="Calibri"/>
          <w:sz w:val="22"/>
          <w:szCs w:val="22"/>
        </w:rPr>
        <w:t xml:space="preserve"> </w:t>
      </w:r>
      <w:r w:rsidR="00415A19">
        <w:rPr>
          <w:rFonts w:ascii="Calibri" w:hAnsi="Calibri"/>
          <w:sz w:val="22"/>
          <w:szCs w:val="22"/>
        </w:rPr>
        <w:t>2,284 residents</w:t>
      </w:r>
      <w:r w:rsidR="00FF11DE">
        <w:rPr>
          <w:rFonts w:ascii="Calibri" w:hAnsi="Calibri"/>
          <w:sz w:val="22"/>
          <w:szCs w:val="22"/>
        </w:rPr>
        <w:t xml:space="preserve"> </w:t>
      </w:r>
      <w:r w:rsidRPr="006065C2">
        <w:rPr>
          <w:rFonts w:ascii="Calibri" w:hAnsi="Calibri"/>
          <w:sz w:val="22"/>
          <w:szCs w:val="22"/>
        </w:rPr>
        <w:t>who had moved</w:t>
      </w:r>
      <w:r w:rsidR="00B62F84">
        <w:rPr>
          <w:rFonts w:ascii="Calibri" w:hAnsi="Calibri"/>
          <w:sz w:val="22"/>
          <w:szCs w:val="22"/>
        </w:rPr>
        <w:t xml:space="preserve"> into Needham</w:t>
      </w:r>
      <w:r w:rsidR="00FF11DE">
        <w:rPr>
          <w:rFonts w:ascii="Calibri" w:hAnsi="Calibri"/>
          <w:sz w:val="22"/>
          <w:szCs w:val="22"/>
        </w:rPr>
        <w:t xml:space="preserve"> in 201</w:t>
      </w:r>
      <w:r w:rsidR="00721F1A">
        <w:rPr>
          <w:rFonts w:ascii="Calibri" w:hAnsi="Calibri"/>
          <w:sz w:val="22"/>
          <w:szCs w:val="22"/>
        </w:rPr>
        <w:t>9</w:t>
      </w:r>
      <w:r w:rsidRPr="006065C2">
        <w:rPr>
          <w:rFonts w:ascii="Calibri" w:hAnsi="Calibri"/>
          <w:sz w:val="22"/>
          <w:szCs w:val="22"/>
        </w:rPr>
        <w:t>, 3</w:t>
      </w:r>
      <w:r w:rsidR="00721F1A">
        <w:rPr>
          <w:rFonts w:ascii="Calibri" w:hAnsi="Calibri"/>
          <w:sz w:val="22"/>
          <w:szCs w:val="22"/>
        </w:rPr>
        <w:t>4</w:t>
      </w:r>
      <w:r w:rsidRPr="006065C2">
        <w:rPr>
          <w:rFonts w:ascii="Calibri" w:hAnsi="Calibri"/>
          <w:sz w:val="22"/>
          <w:szCs w:val="22"/>
        </w:rPr>
        <w:t>% came from within Norfolk County</w:t>
      </w:r>
      <w:r w:rsidR="00721F1A">
        <w:rPr>
          <w:rFonts w:ascii="Calibri" w:hAnsi="Calibri"/>
          <w:sz w:val="22"/>
          <w:szCs w:val="22"/>
        </w:rPr>
        <w:t>, 3</w:t>
      </w:r>
      <w:r w:rsidR="00415A19">
        <w:rPr>
          <w:rFonts w:ascii="Calibri" w:hAnsi="Calibri"/>
          <w:sz w:val="22"/>
          <w:szCs w:val="22"/>
        </w:rPr>
        <w:t>5</w:t>
      </w:r>
      <w:r w:rsidR="00721F1A">
        <w:rPr>
          <w:rFonts w:ascii="Calibri" w:hAnsi="Calibri"/>
          <w:sz w:val="22"/>
          <w:szCs w:val="22"/>
        </w:rPr>
        <w:t xml:space="preserve">% from another county in Massachusetts, </w:t>
      </w:r>
      <w:r w:rsidR="00415A19">
        <w:rPr>
          <w:rFonts w:ascii="Calibri" w:hAnsi="Calibri"/>
          <w:sz w:val="22"/>
          <w:szCs w:val="22"/>
        </w:rPr>
        <w:t>with</w:t>
      </w:r>
      <w:r w:rsidRPr="006065C2">
        <w:rPr>
          <w:rFonts w:ascii="Calibri" w:hAnsi="Calibri"/>
          <w:sz w:val="22"/>
          <w:szCs w:val="22"/>
        </w:rPr>
        <w:t xml:space="preserve"> </w:t>
      </w:r>
      <w:r w:rsidR="00FF11DE">
        <w:rPr>
          <w:rFonts w:ascii="Calibri" w:hAnsi="Calibri"/>
          <w:sz w:val="22"/>
          <w:szCs w:val="22"/>
        </w:rPr>
        <w:t xml:space="preserve">another </w:t>
      </w:r>
      <w:r w:rsidR="00415A19">
        <w:rPr>
          <w:rFonts w:ascii="Calibri" w:hAnsi="Calibri"/>
          <w:sz w:val="22"/>
          <w:szCs w:val="22"/>
        </w:rPr>
        <w:t>30</w:t>
      </w:r>
      <w:r w:rsidRPr="006065C2">
        <w:rPr>
          <w:rFonts w:ascii="Calibri" w:hAnsi="Calibri"/>
          <w:sz w:val="22"/>
          <w:szCs w:val="22"/>
        </w:rPr>
        <w:t xml:space="preserve">% coming from a different state or abroad.   There was more mobility of residents on the statewide level with </w:t>
      </w:r>
      <w:r w:rsidR="00FF11DE">
        <w:rPr>
          <w:rFonts w:ascii="Calibri" w:hAnsi="Calibri"/>
          <w:sz w:val="22"/>
          <w:szCs w:val="22"/>
        </w:rPr>
        <w:t>1</w:t>
      </w:r>
      <w:r w:rsidR="00731EB9">
        <w:rPr>
          <w:rFonts w:ascii="Calibri" w:hAnsi="Calibri"/>
          <w:sz w:val="22"/>
          <w:szCs w:val="22"/>
        </w:rPr>
        <w:t>2.5</w:t>
      </w:r>
      <w:r w:rsidRPr="006065C2">
        <w:rPr>
          <w:rFonts w:ascii="Calibri" w:hAnsi="Calibri"/>
          <w:sz w:val="22"/>
          <w:szCs w:val="22"/>
        </w:rPr>
        <w:t xml:space="preserve">% of residents </w:t>
      </w:r>
      <w:r w:rsidR="00FF11DE">
        <w:rPr>
          <w:rFonts w:ascii="Calibri" w:hAnsi="Calibri"/>
          <w:sz w:val="22"/>
          <w:szCs w:val="22"/>
        </w:rPr>
        <w:t>moving in 201</w:t>
      </w:r>
      <w:r w:rsidR="00721F1A">
        <w:rPr>
          <w:rFonts w:ascii="Calibri" w:hAnsi="Calibri"/>
          <w:sz w:val="22"/>
          <w:szCs w:val="22"/>
        </w:rPr>
        <w:t>9</w:t>
      </w:r>
      <w:r w:rsidR="00FF11DE">
        <w:rPr>
          <w:rFonts w:ascii="Calibri" w:hAnsi="Calibri"/>
          <w:sz w:val="22"/>
          <w:szCs w:val="22"/>
        </w:rPr>
        <w:t>.</w:t>
      </w:r>
    </w:p>
    <w:p w14:paraId="362D9777" w14:textId="77777777" w:rsidR="007E0B91" w:rsidRDefault="007E0B91" w:rsidP="00851077">
      <w:pPr>
        <w:pStyle w:val="BodyText"/>
        <w:spacing w:after="0"/>
        <w:jc w:val="both"/>
        <w:rPr>
          <w:rFonts w:ascii="Calibri" w:hAnsi="Calibri"/>
          <w:sz w:val="22"/>
          <w:szCs w:val="22"/>
        </w:rPr>
      </w:pPr>
    </w:p>
    <w:p w14:paraId="4773217E" w14:textId="77777777" w:rsidR="00443757" w:rsidRDefault="00443757" w:rsidP="008772FC">
      <w:pPr>
        <w:pStyle w:val="Header"/>
        <w:ind w:left="720" w:hanging="720"/>
        <w:jc w:val="center"/>
        <w:rPr>
          <w:rFonts w:ascii="Calibri" w:hAnsi="Calibri"/>
          <w:b/>
          <w:color w:val="FF0000"/>
          <w:sz w:val="22"/>
          <w:szCs w:val="22"/>
        </w:rPr>
        <w:sectPr w:rsidR="00443757" w:rsidSect="00443757">
          <w:pgSz w:w="12240" w:h="15840"/>
          <w:pgMar w:top="1440" w:right="1440" w:bottom="1440" w:left="1440" w:header="720" w:footer="720" w:gutter="0"/>
          <w:cols w:space="720"/>
          <w:docGrid w:linePitch="360"/>
        </w:sectPr>
      </w:pPr>
    </w:p>
    <w:p w14:paraId="26D8BC49" w14:textId="77777777" w:rsidR="008772FC" w:rsidRPr="00CE0594" w:rsidRDefault="00796936" w:rsidP="00796936">
      <w:pPr>
        <w:pStyle w:val="Header"/>
        <w:ind w:left="720" w:hanging="720"/>
        <w:rPr>
          <w:rFonts w:ascii="Calibri" w:hAnsi="Calibri"/>
          <w:b/>
          <w:color w:val="1F497D" w:themeColor="text2"/>
        </w:rPr>
      </w:pPr>
      <w:r w:rsidRPr="00CE0594">
        <w:rPr>
          <w:rFonts w:ascii="Calibri" w:hAnsi="Calibri"/>
          <w:b/>
          <w:color w:val="1F497D" w:themeColor="text2"/>
        </w:rPr>
        <w:lastRenderedPageBreak/>
        <w:t>C.</w:t>
      </w:r>
      <w:r w:rsidRPr="00CE0594">
        <w:rPr>
          <w:rFonts w:ascii="Calibri" w:hAnsi="Calibri"/>
          <w:b/>
          <w:color w:val="1F497D" w:themeColor="text2"/>
        </w:rPr>
        <w:tab/>
      </w:r>
      <w:r w:rsidR="008772FC" w:rsidRPr="00CE0594">
        <w:rPr>
          <w:rFonts w:ascii="Calibri" w:hAnsi="Calibri"/>
          <w:b/>
          <w:color w:val="1F497D" w:themeColor="text2"/>
        </w:rPr>
        <w:t>HOUSING PROFILE</w:t>
      </w:r>
    </w:p>
    <w:p w14:paraId="63BC0A5E" w14:textId="505EB7D2" w:rsidR="008772FC" w:rsidRPr="004E50E7" w:rsidRDefault="008772FC" w:rsidP="00796936">
      <w:pPr>
        <w:jc w:val="both"/>
        <w:rPr>
          <w:rFonts w:ascii="Calibri" w:hAnsi="Calibri"/>
          <w:sz w:val="22"/>
          <w:szCs w:val="22"/>
        </w:rPr>
      </w:pPr>
      <w:r w:rsidRPr="004E50E7">
        <w:rPr>
          <w:rFonts w:ascii="Calibri" w:hAnsi="Calibri"/>
          <w:sz w:val="22"/>
          <w:szCs w:val="22"/>
        </w:rPr>
        <w:t>This section summarizes housing characteristics and trends, analyzes the housing market from a number of different data sources and perspectives, compares what housing is available to what residents can afford,</w:t>
      </w:r>
      <w:r w:rsidR="008D3341">
        <w:rPr>
          <w:rFonts w:ascii="Calibri" w:hAnsi="Calibri"/>
          <w:sz w:val="22"/>
          <w:szCs w:val="22"/>
        </w:rPr>
        <w:t xml:space="preserve"> and</w:t>
      </w:r>
      <w:r w:rsidRPr="004E50E7">
        <w:rPr>
          <w:rFonts w:ascii="Calibri" w:hAnsi="Calibri"/>
          <w:sz w:val="22"/>
          <w:szCs w:val="22"/>
        </w:rPr>
        <w:t xml:space="preserve"> </w:t>
      </w:r>
      <w:r>
        <w:rPr>
          <w:rFonts w:ascii="Calibri" w:hAnsi="Calibri"/>
          <w:sz w:val="22"/>
          <w:szCs w:val="22"/>
        </w:rPr>
        <w:t>identifies</w:t>
      </w:r>
      <w:r w:rsidRPr="004E50E7">
        <w:rPr>
          <w:rFonts w:ascii="Calibri" w:hAnsi="Calibri"/>
          <w:sz w:val="22"/>
          <w:szCs w:val="22"/>
        </w:rPr>
        <w:t xml:space="preserve"> what units are defined as affordable by the state.</w:t>
      </w:r>
      <w:r w:rsidR="0038535E">
        <w:rPr>
          <w:rFonts w:ascii="Calibri" w:hAnsi="Calibri"/>
          <w:sz w:val="22"/>
          <w:szCs w:val="22"/>
        </w:rPr>
        <w:t xml:space="preserve">  Through indicators of needs, priority housing needs are also identified.</w:t>
      </w:r>
    </w:p>
    <w:p w14:paraId="3FE6ADC9" w14:textId="77777777" w:rsidR="008772FC" w:rsidRPr="004E50E7" w:rsidRDefault="008772FC" w:rsidP="00796936">
      <w:pPr>
        <w:ind w:right="-720"/>
        <w:jc w:val="both"/>
        <w:rPr>
          <w:rFonts w:ascii="Calibri" w:hAnsi="Calibri"/>
          <w:sz w:val="22"/>
          <w:szCs w:val="22"/>
        </w:rPr>
      </w:pPr>
    </w:p>
    <w:p w14:paraId="0FA5D89B" w14:textId="697D1E6F" w:rsidR="008772FC" w:rsidRPr="00F728B6" w:rsidRDefault="008772FC" w:rsidP="0057077F">
      <w:pPr>
        <w:numPr>
          <w:ilvl w:val="2"/>
          <w:numId w:val="0"/>
        </w:numPr>
        <w:jc w:val="both"/>
        <w:rPr>
          <w:rFonts w:ascii="Calibri" w:hAnsi="Calibri"/>
          <w:b/>
          <w:bCs/>
          <w:color w:val="1F497D" w:themeColor="text2"/>
        </w:rPr>
      </w:pPr>
      <w:r w:rsidRPr="00F728B6">
        <w:rPr>
          <w:rFonts w:ascii="Calibri" w:hAnsi="Calibri"/>
          <w:b/>
          <w:bCs/>
          <w:color w:val="1F497D" w:themeColor="text2"/>
        </w:rPr>
        <w:t>1</w:t>
      </w:r>
      <w:r>
        <w:rPr>
          <w:rFonts w:ascii="Calibri" w:hAnsi="Calibri"/>
          <w:b/>
          <w:bCs/>
          <w:color w:val="1F497D" w:themeColor="text2"/>
        </w:rPr>
        <w:t>.</w:t>
      </w:r>
      <w:r w:rsidRPr="00F728B6">
        <w:rPr>
          <w:rFonts w:ascii="Calibri" w:hAnsi="Calibri"/>
          <w:b/>
          <w:bCs/>
          <w:color w:val="1F497D" w:themeColor="text2"/>
        </w:rPr>
        <w:tab/>
        <w:t>Housing Growth – Slower</w:t>
      </w:r>
      <w:r w:rsidR="0057077F">
        <w:rPr>
          <w:rFonts w:ascii="Calibri" w:hAnsi="Calibri"/>
          <w:b/>
          <w:bCs/>
          <w:color w:val="1F497D" w:themeColor="text2"/>
        </w:rPr>
        <w:t xml:space="preserve"> housing</w:t>
      </w:r>
      <w:r w:rsidRPr="00F728B6">
        <w:rPr>
          <w:rFonts w:ascii="Calibri" w:hAnsi="Calibri"/>
          <w:b/>
          <w:bCs/>
          <w:color w:val="1F497D" w:themeColor="text2"/>
        </w:rPr>
        <w:t xml:space="preserve"> growth </w:t>
      </w:r>
      <w:r w:rsidR="0057077F">
        <w:rPr>
          <w:rFonts w:ascii="Calibri" w:hAnsi="Calibri"/>
          <w:b/>
          <w:bCs/>
          <w:color w:val="1F497D" w:themeColor="text2"/>
        </w:rPr>
        <w:t xml:space="preserve">than population growth </w:t>
      </w:r>
      <w:r w:rsidRPr="00F728B6">
        <w:rPr>
          <w:rFonts w:ascii="Calibri" w:hAnsi="Calibri"/>
          <w:b/>
          <w:bCs/>
          <w:color w:val="1F497D" w:themeColor="text2"/>
        </w:rPr>
        <w:t xml:space="preserve">and </w:t>
      </w:r>
      <w:r w:rsidR="00950DDF">
        <w:rPr>
          <w:rFonts w:ascii="Calibri" w:hAnsi="Calibri"/>
          <w:b/>
          <w:bCs/>
          <w:color w:val="1F497D" w:themeColor="text2"/>
        </w:rPr>
        <w:t>high</w:t>
      </w:r>
      <w:r w:rsidRPr="00F728B6">
        <w:rPr>
          <w:rFonts w:ascii="Calibri" w:hAnsi="Calibri"/>
          <w:b/>
          <w:bCs/>
          <w:color w:val="1F497D" w:themeColor="text2"/>
        </w:rPr>
        <w:t xml:space="preserve"> demolition/replacement activity</w:t>
      </w:r>
    </w:p>
    <w:p w14:paraId="6A3A2F1D" w14:textId="2D82889F" w:rsidR="00603AED" w:rsidRPr="00F728B6" w:rsidRDefault="00FB5E9A" w:rsidP="00603AED">
      <w:pPr>
        <w:pStyle w:val="BodyText"/>
        <w:spacing w:after="0"/>
        <w:jc w:val="both"/>
        <w:rPr>
          <w:rFonts w:ascii="Calibri" w:hAnsi="Calibri"/>
          <w:sz w:val="22"/>
          <w:szCs w:val="22"/>
        </w:rPr>
      </w:pPr>
      <w:r>
        <w:rPr>
          <w:rFonts w:ascii="Calibri" w:hAnsi="Calibri"/>
          <w:sz w:val="22"/>
          <w:szCs w:val="22"/>
        </w:rPr>
        <w:t xml:space="preserve">The 2020 U.S. census counted 11,891 housing units, involving an increase of 769 units or 6.9% since 2010.  </w:t>
      </w:r>
      <w:r w:rsidR="0038535E">
        <w:rPr>
          <w:rFonts w:ascii="Calibri" w:hAnsi="Calibri"/>
          <w:sz w:val="22"/>
          <w:szCs w:val="22"/>
        </w:rPr>
        <w:t xml:space="preserve">This is higher than the </w:t>
      </w:r>
      <w:r w:rsidR="00122ED4">
        <w:rPr>
          <w:rFonts w:ascii="Calibri" w:hAnsi="Calibri"/>
          <w:sz w:val="22"/>
          <w:szCs w:val="22"/>
        </w:rPr>
        <w:t>6.5</w:t>
      </w:r>
      <w:r w:rsidR="0038535E">
        <w:rPr>
          <w:rFonts w:ascii="Calibri" w:hAnsi="Calibri"/>
          <w:sz w:val="22"/>
          <w:szCs w:val="22"/>
        </w:rPr>
        <w:t xml:space="preserve">% </w:t>
      </w:r>
      <w:r w:rsidR="00122ED4">
        <w:rPr>
          <w:rFonts w:ascii="Calibri" w:hAnsi="Calibri"/>
          <w:sz w:val="22"/>
          <w:szCs w:val="22"/>
        </w:rPr>
        <w:t xml:space="preserve"> and 5.0% </w:t>
      </w:r>
      <w:r w:rsidR="0038535E">
        <w:rPr>
          <w:rFonts w:ascii="Calibri" w:hAnsi="Calibri"/>
          <w:sz w:val="22"/>
          <w:szCs w:val="22"/>
        </w:rPr>
        <w:t>growth rates of the 1970s and 1990s</w:t>
      </w:r>
      <w:r w:rsidR="00122ED4">
        <w:rPr>
          <w:rFonts w:ascii="Calibri" w:hAnsi="Calibri"/>
          <w:sz w:val="22"/>
          <w:szCs w:val="22"/>
        </w:rPr>
        <w:t>, respectively,</w:t>
      </w:r>
      <w:r w:rsidR="0038535E">
        <w:rPr>
          <w:rFonts w:ascii="Calibri" w:hAnsi="Calibri"/>
          <w:sz w:val="22"/>
          <w:szCs w:val="22"/>
        </w:rPr>
        <w:t xml:space="preserve"> but a bit lower than the 8.</w:t>
      </w:r>
      <w:r w:rsidR="00122ED4">
        <w:rPr>
          <w:rFonts w:ascii="Calibri" w:hAnsi="Calibri"/>
          <w:sz w:val="22"/>
          <w:szCs w:val="22"/>
        </w:rPr>
        <w:t>9</w:t>
      </w:r>
      <w:r w:rsidR="0038535E">
        <w:rPr>
          <w:rFonts w:ascii="Calibri" w:hAnsi="Calibri"/>
          <w:sz w:val="22"/>
          <w:szCs w:val="22"/>
        </w:rPr>
        <w:t xml:space="preserve">% and </w:t>
      </w:r>
      <w:r w:rsidR="0009734D">
        <w:rPr>
          <w:rFonts w:ascii="Calibri" w:hAnsi="Calibri"/>
          <w:sz w:val="22"/>
          <w:szCs w:val="22"/>
        </w:rPr>
        <w:t>7.9</w:t>
      </w:r>
      <w:r w:rsidR="0038535E">
        <w:rPr>
          <w:rFonts w:ascii="Calibri" w:hAnsi="Calibri"/>
          <w:sz w:val="22"/>
          <w:szCs w:val="22"/>
        </w:rPr>
        <w:t xml:space="preserve">% rates of the 1980s and early 2000s. </w:t>
      </w:r>
      <w:r w:rsidR="00603AED" w:rsidRPr="00F728B6">
        <w:rPr>
          <w:rFonts w:ascii="Calibri" w:hAnsi="Calibri"/>
          <w:sz w:val="22"/>
          <w:szCs w:val="22"/>
        </w:rPr>
        <w:t>It should be noted that housing growth</w:t>
      </w:r>
      <w:r w:rsidR="00603AED">
        <w:rPr>
          <w:rFonts w:ascii="Calibri" w:hAnsi="Calibri"/>
          <w:sz w:val="22"/>
          <w:szCs w:val="22"/>
        </w:rPr>
        <w:t xml:space="preserve"> between 2010 and 2020, at 6.9%, </w:t>
      </w:r>
      <w:r w:rsidR="00603AED" w:rsidRPr="00F728B6">
        <w:rPr>
          <w:rFonts w:ascii="Calibri" w:hAnsi="Calibri"/>
          <w:sz w:val="22"/>
          <w:szCs w:val="22"/>
        </w:rPr>
        <w:t xml:space="preserve">was </w:t>
      </w:r>
      <w:r w:rsidR="00603AED">
        <w:rPr>
          <w:rFonts w:ascii="Calibri" w:hAnsi="Calibri"/>
          <w:sz w:val="22"/>
          <w:szCs w:val="22"/>
        </w:rPr>
        <w:t>lower</w:t>
      </w:r>
      <w:r w:rsidR="00603AED" w:rsidRPr="00F728B6">
        <w:rPr>
          <w:rFonts w:ascii="Calibri" w:hAnsi="Calibri"/>
          <w:sz w:val="22"/>
          <w:szCs w:val="22"/>
        </w:rPr>
        <w:t xml:space="preserve"> than </w:t>
      </w:r>
      <w:r w:rsidR="00603AED">
        <w:rPr>
          <w:rFonts w:ascii="Calibri" w:hAnsi="Calibri"/>
          <w:sz w:val="22"/>
          <w:szCs w:val="22"/>
        </w:rPr>
        <w:t xml:space="preserve">the 11.1% </w:t>
      </w:r>
      <w:r w:rsidR="00603AED" w:rsidRPr="00F728B6">
        <w:rPr>
          <w:rFonts w:ascii="Calibri" w:hAnsi="Calibri"/>
          <w:sz w:val="22"/>
          <w:szCs w:val="22"/>
        </w:rPr>
        <w:t>population growth during the same period</w:t>
      </w:r>
      <w:r w:rsidR="00603AED">
        <w:rPr>
          <w:rFonts w:ascii="Calibri" w:hAnsi="Calibri"/>
          <w:sz w:val="22"/>
          <w:szCs w:val="22"/>
        </w:rPr>
        <w:t xml:space="preserve"> pointing to increases in average household size</w:t>
      </w:r>
      <w:r w:rsidR="00603AED" w:rsidRPr="00F728B6">
        <w:rPr>
          <w:rFonts w:ascii="Calibri" w:hAnsi="Calibri"/>
          <w:sz w:val="22"/>
          <w:szCs w:val="22"/>
        </w:rPr>
        <w:t xml:space="preserve">.  </w:t>
      </w:r>
    </w:p>
    <w:p w14:paraId="71E9B1CF" w14:textId="12403DD4" w:rsidR="00C94DEA" w:rsidRDefault="0038535E" w:rsidP="00796936">
      <w:pPr>
        <w:pStyle w:val="BodyText"/>
        <w:spacing w:after="0"/>
        <w:jc w:val="both"/>
        <w:rPr>
          <w:rFonts w:ascii="Calibri" w:hAnsi="Calibri"/>
          <w:sz w:val="22"/>
          <w:szCs w:val="22"/>
        </w:rPr>
      </w:pPr>
      <w:r>
        <w:rPr>
          <w:rFonts w:ascii="Calibri" w:hAnsi="Calibri"/>
          <w:sz w:val="22"/>
          <w:szCs w:val="22"/>
        </w:rPr>
        <w:t xml:space="preserve"> </w:t>
      </w:r>
    </w:p>
    <w:p w14:paraId="197544F1" w14:textId="03C017A1" w:rsidR="00950DDF" w:rsidRDefault="00950DDF" w:rsidP="00950DDF">
      <w:pPr>
        <w:pStyle w:val="BodyText"/>
        <w:spacing w:after="0"/>
        <w:jc w:val="both"/>
        <w:rPr>
          <w:rFonts w:ascii="Calibri" w:hAnsi="Calibri"/>
          <w:sz w:val="22"/>
          <w:szCs w:val="22"/>
        </w:rPr>
      </w:pPr>
      <w:r w:rsidRPr="00F728B6">
        <w:rPr>
          <w:rFonts w:ascii="Calibri" w:hAnsi="Calibri"/>
          <w:sz w:val="22"/>
          <w:szCs w:val="22"/>
        </w:rPr>
        <w:t xml:space="preserve">Table </w:t>
      </w:r>
      <w:r>
        <w:rPr>
          <w:rFonts w:ascii="Calibri" w:hAnsi="Calibri"/>
          <w:sz w:val="22"/>
          <w:szCs w:val="22"/>
        </w:rPr>
        <w:t>III-21 provides information from the 20</w:t>
      </w:r>
      <w:r w:rsidR="0009734D">
        <w:rPr>
          <w:rFonts w:ascii="Calibri" w:hAnsi="Calibri"/>
          <w:sz w:val="22"/>
          <w:szCs w:val="22"/>
        </w:rPr>
        <w:t>20</w:t>
      </w:r>
      <w:r>
        <w:rPr>
          <w:rFonts w:ascii="Calibri" w:hAnsi="Calibri"/>
          <w:sz w:val="22"/>
          <w:szCs w:val="22"/>
        </w:rPr>
        <w:t xml:space="preserve"> census estimates on housing growth over the decades.  This information</w:t>
      </w:r>
      <w:r w:rsidRPr="00F728B6">
        <w:rPr>
          <w:rFonts w:ascii="Calibri" w:hAnsi="Calibri"/>
          <w:sz w:val="22"/>
          <w:szCs w:val="22"/>
        </w:rPr>
        <w:t xml:space="preserve"> indicates that </w:t>
      </w:r>
      <w:r w:rsidR="0009734D">
        <w:rPr>
          <w:rFonts w:ascii="Calibri" w:hAnsi="Calibri"/>
          <w:sz w:val="22"/>
          <w:szCs w:val="22"/>
        </w:rPr>
        <w:t>22.4</w:t>
      </w:r>
      <w:r>
        <w:rPr>
          <w:rFonts w:ascii="Calibri" w:hAnsi="Calibri"/>
          <w:sz w:val="22"/>
          <w:szCs w:val="22"/>
        </w:rPr>
        <w:t>%</w:t>
      </w:r>
      <w:r w:rsidRPr="00F728B6">
        <w:rPr>
          <w:rFonts w:ascii="Calibri" w:hAnsi="Calibri"/>
          <w:sz w:val="22"/>
          <w:szCs w:val="22"/>
        </w:rPr>
        <w:t xml:space="preserve"> of Needham’s housing stock predates World War II.  Building activity took off in the 1940s</w:t>
      </w:r>
      <w:r>
        <w:rPr>
          <w:rFonts w:ascii="Calibri" w:hAnsi="Calibri"/>
          <w:sz w:val="22"/>
          <w:szCs w:val="22"/>
        </w:rPr>
        <w:t xml:space="preserve"> through the </w:t>
      </w:r>
      <w:r w:rsidRPr="00F728B6">
        <w:rPr>
          <w:rFonts w:ascii="Calibri" w:hAnsi="Calibri"/>
          <w:sz w:val="22"/>
          <w:szCs w:val="22"/>
        </w:rPr>
        <w:t>19</w:t>
      </w:r>
      <w:r>
        <w:rPr>
          <w:rFonts w:ascii="Calibri" w:hAnsi="Calibri"/>
          <w:sz w:val="22"/>
          <w:szCs w:val="22"/>
        </w:rPr>
        <w:t>6</w:t>
      </w:r>
      <w:r w:rsidRPr="00F728B6">
        <w:rPr>
          <w:rFonts w:ascii="Calibri" w:hAnsi="Calibri"/>
          <w:sz w:val="22"/>
          <w:szCs w:val="22"/>
        </w:rPr>
        <w:t xml:space="preserve">0s when </w:t>
      </w:r>
      <w:r>
        <w:rPr>
          <w:rFonts w:ascii="Calibri" w:hAnsi="Calibri"/>
          <w:sz w:val="22"/>
          <w:szCs w:val="22"/>
        </w:rPr>
        <w:t>about 4</w:t>
      </w:r>
      <w:r w:rsidR="0009734D">
        <w:rPr>
          <w:rFonts w:ascii="Calibri" w:hAnsi="Calibri"/>
          <w:sz w:val="22"/>
          <w:szCs w:val="22"/>
        </w:rPr>
        <w:t>1</w:t>
      </w:r>
      <w:r w:rsidRPr="00F728B6">
        <w:rPr>
          <w:rFonts w:ascii="Calibri" w:hAnsi="Calibri"/>
          <w:sz w:val="22"/>
          <w:szCs w:val="22"/>
        </w:rPr>
        <w:t>% of the housing stock was developed</w:t>
      </w:r>
      <w:r w:rsidR="0009734D">
        <w:rPr>
          <w:rFonts w:ascii="Calibri" w:hAnsi="Calibri"/>
          <w:sz w:val="22"/>
          <w:szCs w:val="22"/>
        </w:rPr>
        <w:t xml:space="preserve"> according to these figures</w:t>
      </w:r>
      <w:r w:rsidR="0057077F">
        <w:rPr>
          <w:rFonts w:ascii="Calibri" w:hAnsi="Calibri"/>
          <w:sz w:val="22"/>
          <w:szCs w:val="22"/>
        </w:rPr>
        <w:t>, greatly affected by the construction of Routes 95 and 128</w:t>
      </w:r>
      <w:r w:rsidRPr="00F728B6">
        <w:rPr>
          <w:rFonts w:ascii="Calibri" w:hAnsi="Calibri"/>
          <w:sz w:val="22"/>
          <w:szCs w:val="22"/>
        </w:rPr>
        <w:t>.  A</w:t>
      </w:r>
      <w:r>
        <w:rPr>
          <w:rFonts w:ascii="Calibri" w:hAnsi="Calibri"/>
          <w:sz w:val="22"/>
          <w:szCs w:val="22"/>
        </w:rPr>
        <w:t>fter that</w:t>
      </w:r>
      <w:r w:rsidR="00276692">
        <w:rPr>
          <w:rFonts w:ascii="Calibri" w:hAnsi="Calibri"/>
          <w:sz w:val="22"/>
          <w:szCs w:val="22"/>
        </w:rPr>
        <w:t>,</w:t>
      </w:r>
      <w:r>
        <w:rPr>
          <w:rFonts w:ascii="Calibri" w:hAnsi="Calibri"/>
          <w:sz w:val="22"/>
          <w:szCs w:val="22"/>
        </w:rPr>
        <w:t xml:space="preserve"> </w:t>
      </w:r>
      <w:r w:rsidRPr="00F728B6">
        <w:rPr>
          <w:rFonts w:ascii="Calibri" w:hAnsi="Calibri"/>
          <w:sz w:val="22"/>
          <w:szCs w:val="22"/>
        </w:rPr>
        <w:t xml:space="preserve">growth slowed </w:t>
      </w:r>
      <w:r>
        <w:rPr>
          <w:rFonts w:ascii="Calibri" w:hAnsi="Calibri"/>
          <w:sz w:val="22"/>
          <w:szCs w:val="22"/>
        </w:rPr>
        <w:t xml:space="preserve">down to </w:t>
      </w:r>
      <w:r w:rsidR="0057077F">
        <w:rPr>
          <w:rFonts w:ascii="Calibri" w:hAnsi="Calibri"/>
          <w:sz w:val="22"/>
          <w:szCs w:val="22"/>
        </w:rPr>
        <w:t>below 10% per decade.</w:t>
      </w:r>
    </w:p>
    <w:p w14:paraId="15D011B2" w14:textId="6A439322" w:rsidR="00944327" w:rsidRDefault="00944327" w:rsidP="00950DDF">
      <w:pPr>
        <w:pStyle w:val="BodyText"/>
        <w:spacing w:after="0"/>
        <w:jc w:val="both"/>
        <w:rPr>
          <w:rFonts w:ascii="Calibri" w:hAnsi="Calibri"/>
          <w:sz w:val="22"/>
          <w:szCs w:val="22"/>
        </w:rPr>
      </w:pPr>
    </w:p>
    <w:p w14:paraId="3D706568" w14:textId="7B5F9797" w:rsidR="00944327" w:rsidRPr="00F728B6" w:rsidRDefault="00944327" w:rsidP="00950DDF">
      <w:pPr>
        <w:pStyle w:val="BodyText"/>
        <w:spacing w:after="0"/>
        <w:jc w:val="both"/>
        <w:rPr>
          <w:rFonts w:ascii="Calibri" w:hAnsi="Calibri"/>
          <w:sz w:val="22"/>
          <w:szCs w:val="22"/>
        </w:rPr>
      </w:pPr>
      <w:r>
        <w:rPr>
          <w:rFonts w:ascii="Calibri" w:hAnsi="Calibri"/>
          <w:sz w:val="22"/>
          <w:szCs w:val="22"/>
        </w:rPr>
        <w:t>It is important to note that there is a disparity between the 2020 decennial census figures and the 2020 census estimates with total housing unit figures of 11,891 and 11,211, respectively.  M</w:t>
      </w:r>
      <w:r w:rsidR="00276692">
        <w:rPr>
          <w:rFonts w:ascii="Calibri" w:hAnsi="Calibri"/>
          <w:sz w:val="22"/>
          <w:szCs w:val="22"/>
        </w:rPr>
        <w:t>uch</w:t>
      </w:r>
      <w:r>
        <w:rPr>
          <w:rFonts w:ascii="Calibri" w:hAnsi="Calibri"/>
          <w:sz w:val="22"/>
          <w:szCs w:val="22"/>
        </w:rPr>
        <w:t xml:space="preserve"> of the analysis of housing characteristics and trends in this </w:t>
      </w:r>
      <w:r w:rsidR="00276692">
        <w:rPr>
          <w:rFonts w:ascii="Calibri" w:hAnsi="Calibri"/>
          <w:sz w:val="22"/>
          <w:szCs w:val="22"/>
        </w:rPr>
        <w:t xml:space="preserve">Housing </w:t>
      </w:r>
      <w:r>
        <w:rPr>
          <w:rFonts w:ascii="Calibri" w:hAnsi="Calibri"/>
          <w:sz w:val="22"/>
          <w:szCs w:val="22"/>
        </w:rPr>
        <w:t xml:space="preserve">Plan will be </w:t>
      </w:r>
      <w:r w:rsidR="00276692">
        <w:rPr>
          <w:rFonts w:ascii="Calibri" w:hAnsi="Calibri"/>
          <w:sz w:val="22"/>
          <w:szCs w:val="22"/>
        </w:rPr>
        <w:t xml:space="preserve">necessarily </w:t>
      </w:r>
      <w:r>
        <w:rPr>
          <w:rFonts w:ascii="Calibri" w:hAnsi="Calibri"/>
          <w:sz w:val="22"/>
          <w:szCs w:val="22"/>
        </w:rPr>
        <w:t>based on the census estimates as such information is not available in the decennial figures.</w:t>
      </w:r>
    </w:p>
    <w:p w14:paraId="0AF2804E" w14:textId="1F3900FD" w:rsidR="00C94DEA" w:rsidRDefault="00C94DEA" w:rsidP="00796936">
      <w:pPr>
        <w:pStyle w:val="BodyText"/>
        <w:spacing w:after="0"/>
        <w:jc w:val="both"/>
        <w:rPr>
          <w:rFonts w:ascii="Calibri" w:hAnsi="Calibri"/>
          <w:sz w:val="22"/>
          <w:szCs w:val="22"/>
        </w:rPr>
      </w:pPr>
    </w:p>
    <w:p w14:paraId="5341368D" w14:textId="581EF7D6" w:rsidR="00C94DEA" w:rsidRPr="00AC4AE8" w:rsidRDefault="00C94DEA" w:rsidP="00C94DEA">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Theme="minorHAnsi" w:hAnsiTheme="minorHAnsi" w:cs="Lucida Sans Unicode"/>
        </w:rPr>
      </w:pPr>
      <w:r w:rsidRPr="00AC4AE8">
        <w:rPr>
          <w:rFonts w:asciiTheme="minorHAnsi" w:hAnsiTheme="minorHAnsi" w:cs="Lucida Sans Unicode"/>
        </w:rPr>
        <w:t xml:space="preserve">The Town will still have a healthy cushion with respect to the 10% affordability threshold </w:t>
      </w:r>
      <w:r w:rsidR="00861914">
        <w:rPr>
          <w:rFonts w:asciiTheme="minorHAnsi" w:hAnsiTheme="minorHAnsi" w:cs="Lucida Sans Unicode"/>
        </w:rPr>
        <w:t xml:space="preserve">under Chapter 40B </w:t>
      </w:r>
      <w:r w:rsidRPr="00AC4AE8">
        <w:rPr>
          <w:rFonts w:asciiTheme="minorHAnsi" w:hAnsiTheme="minorHAnsi" w:cs="Lucida Sans Unicode"/>
        </w:rPr>
        <w:t xml:space="preserve">with a current </w:t>
      </w:r>
      <w:r w:rsidR="0057077F">
        <w:rPr>
          <w:rFonts w:asciiTheme="minorHAnsi" w:hAnsiTheme="minorHAnsi" w:cs="Lucida Sans Unicode"/>
        </w:rPr>
        <w:t>Subsidized Housing In</w:t>
      </w:r>
      <w:r w:rsidRPr="00AC4AE8">
        <w:rPr>
          <w:rFonts w:asciiTheme="minorHAnsi" w:hAnsiTheme="minorHAnsi" w:cs="Lucida Sans Unicode"/>
        </w:rPr>
        <w:t>ventory</w:t>
      </w:r>
      <w:r w:rsidR="0057077F">
        <w:rPr>
          <w:rFonts w:asciiTheme="minorHAnsi" w:hAnsiTheme="minorHAnsi" w:cs="Lucida Sans Unicode"/>
        </w:rPr>
        <w:t xml:space="preserve"> (SHI)</w:t>
      </w:r>
      <w:r w:rsidRPr="00AC4AE8">
        <w:rPr>
          <w:rFonts w:asciiTheme="minorHAnsi" w:hAnsiTheme="minorHAnsi" w:cs="Lucida Sans Unicode"/>
        </w:rPr>
        <w:t xml:space="preserve"> of 1,</w:t>
      </w:r>
      <w:r w:rsidR="00861914">
        <w:rPr>
          <w:rFonts w:asciiTheme="minorHAnsi" w:hAnsiTheme="minorHAnsi" w:cs="Lucida Sans Unicode"/>
        </w:rPr>
        <w:t>410</w:t>
      </w:r>
      <w:r w:rsidRPr="00AC4AE8">
        <w:rPr>
          <w:rFonts w:asciiTheme="minorHAnsi" w:hAnsiTheme="minorHAnsi" w:cs="Lucida Sans Unicode"/>
        </w:rPr>
        <w:t xml:space="preserve"> units</w:t>
      </w:r>
      <w:r>
        <w:rPr>
          <w:rFonts w:asciiTheme="minorHAnsi" w:hAnsiTheme="minorHAnsi" w:cs="Lucida Sans Unicode"/>
        </w:rPr>
        <w:t xml:space="preserve">; however, the percentage of affordability </w:t>
      </w:r>
      <w:r w:rsidR="00944327">
        <w:rPr>
          <w:rFonts w:asciiTheme="minorHAnsi" w:hAnsiTheme="minorHAnsi" w:cs="Lucida Sans Unicode"/>
        </w:rPr>
        <w:t>decrease</w:t>
      </w:r>
      <w:r w:rsidR="00276692">
        <w:rPr>
          <w:rFonts w:asciiTheme="minorHAnsi" w:hAnsiTheme="minorHAnsi" w:cs="Lucida Sans Unicode"/>
        </w:rPr>
        <w:t>d</w:t>
      </w:r>
      <w:r w:rsidR="00944327">
        <w:rPr>
          <w:rFonts w:asciiTheme="minorHAnsi" w:hAnsiTheme="minorHAnsi" w:cs="Lucida Sans Unicode"/>
        </w:rPr>
        <w:t xml:space="preserve"> from</w:t>
      </w:r>
      <w:r>
        <w:rPr>
          <w:rFonts w:asciiTheme="minorHAnsi" w:hAnsiTheme="minorHAnsi" w:cs="Lucida Sans Unicode"/>
        </w:rPr>
        <w:t xml:space="preserve"> 12.7</w:t>
      </w:r>
      <w:r w:rsidR="00861914">
        <w:rPr>
          <w:rFonts w:asciiTheme="minorHAnsi" w:hAnsiTheme="minorHAnsi" w:cs="Lucida Sans Unicode"/>
        </w:rPr>
        <w:t>6</w:t>
      </w:r>
      <w:r>
        <w:rPr>
          <w:rFonts w:asciiTheme="minorHAnsi" w:hAnsiTheme="minorHAnsi" w:cs="Lucida Sans Unicode"/>
        </w:rPr>
        <w:t>%</w:t>
      </w:r>
      <w:r w:rsidR="00944327">
        <w:rPr>
          <w:rFonts w:asciiTheme="minorHAnsi" w:hAnsiTheme="minorHAnsi" w:cs="Lucida Sans Unicode"/>
        </w:rPr>
        <w:t xml:space="preserve"> based on the 2010 year-round housing figure to </w:t>
      </w:r>
      <w:r>
        <w:rPr>
          <w:rFonts w:asciiTheme="minorHAnsi" w:hAnsiTheme="minorHAnsi" w:cs="Lucida Sans Unicode"/>
        </w:rPr>
        <w:t>11.</w:t>
      </w:r>
      <w:r w:rsidR="00547CB7">
        <w:rPr>
          <w:rFonts w:asciiTheme="minorHAnsi" w:hAnsiTheme="minorHAnsi" w:cs="Lucida Sans Unicode"/>
        </w:rPr>
        <w:t>86</w:t>
      </w:r>
      <w:r>
        <w:rPr>
          <w:rFonts w:asciiTheme="minorHAnsi" w:hAnsiTheme="minorHAnsi" w:cs="Lucida Sans Unicode"/>
        </w:rPr>
        <w:t>%</w:t>
      </w:r>
      <w:r w:rsidRPr="00AC4AE8">
        <w:rPr>
          <w:rFonts w:asciiTheme="minorHAnsi" w:hAnsiTheme="minorHAnsi" w:cs="Lucida Sans Unicode"/>
        </w:rPr>
        <w:t>.</w:t>
      </w:r>
    </w:p>
    <w:p w14:paraId="07D69325" w14:textId="77777777" w:rsidR="00C94DEA" w:rsidRDefault="00C94DEA" w:rsidP="00C94DEA">
      <w:pPr>
        <w:jc w:val="both"/>
        <w:rPr>
          <w:rFonts w:asciiTheme="minorHAnsi" w:hAnsiTheme="minorHAnsi" w:cs="Lucida Sans Unicode"/>
          <w:sz w:val="22"/>
          <w:szCs w:val="22"/>
        </w:rPr>
      </w:pPr>
    </w:p>
    <w:p w14:paraId="21866726" w14:textId="382047EC" w:rsidR="008772FC" w:rsidRPr="00F728B6" w:rsidRDefault="008772FC" w:rsidP="008772FC">
      <w:pPr>
        <w:pStyle w:val="Heading9"/>
        <w:spacing w:before="0"/>
        <w:jc w:val="center"/>
        <w:rPr>
          <w:b/>
          <w:i w:val="0"/>
          <w:color w:val="auto"/>
          <w:sz w:val="22"/>
          <w:szCs w:val="22"/>
        </w:rPr>
      </w:pPr>
      <w:r w:rsidRPr="00F728B6">
        <w:rPr>
          <w:rFonts w:ascii="Calibri" w:hAnsi="Calibri"/>
          <w:b/>
          <w:i w:val="0"/>
          <w:color w:val="auto"/>
          <w:sz w:val="22"/>
          <w:szCs w:val="22"/>
        </w:rPr>
        <w:t>Table</w:t>
      </w:r>
      <w:r w:rsidR="00825439">
        <w:rPr>
          <w:rFonts w:ascii="Calibri" w:hAnsi="Calibri"/>
          <w:b/>
          <w:i w:val="0"/>
          <w:color w:val="auto"/>
          <w:sz w:val="22"/>
          <w:szCs w:val="22"/>
        </w:rPr>
        <w:t xml:space="preserve"> III-2</w:t>
      </w:r>
      <w:r w:rsidR="00514DF3">
        <w:rPr>
          <w:rFonts w:ascii="Calibri" w:hAnsi="Calibri"/>
          <w:b/>
          <w:i w:val="0"/>
          <w:color w:val="auto"/>
          <w:sz w:val="22"/>
          <w:szCs w:val="22"/>
        </w:rPr>
        <w:t>1</w:t>
      </w:r>
      <w:r w:rsidRPr="00F728B6">
        <w:rPr>
          <w:rFonts w:ascii="Calibri" w:hAnsi="Calibri"/>
          <w:b/>
          <w:i w:val="0"/>
          <w:color w:val="auto"/>
          <w:sz w:val="22"/>
          <w:szCs w:val="22"/>
        </w:rPr>
        <w:t xml:space="preserve">: </w:t>
      </w:r>
      <w:r w:rsidRPr="00F728B6">
        <w:rPr>
          <w:rFonts w:asciiTheme="minorHAnsi" w:hAnsiTheme="minorHAnsi"/>
          <w:b/>
          <w:i w:val="0"/>
          <w:color w:val="auto"/>
          <w:sz w:val="22"/>
          <w:szCs w:val="22"/>
        </w:rPr>
        <w:t>Housing Units by Year Structure Was Built</w:t>
      </w:r>
      <w:r w:rsidR="0028614C">
        <w:rPr>
          <w:rFonts w:asciiTheme="minorHAnsi" w:hAnsiTheme="minorHAnsi"/>
          <w:b/>
          <w:i w:val="0"/>
          <w:color w:val="auto"/>
          <w:sz w:val="22"/>
          <w:szCs w:val="22"/>
        </w:rPr>
        <w:t>, 20</w:t>
      </w:r>
      <w:r w:rsidR="004E33E2">
        <w:rPr>
          <w:rFonts w:asciiTheme="minorHAnsi" w:hAnsiTheme="minorHAnsi"/>
          <w:b/>
          <w:i w:val="0"/>
          <w:color w:val="auto"/>
          <w:sz w:val="22"/>
          <w:szCs w:val="22"/>
        </w:rPr>
        <w:t>20</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346"/>
        <w:gridCol w:w="2196"/>
      </w:tblGrid>
      <w:tr w:rsidR="008772FC" w:rsidRPr="004E50E7" w14:paraId="5BD01388" w14:textId="77777777" w:rsidTr="003533DF">
        <w:tc>
          <w:tcPr>
            <w:tcW w:w="2952" w:type="dxa"/>
          </w:tcPr>
          <w:p w14:paraId="3C2FDE84" w14:textId="77777777" w:rsidR="008772FC" w:rsidRPr="004E50E7" w:rsidRDefault="008772FC" w:rsidP="008F2513">
            <w:pPr>
              <w:rPr>
                <w:rFonts w:ascii="Calibri" w:hAnsi="Calibri"/>
                <w:b/>
                <w:bCs/>
              </w:rPr>
            </w:pPr>
            <w:r w:rsidRPr="004E50E7">
              <w:rPr>
                <w:rFonts w:ascii="Calibri" w:hAnsi="Calibri"/>
                <w:b/>
                <w:bCs/>
                <w:sz w:val="22"/>
              </w:rPr>
              <w:t>Time Period</w:t>
            </w:r>
          </w:p>
        </w:tc>
        <w:tc>
          <w:tcPr>
            <w:tcW w:w="2346" w:type="dxa"/>
          </w:tcPr>
          <w:p w14:paraId="13785342" w14:textId="77777777" w:rsidR="008772FC" w:rsidRPr="004E50E7" w:rsidRDefault="008772FC" w:rsidP="008F2513">
            <w:pPr>
              <w:ind w:right="-720"/>
              <w:jc w:val="center"/>
              <w:rPr>
                <w:rFonts w:ascii="Calibri" w:hAnsi="Calibri"/>
                <w:b/>
                <w:bCs/>
              </w:rPr>
            </w:pPr>
            <w:r w:rsidRPr="004E50E7">
              <w:rPr>
                <w:rFonts w:ascii="Calibri" w:hAnsi="Calibri"/>
                <w:b/>
                <w:bCs/>
                <w:sz w:val="22"/>
              </w:rPr>
              <w:t>#</w:t>
            </w:r>
          </w:p>
        </w:tc>
        <w:tc>
          <w:tcPr>
            <w:tcW w:w="2196" w:type="dxa"/>
          </w:tcPr>
          <w:p w14:paraId="0A1ED4A2" w14:textId="77777777" w:rsidR="008772FC" w:rsidRPr="004E50E7" w:rsidRDefault="008772FC" w:rsidP="008F2513">
            <w:pPr>
              <w:ind w:right="-720"/>
              <w:jc w:val="center"/>
              <w:rPr>
                <w:rFonts w:ascii="Calibri" w:hAnsi="Calibri"/>
                <w:b/>
              </w:rPr>
            </w:pPr>
            <w:r w:rsidRPr="004E50E7">
              <w:rPr>
                <w:rFonts w:ascii="Calibri" w:hAnsi="Calibri"/>
                <w:b/>
                <w:sz w:val="22"/>
              </w:rPr>
              <w:t>%</w:t>
            </w:r>
          </w:p>
        </w:tc>
      </w:tr>
      <w:tr w:rsidR="00A66C1A" w:rsidRPr="004E50E7" w14:paraId="6CC4D2B3" w14:textId="77777777" w:rsidTr="003533DF">
        <w:tc>
          <w:tcPr>
            <w:tcW w:w="2952" w:type="dxa"/>
          </w:tcPr>
          <w:p w14:paraId="588A2996" w14:textId="77777777" w:rsidR="00A66C1A" w:rsidRPr="004E50E7" w:rsidRDefault="00A66C1A" w:rsidP="008F2513">
            <w:pPr>
              <w:ind w:right="-720"/>
              <w:rPr>
                <w:rFonts w:ascii="Calibri" w:hAnsi="Calibri"/>
                <w:sz w:val="20"/>
              </w:rPr>
            </w:pPr>
            <w:r>
              <w:rPr>
                <w:rFonts w:ascii="Calibri" w:hAnsi="Calibri"/>
                <w:sz w:val="20"/>
              </w:rPr>
              <w:t>2010 or later</w:t>
            </w:r>
          </w:p>
        </w:tc>
        <w:tc>
          <w:tcPr>
            <w:tcW w:w="2346" w:type="dxa"/>
          </w:tcPr>
          <w:p w14:paraId="476A4FE2" w14:textId="46A76BD7" w:rsidR="00A66C1A" w:rsidRPr="004E50E7" w:rsidRDefault="004E33E2" w:rsidP="008F2513">
            <w:pPr>
              <w:ind w:right="-720"/>
              <w:jc w:val="center"/>
              <w:rPr>
                <w:rFonts w:ascii="Calibri" w:hAnsi="Calibri"/>
                <w:sz w:val="20"/>
              </w:rPr>
            </w:pPr>
            <w:r>
              <w:rPr>
                <w:rFonts w:ascii="Calibri" w:hAnsi="Calibri"/>
                <w:sz w:val="20"/>
              </w:rPr>
              <w:t>913</w:t>
            </w:r>
          </w:p>
        </w:tc>
        <w:tc>
          <w:tcPr>
            <w:tcW w:w="2196" w:type="dxa"/>
          </w:tcPr>
          <w:p w14:paraId="54877C9F" w14:textId="4CAC785C" w:rsidR="00A66C1A" w:rsidRPr="004E50E7" w:rsidRDefault="00122ED4" w:rsidP="008F2513">
            <w:pPr>
              <w:ind w:right="-720"/>
              <w:jc w:val="center"/>
              <w:rPr>
                <w:rFonts w:ascii="Calibri" w:hAnsi="Calibri"/>
                <w:sz w:val="20"/>
              </w:rPr>
            </w:pPr>
            <w:r>
              <w:rPr>
                <w:rFonts w:ascii="Calibri" w:hAnsi="Calibri"/>
                <w:sz w:val="20"/>
              </w:rPr>
              <w:t>8.1</w:t>
            </w:r>
          </w:p>
        </w:tc>
      </w:tr>
      <w:tr w:rsidR="008772FC" w:rsidRPr="004E50E7" w14:paraId="1E9D09EE" w14:textId="77777777" w:rsidTr="003533DF">
        <w:tc>
          <w:tcPr>
            <w:tcW w:w="2952" w:type="dxa"/>
          </w:tcPr>
          <w:p w14:paraId="55D40F4B" w14:textId="77777777" w:rsidR="008772FC" w:rsidRPr="004E50E7" w:rsidRDefault="00A66C1A" w:rsidP="008F2513">
            <w:pPr>
              <w:ind w:right="-720"/>
              <w:rPr>
                <w:rFonts w:ascii="Calibri" w:hAnsi="Calibri"/>
                <w:sz w:val="20"/>
              </w:rPr>
            </w:pPr>
            <w:r>
              <w:rPr>
                <w:rFonts w:ascii="Calibri" w:hAnsi="Calibri"/>
                <w:sz w:val="20"/>
              </w:rPr>
              <w:t>2000 to 2009</w:t>
            </w:r>
          </w:p>
        </w:tc>
        <w:tc>
          <w:tcPr>
            <w:tcW w:w="2346" w:type="dxa"/>
          </w:tcPr>
          <w:p w14:paraId="435B8A3C" w14:textId="67D274AF" w:rsidR="008772FC" w:rsidRPr="004E50E7" w:rsidRDefault="00122ED4" w:rsidP="008F2513">
            <w:pPr>
              <w:ind w:right="-720"/>
              <w:jc w:val="center"/>
              <w:rPr>
                <w:rFonts w:ascii="Calibri" w:hAnsi="Calibri"/>
                <w:sz w:val="20"/>
              </w:rPr>
            </w:pPr>
            <w:r>
              <w:rPr>
                <w:rFonts w:ascii="Calibri" w:hAnsi="Calibri"/>
                <w:sz w:val="20"/>
              </w:rPr>
              <w:t>888</w:t>
            </w:r>
          </w:p>
        </w:tc>
        <w:tc>
          <w:tcPr>
            <w:tcW w:w="2196" w:type="dxa"/>
          </w:tcPr>
          <w:p w14:paraId="29D2FF68" w14:textId="75020B6D" w:rsidR="008772FC" w:rsidRPr="004E50E7" w:rsidRDefault="00122ED4" w:rsidP="008F2513">
            <w:pPr>
              <w:ind w:right="-720"/>
              <w:jc w:val="center"/>
              <w:rPr>
                <w:rFonts w:ascii="Calibri" w:hAnsi="Calibri"/>
                <w:sz w:val="20"/>
              </w:rPr>
            </w:pPr>
            <w:r>
              <w:rPr>
                <w:rFonts w:ascii="Calibri" w:hAnsi="Calibri"/>
                <w:sz w:val="20"/>
              </w:rPr>
              <w:t>7.9</w:t>
            </w:r>
          </w:p>
        </w:tc>
      </w:tr>
      <w:tr w:rsidR="008772FC" w:rsidRPr="004E50E7" w14:paraId="5B8CE4B4" w14:textId="77777777" w:rsidTr="003533DF">
        <w:tc>
          <w:tcPr>
            <w:tcW w:w="2952" w:type="dxa"/>
          </w:tcPr>
          <w:p w14:paraId="0992BE70" w14:textId="77777777" w:rsidR="008772FC" w:rsidRPr="004E50E7" w:rsidRDefault="008772FC" w:rsidP="00A66C1A">
            <w:pPr>
              <w:ind w:right="-720"/>
              <w:rPr>
                <w:rFonts w:ascii="Calibri" w:hAnsi="Calibri"/>
                <w:sz w:val="20"/>
              </w:rPr>
            </w:pPr>
            <w:r w:rsidRPr="004E50E7">
              <w:rPr>
                <w:rFonts w:ascii="Calibri" w:hAnsi="Calibri"/>
                <w:sz w:val="20"/>
              </w:rPr>
              <w:t xml:space="preserve">1990 to </w:t>
            </w:r>
            <w:r w:rsidR="00A66C1A">
              <w:rPr>
                <w:rFonts w:ascii="Calibri" w:hAnsi="Calibri"/>
                <w:sz w:val="20"/>
              </w:rPr>
              <w:t>1999</w:t>
            </w:r>
          </w:p>
        </w:tc>
        <w:tc>
          <w:tcPr>
            <w:tcW w:w="2346" w:type="dxa"/>
          </w:tcPr>
          <w:p w14:paraId="5DA09365" w14:textId="4421E037" w:rsidR="008772FC" w:rsidRPr="004E50E7" w:rsidRDefault="00122ED4" w:rsidP="008F2513">
            <w:pPr>
              <w:ind w:right="-720"/>
              <w:jc w:val="center"/>
              <w:rPr>
                <w:rFonts w:ascii="Calibri" w:hAnsi="Calibri"/>
                <w:sz w:val="20"/>
              </w:rPr>
            </w:pPr>
            <w:r>
              <w:rPr>
                <w:rFonts w:ascii="Calibri" w:hAnsi="Calibri"/>
                <w:sz w:val="20"/>
              </w:rPr>
              <w:t>564</w:t>
            </w:r>
          </w:p>
        </w:tc>
        <w:tc>
          <w:tcPr>
            <w:tcW w:w="2196" w:type="dxa"/>
          </w:tcPr>
          <w:p w14:paraId="7443792F" w14:textId="79C422F4" w:rsidR="008772FC" w:rsidRPr="004E50E7" w:rsidRDefault="00122ED4" w:rsidP="008F2513">
            <w:pPr>
              <w:ind w:right="-720"/>
              <w:jc w:val="center"/>
              <w:rPr>
                <w:rFonts w:ascii="Calibri" w:hAnsi="Calibri"/>
                <w:sz w:val="20"/>
              </w:rPr>
            </w:pPr>
            <w:r>
              <w:rPr>
                <w:rFonts w:ascii="Calibri" w:hAnsi="Calibri"/>
                <w:sz w:val="20"/>
              </w:rPr>
              <w:t>5.0</w:t>
            </w:r>
          </w:p>
        </w:tc>
      </w:tr>
      <w:tr w:rsidR="008772FC" w:rsidRPr="004E50E7" w14:paraId="6A04D213" w14:textId="77777777" w:rsidTr="003533DF">
        <w:tc>
          <w:tcPr>
            <w:tcW w:w="2952" w:type="dxa"/>
          </w:tcPr>
          <w:p w14:paraId="472EA522" w14:textId="77777777" w:rsidR="008772FC" w:rsidRPr="004E50E7" w:rsidRDefault="008772FC" w:rsidP="008F2513">
            <w:pPr>
              <w:ind w:right="-720"/>
              <w:rPr>
                <w:rFonts w:ascii="Calibri" w:hAnsi="Calibri"/>
                <w:sz w:val="20"/>
              </w:rPr>
            </w:pPr>
            <w:r w:rsidRPr="004E50E7">
              <w:rPr>
                <w:rFonts w:ascii="Calibri" w:hAnsi="Calibri"/>
                <w:sz w:val="20"/>
              </w:rPr>
              <w:t>1980 to 1989</w:t>
            </w:r>
          </w:p>
        </w:tc>
        <w:tc>
          <w:tcPr>
            <w:tcW w:w="2346" w:type="dxa"/>
          </w:tcPr>
          <w:p w14:paraId="6381D7BA" w14:textId="2E36BCCC" w:rsidR="008772FC" w:rsidRPr="004E50E7" w:rsidRDefault="00122ED4" w:rsidP="008F2513">
            <w:pPr>
              <w:ind w:right="-720"/>
              <w:jc w:val="center"/>
              <w:rPr>
                <w:rFonts w:ascii="Calibri" w:hAnsi="Calibri"/>
                <w:sz w:val="20"/>
              </w:rPr>
            </w:pPr>
            <w:r>
              <w:rPr>
                <w:rFonts w:ascii="Calibri" w:hAnsi="Calibri"/>
                <w:sz w:val="20"/>
              </w:rPr>
              <w:t>998</w:t>
            </w:r>
          </w:p>
        </w:tc>
        <w:tc>
          <w:tcPr>
            <w:tcW w:w="2196" w:type="dxa"/>
          </w:tcPr>
          <w:p w14:paraId="073DD443" w14:textId="6187B7FB" w:rsidR="008772FC" w:rsidRPr="004E50E7" w:rsidRDefault="0028614C" w:rsidP="008F2513">
            <w:pPr>
              <w:ind w:right="-720"/>
              <w:jc w:val="center"/>
              <w:rPr>
                <w:rFonts w:ascii="Calibri" w:hAnsi="Calibri"/>
                <w:sz w:val="20"/>
              </w:rPr>
            </w:pPr>
            <w:r>
              <w:rPr>
                <w:rFonts w:ascii="Calibri" w:hAnsi="Calibri"/>
                <w:sz w:val="20"/>
              </w:rPr>
              <w:t>8.</w:t>
            </w:r>
            <w:r w:rsidR="00122ED4">
              <w:rPr>
                <w:rFonts w:ascii="Calibri" w:hAnsi="Calibri"/>
                <w:sz w:val="20"/>
              </w:rPr>
              <w:t>9</w:t>
            </w:r>
          </w:p>
        </w:tc>
      </w:tr>
      <w:tr w:rsidR="008772FC" w:rsidRPr="004E50E7" w14:paraId="71283065" w14:textId="77777777" w:rsidTr="003533DF">
        <w:tc>
          <w:tcPr>
            <w:tcW w:w="2952" w:type="dxa"/>
          </w:tcPr>
          <w:p w14:paraId="55FC0488" w14:textId="77777777" w:rsidR="008772FC" w:rsidRPr="004E50E7" w:rsidRDefault="008772FC" w:rsidP="008F2513">
            <w:pPr>
              <w:ind w:right="-720"/>
              <w:rPr>
                <w:rFonts w:ascii="Calibri" w:hAnsi="Calibri"/>
                <w:sz w:val="20"/>
              </w:rPr>
            </w:pPr>
            <w:r w:rsidRPr="004E50E7">
              <w:rPr>
                <w:rFonts w:ascii="Calibri" w:hAnsi="Calibri"/>
                <w:sz w:val="20"/>
              </w:rPr>
              <w:t>1970 to 1979</w:t>
            </w:r>
          </w:p>
        </w:tc>
        <w:tc>
          <w:tcPr>
            <w:tcW w:w="2346" w:type="dxa"/>
          </w:tcPr>
          <w:p w14:paraId="4046C93F" w14:textId="5EE59DB7" w:rsidR="008772FC" w:rsidRPr="004E50E7" w:rsidRDefault="00122ED4" w:rsidP="008F2513">
            <w:pPr>
              <w:ind w:right="-720"/>
              <w:jc w:val="center"/>
              <w:rPr>
                <w:rFonts w:ascii="Calibri" w:hAnsi="Calibri"/>
                <w:sz w:val="20"/>
              </w:rPr>
            </w:pPr>
            <w:r>
              <w:rPr>
                <w:rFonts w:ascii="Calibri" w:hAnsi="Calibri"/>
                <w:sz w:val="20"/>
              </w:rPr>
              <w:t>725</w:t>
            </w:r>
          </w:p>
        </w:tc>
        <w:tc>
          <w:tcPr>
            <w:tcW w:w="2196" w:type="dxa"/>
          </w:tcPr>
          <w:p w14:paraId="76A348AE" w14:textId="6A3577AC" w:rsidR="008772FC" w:rsidRPr="004E50E7" w:rsidRDefault="00122ED4" w:rsidP="008F2513">
            <w:pPr>
              <w:ind w:right="-720"/>
              <w:jc w:val="center"/>
              <w:rPr>
                <w:rFonts w:ascii="Calibri" w:hAnsi="Calibri"/>
                <w:sz w:val="20"/>
              </w:rPr>
            </w:pPr>
            <w:r>
              <w:rPr>
                <w:rFonts w:ascii="Calibri" w:hAnsi="Calibri"/>
                <w:sz w:val="20"/>
              </w:rPr>
              <w:t>6.5</w:t>
            </w:r>
          </w:p>
        </w:tc>
      </w:tr>
      <w:tr w:rsidR="008772FC" w:rsidRPr="004E50E7" w14:paraId="643F3508" w14:textId="77777777" w:rsidTr="003533DF">
        <w:tc>
          <w:tcPr>
            <w:tcW w:w="2952" w:type="dxa"/>
          </w:tcPr>
          <w:p w14:paraId="2DD59631" w14:textId="77777777" w:rsidR="008772FC" w:rsidRPr="004E50E7" w:rsidRDefault="008772FC" w:rsidP="008F2513">
            <w:pPr>
              <w:ind w:right="-720"/>
              <w:rPr>
                <w:rFonts w:ascii="Calibri" w:hAnsi="Calibri"/>
                <w:sz w:val="20"/>
              </w:rPr>
            </w:pPr>
            <w:r w:rsidRPr="004E50E7">
              <w:rPr>
                <w:rFonts w:ascii="Calibri" w:hAnsi="Calibri"/>
                <w:sz w:val="20"/>
              </w:rPr>
              <w:t>1960 to 1969</w:t>
            </w:r>
          </w:p>
        </w:tc>
        <w:tc>
          <w:tcPr>
            <w:tcW w:w="2346" w:type="dxa"/>
          </w:tcPr>
          <w:p w14:paraId="75EFA73F" w14:textId="5E5C10DC" w:rsidR="008772FC" w:rsidRPr="004E50E7" w:rsidRDefault="00122ED4" w:rsidP="008F2513">
            <w:pPr>
              <w:ind w:right="-720"/>
              <w:jc w:val="center"/>
              <w:rPr>
                <w:rFonts w:ascii="Calibri" w:hAnsi="Calibri"/>
                <w:sz w:val="20"/>
              </w:rPr>
            </w:pPr>
            <w:r>
              <w:rPr>
                <w:rFonts w:ascii="Calibri" w:hAnsi="Calibri"/>
                <w:sz w:val="20"/>
              </w:rPr>
              <w:t>1,188</w:t>
            </w:r>
          </w:p>
        </w:tc>
        <w:tc>
          <w:tcPr>
            <w:tcW w:w="2196" w:type="dxa"/>
          </w:tcPr>
          <w:p w14:paraId="05F006BD" w14:textId="16925319" w:rsidR="008772FC" w:rsidRPr="004E50E7" w:rsidRDefault="00122ED4" w:rsidP="008F2513">
            <w:pPr>
              <w:ind w:right="-720"/>
              <w:jc w:val="center"/>
              <w:rPr>
                <w:rFonts w:ascii="Calibri" w:hAnsi="Calibri"/>
                <w:sz w:val="20"/>
              </w:rPr>
            </w:pPr>
            <w:r>
              <w:rPr>
                <w:rFonts w:ascii="Calibri" w:hAnsi="Calibri"/>
                <w:sz w:val="20"/>
              </w:rPr>
              <w:t>10.6</w:t>
            </w:r>
          </w:p>
        </w:tc>
      </w:tr>
      <w:tr w:rsidR="008772FC" w:rsidRPr="004E50E7" w14:paraId="13520CB4" w14:textId="77777777" w:rsidTr="003533DF">
        <w:tc>
          <w:tcPr>
            <w:tcW w:w="2952" w:type="dxa"/>
          </w:tcPr>
          <w:p w14:paraId="67E272D5" w14:textId="77777777" w:rsidR="008772FC" w:rsidRPr="004E50E7" w:rsidRDefault="008772FC" w:rsidP="00B23BD9">
            <w:pPr>
              <w:ind w:right="-720"/>
              <w:rPr>
                <w:rFonts w:ascii="Calibri" w:hAnsi="Calibri"/>
                <w:sz w:val="20"/>
              </w:rPr>
            </w:pPr>
            <w:r w:rsidRPr="004E50E7">
              <w:rPr>
                <w:rFonts w:ascii="Calibri" w:hAnsi="Calibri"/>
                <w:sz w:val="20"/>
              </w:rPr>
              <w:t>19</w:t>
            </w:r>
            <w:r w:rsidR="00B23BD9">
              <w:rPr>
                <w:rFonts w:ascii="Calibri" w:hAnsi="Calibri"/>
                <w:sz w:val="20"/>
              </w:rPr>
              <w:t>5</w:t>
            </w:r>
            <w:r w:rsidRPr="004E50E7">
              <w:rPr>
                <w:rFonts w:ascii="Calibri" w:hAnsi="Calibri"/>
                <w:sz w:val="20"/>
              </w:rPr>
              <w:t>0 to 1959</w:t>
            </w:r>
          </w:p>
        </w:tc>
        <w:tc>
          <w:tcPr>
            <w:tcW w:w="2346" w:type="dxa"/>
          </w:tcPr>
          <w:p w14:paraId="755C4A0A" w14:textId="60FEFF5B" w:rsidR="008772FC" w:rsidRPr="004E50E7" w:rsidRDefault="00122ED4" w:rsidP="008F2513">
            <w:pPr>
              <w:ind w:right="-720"/>
              <w:jc w:val="center"/>
              <w:rPr>
                <w:rFonts w:ascii="Calibri" w:hAnsi="Calibri"/>
                <w:sz w:val="20"/>
              </w:rPr>
            </w:pPr>
            <w:r>
              <w:rPr>
                <w:rFonts w:ascii="Calibri" w:hAnsi="Calibri"/>
                <w:sz w:val="20"/>
              </w:rPr>
              <w:t>2,353</w:t>
            </w:r>
          </w:p>
        </w:tc>
        <w:tc>
          <w:tcPr>
            <w:tcW w:w="2196" w:type="dxa"/>
          </w:tcPr>
          <w:p w14:paraId="70915AB7" w14:textId="6CCBB2EF" w:rsidR="008772FC" w:rsidRPr="004E50E7" w:rsidRDefault="00122ED4" w:rsidP="00B23BD9">
            <w:pPr>
              <w:ind w:right="-720"/>
              <w:jc w:val="center"/>
              <w:rPr>
                <w:rFonts w:ascii="Calibri" w:hAnsi="Calibri"/>
                <w:sz w:val="20"/>
              </w:rPr>
            </w:pPr>
            <w:r>
              <w:rPr>
                <w:rFonts w:ascii="Calibri" w:hAnsi="Calibri"/>
                <w:sz w:val="20"/>
              </w:rPr>
              <w:t>21.0</w:t>
            </w:r>
          </w:p>
        </w:tc>
      </w:tr>
      <w:tr w:rsidR="00B23BD9" w:rsidRPr="004E50E7" w14:paraId="529A2C36" w14:textId="77777777" w:rsidTr="003533DF">
        <w:tc>
          <w:tcPr>
            <w:tcW w:w="2952" w:type="dxa"/>
          </w:tcPr>
          <w:p w14:paraId="4DBE105C" w14:textId="77777777" w:rsidR="00B23BD9" w:rsidRPr="004E50E7" w:rsidRDefault="00B23BD9" w:rsidP="008F2513">
            <w:pPr>
              <w:ind w:right="-720"/>
              <w:rPr>
                <w:rFonts w:ascii="Calibri" w:hAnsi="Calibri"/>
                <w:sz w:val="20"/>
              </w:rPr>
            </w:pPr>
            <w:r>
              <w:rPr>
                <w:rFonts w:ascii="Calibri" w:hAnsi="Calibri"/>
                <w:sz w:val="20"/>
              </w:rPr>
              <w:t>1940 to 1949</w:t>
            </w:r>
          </w:p>
        </w:tc>
        <w:tc>
          <w:tcPr>
            <w:tcW w:w="2346" w:type="dxa"/>
          </w:tcPr>
          <w:p w14:paraId="0F867164" w14:textId="44651BD8" w:rsidR="00B23BD9" w:rsidRPr="004E50E7" w:rsidRDefault="00122ED4" w:rsidP="008F2513">
            <w:pPr>
              <w:ind w:right="-720"/>
              <w:jc w:val="center"/>
              <w:rPr>
                <w:rFonts w:ascii="Calibri" w:hAnsi="Calibri"/>
                <w:sz w:val="20"/>
              </w:rPr>
            </w:pPr>
            <w:r>
              <w:rPr>
                <w:rFonts w:ascii="Calibri" w:hAnsi="Calibri"/>
                <w:sz w:val="20"/>
              </w:rPr>
              <w:t>1,069</w:t>
            </w:r>
          </w:p>
        </w:tc>
        <w:tc>
          <w:tcPr>
            <w:tcW w:w="2196" w:type="dxa"/>
          </w:tcPr>
          <w:p w14:paraId="33B8C63F" w14:textId="0B8C3657" w:rsidR="00B23BD9" w:rsidRPr="004E50E7" w:rsidRDefault="00122ED4" w:rsidP="008F2513">
            <w:pPr>
              <w:ind w:right="-720"/>
              <w:jc w:val="center"/>
              <w:rPr>
                <w:rFonts w:ascii="Calibri" w:hAnsi="Calibri"/>
                <w:sz w:val="20"/>
              </w:rPr>
            </w:pPr>
            <w:r>
              <w:rPr>
                <w:rFonts w:ascii="Calibri" w:hAnsi="Calibri"/>
                <w:sz w:val="20"/>
              </w:rPr>
              <w:t>9.5</w:t>
            </w:r>
          </w:p>
        </w:tc>
      </w:tr>
      <w:tr w:rsidR="008772FC" w:rsidRPr="004E50E7" w14:paraId="2E68B5AB" w14:textId="77777777" w:rsidTr="003533DF">
        <w:tc>
          <w:tcPr>
            <w:tcW w:w="2952" w:type="dxa"/>
          </w:tcPr>
          <w:p w14:paraId="7F9EFED6" w14:textId="77777777" w:rsidR="008772FC" w:rsidRPr="004E50E7" w:rsidRDefault="008772FC" w:rsidP="008F2513">
            <w:pPr>
              <w:ind w:right="-720"/>
              <w:rPr>
                <w:rFonts w:ascii="Calibri" w:hAnsi="Calibri"/>
                <w:sz w:val="20"/>
              </w:rPr>
            </w:pPr>
            <w:r w:rsidRPr="004E50E7">
              <w:rPr>
                <w:rFonts w:ascii="Calibri" w:hAnsi="Calibri"/>
                <w:sz w:val="20"/>
              </w:rPr>
              <w:t>1939 or earlier</w:t>
            </w:r>
          </w:p>
        </w:tc>
        <w:tc>
          <w:tcPr>
            <w:tcW w:w="2346" w:type="dxa"/>
          </w:tcPr>
          <w:p w14:paraId="11A3552D" w14:textId="1214CAC7" w:rsidR="008772FC" w:rsidRPr="004E50E7" w:rsidRDefault="00122ED4" w:rsidP="008F2513">
            <w:pPr>
              <w:ind w:right="-720"/>
              <w:jc w:val="center"/>
              <w:rPr>
                <w:rFonts w:ascii="Calibri" w:hAnsi="Calibri"/>
                <w:sz w:val="20"/>
              </w:rPr>
            </w:pPr>
            <w:r>
              <w:rPr>
                <w:rFonts w:ascii="Calibri" w:hAnsi="Calibri"/>
                <w:sz w:val="20"/>
              </w:rPr>
              <w:t>2,513</w:t>
            </w:r>
          </w:p>
        </w:tc>
        <w:tc>
          <w:tcPr>
            <w:tcW w:w="2196" w:type="dxa"/>
          </w:tcPr>
          <w:p w14:paraId="42075585" w14:textId="0E0BA07C" w:rsidR="008772FC" w:rsidRPr="004E50E7" w:rsidRDefault="00122ED4" w:rsidP="008F2513">
            <w:pPr>
              <w:ind w:right="-720"/>
              <w:jc w:val="center"/>
              <w:rPr>
                <w:rFonts w:ascii="Calibri" w:hAnsi="Calibri"/>
                <w:sz w:val="20"/>
              </w:rPr>
            </w:pPr>
            <w:r>
              <w:rPr>
                <w:rFonts w:ascii="Calibri" w:hAnsi="Calibri"/>
                <w:sz w:val="20"/>
              </w:rPr>
              <w:t>22.4</w:t>
            </w:r>
          </w:p>
        </w:tc>
      </w:tr>
      <w:tr w:rsidR="008772FC" w:rsidRPr="004E50E7" w14:paraId="6BC215FA" w14:textId="77777777" w:rsidTr="003533DF">
        <w:tc>
          <w:tcPr>
            <w:tcW w:w="2952" w:type="dxa"/>
          </w:tcPr>
          <w:p w14:paraId="020E3F9C" w14:textId="77777777" w:rsidR="008772FC" w:rsidRPr="004E50E7" w:rsidRDefault="008772FC" w:rsidP="008F2513">
            <w:pPr>
              <w:ind w:right="-720"/>
              <w:rPr>
                <w:rFonts w:ascii="Calibri" w:hAnsi="Calibri"/>
                <w:sz w:val="20"/>
              </w:rPr>
            </w:pPr>
            <w:r w:rsidRPr="004E50E7">
              <w:rPr>
                <w:rFonts w:ascii="Calibri" w:hAnsi="Calibri"/>
                <w:sz w:val="20"/>
              </w:rPr>
              <w:t xml:space="preserve">Total </w:t>
            </w:r>
          </w:p>
        </w:tc>
        <w:tc>
          <w:tcPr>
            <w:tcW w:w="2346" w:type="dxa"/>
          </w:tcPr>
          <w:p w14:paraId="77AAF905" w14:textId="241D38B9" w:rsidR="008772FC" w:rsidRPr="004E50E7" w:rsidRDefault="0028614C" w:rsidP="008F2513">
            <w:pPr>
              <w:ind w:right="-720"/>
              <w:jc w:val="center"/>
              <w:rPr>
                <w:rFonts w:ascii="Calibri" w:hAnsi="Calibri"/>
                <w:sz w:val="20"/>
              </w:rPr>
            </w:pPr>
            <w:r>
              <w:rPr>
                <w:rFonts w:ascii="Calibri" w:hAnsi="Calibri"/>
                <w:sz w:val="20"/>
              </w:rPr>
              <w:t>11,</w:t>
            </w:r>
            <w:r w:rsidR="004E33E2">
              <w:rPr>
                <w:rFonts w:ascii="Calibri" w:hAnsi="Calibri"/>
                <w:sz w:val="20"/>
              </w:rPr>
              <w:t>211</w:t>
            </w:r>
          </w:p>
        </w:tc>
        <w:tc>
          <w:tcPr>
            <w:tcW w:w="2196" w:type="dxa"/>
          </w:tcPr>
          <w:p w14:paraId="75201B3E" w14:textId="2E516095" w:rsidR="008772FC" w:rsidRPr="004E50E7" w:rsidRDefault="0028614C" w:rsidP="008F2513">
            <w:pPr>
              <w:ind w:right="-720"/>
              <w:jc w:val="center"/>
              <w:rPr>
                <w:rFonts w:ascii="Calibri" w:hAnsi="Calibri"/>
                <w:sz w:val="20"/>
              </w:rPr>
            </w:pPr>
            <w:r>
              <w:rPr>
                <w:rFonts w:ascii="Calibri" w:hAnsi="Calibri"/>
                <w:sz w:val="20"/>
              </w:rPr>
              <w:t>100.0</w:t>
            </w:r>
          </w:p>
        </w:tc>
      </w:tr>
    </w:tbl>
    <w:p w14:paraId="0FD20CC9" w14:textId="34722361" w:rsidR="008772FC" w:rsidRPr="004E50E7" w:rsidRDefault="008772FC" w:rsidP="008772FC">
      <w:pPr>
        <w:ind w:right="-720" w:firstLine="720"/>
        <w:rPr>
          <w:rFonts w:ascii="Calibri" w:hAnsi="Calibri"/>
          <w:sz w:val="20"/>
        </w:rPr>
      </w:pPr>
      <w:r w:rsidRPr="004E50E7">
        <w:rPr>
          <w:rFonts w:ascii="Calibri" w:hAnsi="Calibri"/>
          <w:sz w:val="20"/>
        </w:rPr>
        <w:t xml:space="preserve">Source:  U.S. Census Bureau, </w:t>
      </w:r>
      <w:r w:rsidR="00A66C1A">
        <w:rPr>
          <w:rFonts w:ascii="Calibri" w:hAnsi="Calibri"/>
          <w:sz w:val="20"/>
        </w:rPr>
        <w:t>American Community Survey 201</w:t>
      </w:r>
      <w:r w:rsidR="004E33E2">
        <w:rPr>
          <w:rFonts w:ascii="Calibri" w:hAnsi="Calibri"/>
          <w:sz w:val="20"/>
        </w:rPr>
        <w:t>6</w:t>
      </w:r>
      <w:r w:rsidR="00A66C1A">
        <w:rPr>
          <w:rFonts w:ascii="Calibri" w:hAnsi="Calibri"/>
          <w:sz w:val="20"/>
        </w:rPr>
        <w:t>-20</w:t>
      </w:r>
      <w:r w:rsidR="004E33E2">
        <w:rPr>
          <w:rFonts w:ascii="Calibri" w:hAnsi="Calibri"/>
          <w:sz w:val="20"/>
        </w:rPr>
        <w:t>20</w:t>
      </w:r>
      <w:r w:rsidR="00A66C1A">
        <w:rPr>
          <w:rFonts w:ascii="Calibri" w:hAnsi="Calibri"/>
          <w:sz w:val="20"/>
        </w:rPr>
        <w:t xml:space="preserve"> 5-Year Estimates.</w:t>
      </w:r>
      <w:r w:rsidRPr="004E50E7">
        <w:rPr>
          <w:rFonts w:ascii="Calibri" w:hAnsi="Calibri"/>
          <w:sz w:val="20"/>
        </w:rPr>
        <w:t xml:space="preserve">  </w:t>
      </w:r>
    </w:p>
    <w:p w14:paraId="08414354" w14:textId="77777777" w:rsidR="008772FC" w:rsidRDefault="008772FC" w:rsidP="008772FC">
      <w:pPr>
        <w:ind w:right="-720"/>
        <w:rPr>
          <w:rFonts w:ascii="Calibri" w:hAnsi="Calibri"/>
          <w:sz w:val="22"/>
        </w:rPr>
      </w:pPr>
    </w:p>
    <w:p w14:paraId="0A71B87F" w14:textId="026B64F7" w:rsidR="00484CEE" w:rsidRDefault="00443757" w:rsidP="00AC4AE8">
      <w:pPr>
        <w:jc w:val="both"/>
        <w:rPr>
          <w:rFonts w:asciiTheme="minorHAnsi" w:hAnsiTheme="minorHAnsi" w:cs="Lucida Sans Unicode"/>
          <w:sz w:val="22"/>
          <w:szCs w:val="22"/>
        </w:rPr>
      </w:pPr>
      <w:r w:rsidRPr="00443757">
        <w:rPr>
          <w:rFonts w:asciiTheme="minorHAnsi" w:hAnsiTheme="minorHAnsi" w:cs="Lucida Sans Unicode"/>
          <w:sz w:val="22"/>
          <w:szCs w:val="22"/>
        </w:rPr>
        <w:lastRenderedPageBreak/>
        <w:t xml:space="preserve">Table </w:t>
      </w:r>
      <w:r w:rsidR="00C94DEA">
        <w:rPr>
          <w:rFonts w:asciiTheme="minorHAnsi" w:hAnsiTheme="minorHAnsi" w:cs="Lucida Sans Unicode"/>
          <w:sz w:val="22"/>
          <w:szCs w:val="22"/>
        </w:rPr>
        <w:t>III-22</w:t>
      </w:r>
      <w:r w:rsidRPr="00443757">
        <w:rPr>
          <w:rFonts w:asciiTheme="minorHAnsi" w:hAnsiTheme="minorHAnsi" w:cs="Lucida Sans Unicode"/>
          <w:sz w:val="22"/>
          <w:szCs w:val="22"/>
        </w:rPr>
        <w:t xml:space="preserve"> </w:t>
      </w:r>
      <w:r w:rsidR="00547CB7">
        <w:rPr>
          <w:rFonts w:asciiTheme="minorHAnsi" w:hAnsiTheme="minorHAnsi" w:cs="Lucida Sans Unicode"/>
          <w:sz w:val="22"/>
          <w:szCs w:val="22"/>
        </w:rPr>
        <w:t>indicates</w:t>
      </w:r>
      <w:r w:rsidR="005F324D">
        <w:rPr>
          <w:rFonts w:asciiTheme="minorHAnsi" w:hAnsiTheme="minorHAnsi" w:cs="Lucida Sans Unicode"/>
          <w:sz w:val="22"/>
          <w:szCs w:val="22"/>
        </w:rPr>
        <w:t xml:space="preserve"> that between 2010 and 20</w:t>
      </w:r>
      <w:r w:rsidR="008F1111">
        <w:rPr>
          <w:rFonts w:asciiTheme="minorHAnsi" w:hAnsiTheme="minorHAnsi" w:cs="Lucida Sans Unicode"/>
          <w:sz w:val="22"/>
          <w:szCs w:val="22"/>
        </w:rPr>
        <w:t>20</w:t>
      </w:r>
      <w:r w:rsidR="005F324D">
        <w:rPr>
          <w:rFonts w:asciiTheme="minorHAnsi" w:hAnsiTheme="minorHAnsi" w:cs="Lucida Sans Unicode"/>
          <w:sz w:val="22"/>
          <w:szCs w:val="22"/>
        </w:rPr>
        <w:t xml:space="preserve"> </w:t>
      </w:r>
      <w:r w:rsidR="008F1111">
        <w:rPr>
          <w:rFonts w:asciiTheme="minorHAnsi" w:hAnsiTheme="minorHAnsi" w:cs="Lucida Sans Unicode"/>
          <w:sz w:val="22"/>
          <w:szCs w:val="22"/>
        </w:rPr>
        <w:t xml:space="preserve">there was a net gain of 720 housing units with a net increase of </w:t>
      </w:r>
      <w:r w:rsidR="00367AAE">
        <w:rPr>
          <w:rFonts w:asciiTheme="minorHAnsi" w:hAnsiTheme="minorHAnsi" w:cs="Lucida Sans Unicode"/>
          <w:sz w:val="22"/>
          <w:szCs w:val="22"/>
        </w:rPr>
        <w:t>1</w:t>
      </w:r>
      <w:r w:rsidR="00A07E3D">
        <w:rPr>
          <w:rFonts w:asciiTheme="minorHAnsi" w:hAnsiTheme="minorHAnsi" w:cs="Lucida Sans Unicode"/>
          <w:sz w:val="22"/>
          <w:szCs w:val="22"/>
        </w:rPr>
        <w:t>9</w:t>
      </w:r>
      <w:r w:rsidR="00367AAE">
        <w:rPr>
          <w:rFonts w:asciiTheme="minorHAnsi" w:hAnsiTheme="minorHAnsi" w:cs="Lucida Sans Unicode"/>
          <w:sz w:val="22"/>
          <w:szCs w:val="22"/>
        </w:rPr>
        <w:t xml:space="preserve"> single-family homes</w:t>
      </w:r>
      <w:r w:rsidR="004500F9">
        <w:rPr>
          <w:rFonts w:asciiTheme="minorHAnsi" w:hAnsiTheme="minorHAnsi" w:cs="Lucida Sans Unicode"/>
          <w:sz w:val="22"/>
          <w:szCs w:val="22"/>
        </w:rPr>
        <w:t>. This</w:t>
      </w:r>
      <w:r w:rsidR="00484CEE">
        <w:rPr>
          <w:rFonts w:asciiTheme="minorHAnsi" w:hAnsiTheme="minorHAnsi" w:cs="Lucida Sans Unicode"/>
          <w:sz w:val="22"/>
          <w:szCs w:val="22"/>
        </w:rPr>
        <w:t xml:space="preserve"> </w:t>
      </w:r>
      <w:r w:rsidR="00367AAE">
        <w:rPr>
          <w:rFonts w:asciiTheme="minorHAnsi" w:hAnsiTheme="minorHAnsi" w:cs="Lucida Sans Unicode"/>
          <w:sz w:val="22"/>
          <w:szCs w:val="22"/>
        </w:rPr>
        <w:t>represent</w:t>
      </w:r>
      <w:r w:rsidR="004500F9">
        <w:rPr>
          <w:rFonts w:asciiTheme="minorHAnsi" w:hAnsiTheme="minorHAnsi" w:cs="Lucida Sans Unicode"/>
          <w:sz w:val="22"/>
          <w:szCs w:val="22"/>
        </w:rPr>
        <w:t>s</w:t>
      </w:r>
      <w:r w:rsidR="00367AAE">
        <w:rPr>
          <w:rFonts w:asciiTheme="minorHAnsi" w:hAnsiTheme="minorHAnsi" w:cs="Lucida Sans Unicode"/>
          <w:sz w:val="22"/>
          <w:szCs w:val="22"/>
        </w:rPr>
        <w:t xml:space="preserve"> a teardown </w:t>
      </w:r>
      <w:r w:rsidR="004F4DDD">
        <w:rPr>
          <w:noProof/>
        </w:rPr>
        <mc:AlternateContent>
          <mc:Choice Requires="wps">
            <w:drawing>
              <wp:anchor distT="45720" distB="45720" distL="114300" distR="114300" simplePos="0" relativeHeight="251657728" behindDoc="0" locked="0" layoutInCell="1" allowOverlap="1" wp14:anchorId="06607439" wp14:editId="6F8CAA3A">
                <wp:simplePos x="0" y="0"/>
                <wp:positionH relativeFrom="margin">
                  <wp:posOffset>62865</wp:posOffset>
                </wp:positionH>
                <wp:positionV relativeFrom="paragraph">
                  <wp:posOffset>6350</wp:posOffset>
                </wp:positionV>
                <wp:extent cx="2621280" cy="121920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219200"/>
                        </a:xfrm>
                        <a:prstGeom prst="rect">
                          <a:avLst/>
                        </a:prstGeom>
                        <a:solidFill>
                          <a:srgbClr val="FFFFFF"/>
                        </a:solidFill>
                        <a:ln w="9525">
                          <a:solidFill>
                            <a:srgbClr val="000000"/>
                          </a:solidFill>
                          <a:miter lim="800000"/>
                          <a:headEnd/>
                          <a:tailEnd/>
                        </a:ln>
                      </wps:spPr>
                      <wps:txbx>
                        <w:txbxContent>
                          <w:p w14:paraId="5A873FAC" w14:textId="66001452" w:rsidR="009A5009" w:rsidRPr="009A5009" w:rsidRDefault="009A5009" w:rsidP="009A5009">
                            <w:pPr>
                              <w:shd w:val="clear" w:color="auto" w:fill="B6DDE8" w:themeFill="accent5" w:themeFillTint="66"/>
                              <w:jc w:val="center"/>
                              <w:rPr>
                                <w:rFonts w:asciiTheme="minorHAnsi" w:hAnsiTheme="minorHAnsi" w:cs="Lucida Sans Unicode"/>
                              </w:rPr>
                            </w:pPr>
                            <w:r w:rsidRPr="009A5009">
                              <w:rPr>
                                <w:rFonts w:asciiTheme="minorHAnsi" w:hAnsiTheme="minorHAnsi" w:cs="Lucida Sans Unicode"/>
                              </w:rPr>
                              <w:t>In 2021, 76 single-family units were permitted as well as three duplexes.  During the year, 72 single-family homes and two duplexes involved teardowns for a total net unit gain of only ten units.</w:t>
                            </w:r>
                          </w:p>
                          <w:p w14:paraId="67AA9B61" w14:textId="51F603E4" w:rsidR="009A5009" w:rsidRDefault="009A50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07439" id="_x0000_t202" coordsize="21600,21600" o:spt="202" path="m,l,21600r21600,l21600,xe">
                <v:stroke joinstyle="miter"/>
                <v:path gradientshapeok="t" o:connecttype="rect"/>
              </v:shapetype>
              <v:shape id="Text Box 9" o:spid="_x0000_s1026" type="#_x0000_t202" style="position:absolute;left:0;text-align:left;margin-left:4.95pt;margin-top:.5pt;width:206.4pt;height:9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">
                <v:textbox>
                  <w:txbxContent>
                    <w:p w14:paraId="5A873FAC" w14:textId="66001452" w:rsidR="009A5009" w:rsidRPr="009A5009" w:rsidRDefault="009A5009" w:rsidP="009A5009">
                      <w:pPr>
                        <w:shd w:val="clear" w:color="auto" w:fill="B6DDE8" w:themeFill="accent5" w:themeFillTint="66"/>
                        <w:jc w:val="center"/>
                        <w:rPr>
                          <w:rFonts w:asciiTheme="minorHAnsi" w:hAnsiTheme="minorHAnsi" w:cs="Lucida Sans Unicode"/>
                        </w:rPr>
                      </w:pPr>
                      <w:r w:rsidRPr="009A5009">
                        <w:rPr>
                          <w:rFonts w:asciiTheme="minorHAnsi" w:hAnsiTheme="minorHAnsi" w:cs="Lucida Sans Unicode"/>
                        </w:rPr>
                        <w:t>In 2021, 76 single-family units were permitted as well as three duplexes.  During the year, 72 single-family homes and two duplexes involved teardowns for a total net unit gain of only ten units.</w:t>
                      </w:r>
                    </w:p>
                    <w:p w14:paraId="67AA9B61" w14:textId="51F603E4" w:rsidR="009A5009" w:rsidRDefault="009A5009"/>
                  </w:txbxContent>
                </v:textbox>
                <w10:wrap type="square" anchorx="margin"/>
              </v:shape>
            </w:pict>
          </mc:Fallback>
        </mc:AlternateContent>
      </w:r>
      <w:r w:rsidR="00367AAE">
        <w:rPr>
          <w:rFonts w:asciiTheme="minorHAnsi" w:hAnsiTheme="minorHAnsi" w:cs="Lucida Sans Unicode"/>
          <w:sz w:val="22"/>
          <w:szCs w:val="22"/>
        </w:rPr>
        <w:t xml:space="preserve">level of almost 98% of all new </w:t>
      </w:r>
      <w:r w:rsidR="001B054B">
        <w:rPr>
          <w:rFonts w:asciiTheme="minorHAnsi" w:hAnsiTheme="minorHAnsi" w:cs="Lucida Sans Unicode"/>
          <w:sz w:val="22"/>
          <w:szCs w:val="22"/>
        </w:rPr>
        <w:t>permitting for the construction of single-family homes</w:t>
      </w:r>
      <w:r w:rsidR="004500F9">
        <w:rPr>
          <w:rFonts w:asciiTheme="minorHAnsi" w:hAnsiTheme="minorHAnsi" w:cs="Lucida Sans Unicode"/>
          <w:sz w:val="22"/>
          <w:szCs w:val="22"/>
        </w:rPr>
        <w:t xml:space="preserve"> during this period</w:t>
      </w:r>
      <w:r w:rsidR="00367AAE">
        <w:rPr>
          <w:rFonts w:asciiTheme="minorHAnsi" w:hAnsiTheme="minorHAnsi" w:cs="Lucida Sans Unicode"/>
          <w:sz w:val="22"/>
          <w:szCs w:val="22"/>
        </w:rPr>
        <w:t>. On the other hand, 666 units were built in multi-family buildings</w:t>
      </w:r>
      <w:r w:rsidR="00484CEE">
        <w:rPr>
          <w:rFonts w:asciiTheme="minorHAnsi" w:hAnsiTheme="minorHAnsi" w:cs="Lucida Sans Unicode"/>
          <w:sz w:val="22"/>
          <w:szCs w:val="22"/>
        </w:rPr>
        <w:t xml:space="preserve"> of three units or more</w:t>
      </w:r>
      <w:r w:rsidR="00276692">
        <w:rPr>
          <w:rFonts w:asciiTheme="minorHAnsi" w:hAnsiTheme="minorHAnsi" w:cs="Lucida Sans Unicode"/>
          <w:sz w:val="22"/>
          <w:szCs w:val="22"/>
        </w:rPr>
        <w:t>,</w:t>
      </w:r>
      <w:r w:rsidR="00367AAE">
        <w:rPr>
          <w:rFonts w:asciiTheme="minorHAnsi" w:hAnsiTheme="minorHAnsi" w:cs="Lucida Sans Unicode"/>
          <w:sz w:val="22"/>
          <w:szCs w:val="22"/>
        </w:rPr>
        <w:t xml:space="preserve"> representing </w:t>
      </w:r>
      <w:r w:rsidR="00484CEE">
        <w:rPr>
          <w:rFonts w:asciiTheme="minorHAnsi" w:hAnsiTheme="minorHAnsi" w:cs="Lucida Sans Unicode"/>
          <w:sz w:val="22"/>
          <w:szCs w:val="22"/>
        </w:rPr>
        <w:t xml:space="preserve">92.5% of new unit production. </w:t>
      </w:r>
      <w:r w:rsidR="004500F9">
        <w:rPr>
          <w:rFonts w:asciiTheme="minorHAnsi" w:hAnsiTheme="minorHAnsi" w:cs="Lucida Sans Unicode"/>
          <w:sz w:val="22"/>
          <w:szCs w:val="22"/>
        </w:rPr>
        <w:t xml:space="preserve"> T</w:t>
      </w:r>
      <w:r w:rsidR="00AC4AE8">
        <w:rPr>
          <w:rFonts w:asciiTheme="minorHAnsi" w:hAnsiTheme="minorHAnsi" w:cs="Lucida Sans Unicode"/>
          <w:sz w:val="22"/>
          <w:szCs w:val="22"/>
        </w:rPr>
        <w:t xml:space="preserve">his level of housing growth is </w:t>
      </w:r>
      <w:r w:rsidR="005554BC">
        <w:rPr>
          <w:rFonts w:asciiTheme="minorHAnsi" w:hAnsiTheme="minorHAnsi" w:cs="Lucida Sans Unicode"/>
          <w:sz w:val="22"/>
          <w:szCs w:val="22"/>
        </w:rPr>
        <w:t xml:space="preserve">lower than the </w:t>
      </w:r>
      <w:r w:rsidR="00547CB7">
        <w:rPr>
          <w:rFonts w:asciiTheme="minorHAnsi" w:hAnsiTheme="minorHAnsi" w:cs="Lucida Sans Unicode"/>
          <w:sz w:val="22"/>
          <w:szCs w:val="22"/>
        </w:rPr>
        <w:t>913</w:t>
      </w:r>
      <w:r w:rsidR="005554BC">
        <w:rPr>
          <w:rFonts w:asciiTheme="minorHAnsi" w:hAnsiTheme="minorHAnsi" w:cs="Lucida Sans Unicode"/>
          <w:sz w:val="22"/>
          <w:szCs w:val="22"/>
        </w:rPr>
        <w:t xml:space="preserve"> units built between 2010 and 20</w:t>
      </w:r>
      <w:r w:rsidR="00547CB7">
        <w:rPr>
          <w:rFonts w:asciiTheme="minorHAnsi" w:hAnsiTheme="minorHAnsi" w:cs="Lucida Sans Unicode"/>
          <w:sz w:val="22"/>
          <w:szCs w:val="22"/>
        </w:rPr>
        <w:t>20</w:t>
      </w:r>
      <w:r w:rsidR="005554BC">
        <w:rPr>
          <w:rFonts w:asciiTheme="minorHAnsi" w:hAnsiTheme="minorHAnsi" w:cs="Lucida Sans Unicode"/>
          <w:sz w:val="22"/>
          <w:szCs w:val="22"/>
        </w:rPr>
        <w:t xml:space="preserve"> according to the 20</w:t>
      </w:r>
      <w:r w:rsidR="00547CB7">
        <w:rPr>
          <w:rFonts w:asciiTheme="minorHAnsi" w:hAnsiTheme="minorHAnsi" w:cs="Lucida Sans Unicode"/>
          <w:sz w:val="22"/>
          <w:szCs w:val="22"/>
        </w:rPr>
        <w:t>20</w:t>
      </w:r>
      <w:r w:rsidR="005554BC">
        <w:rPr>
          <w:rFonts w:asciiTheme="minorHAnsi" w:hAnsiTheme="minorHAnsi" w:cs="Lucida Sans Unicode"/>
          <w:sz w:val="22"/>
          <w:szCs w:val="22"/>
        </w:rPr>
        <w:t xml:space="preserve"> census estimates summarized in </w:t>
      </w:r>
      <w:r w:rsidR="00AC4AE8">
        <w:rPr>
          <w:rFonts w:asciiTheme="minorHAnsi" w:hAnsiTheme="minorHAnsi" w:cs="Lucida Sans Unicode"/>
          <w:sz w:val="22"/>
          <w:szCs w:val="22"/>
        </w:rPr>
        <w:t xml:space="preserve">Table </w:t>
      </w:r>
      <w:r w:rsidR="005554BC">
        <w:rPr>
          <w:rFonts w:asciiTheme="minorHAnsi" w:hAnsiTheme="minorHAnsi" w:cs="Lucida Sans Unicode"/>
          <w:sz w:val="22"/>
          <w:szCs w:val="22"/>
        </w:rPr>
        <w:t>III-2</w:t>
      </w:r>
      <w:r w:rsidR="00484CEE">
        <w:rPr>
          <w:rFonts w:asciiTheme="minorHAnsi" w:hAnsiTheme="minorHAnsi" w:cs="Lucida Sans Unicode"/>
          <w:sz w:val="22"/>
          <w:szCs w:val="22"/>
        </w:rPr>
        <w:t>1</w:t>
      </w:r>
      <w:r w:rsidR="00AC4AE8">
        <w:rPr>
          <w:rFonts w:asciiTheme="minorHAnsi" w:hAnsiTheme="minorHAnsi" w:cs="Lucida Sans Unicode"/>
          <w:sz w:val="22"/>
          <w:szCs w:val="22"/>
        </w:rPr>
        <w:t xml:space="preserve">. </w:t>
      </w:r>
      <w:r w:rsidR="005554BC">
        <w:rPr>
          <w:rFonts w:asciiTheme="minorHAnsi" w:hAnsiTheme="minorHAnsi" w:cs="Lucida Sans Unicode"/>
          <w:sz w:val="22"/>
          <w:szCs w:val="22"/>
        </w:rPr>
        <w:t xml:space="preserve"> Nevertheless, based </w:t>
      </w:r>
      <w:r w:rsidR="00AC4AE8">
        <w:rPr>
          <w:rFonts w:asciiTheme="minorHAnsi" w:hAnsiTheme="minorHAnsi" w:cs="Lucida Sans Unicode"/>
          <w:sz w:val="22"/>
          <w:szCs w:val="22"/>
        </w:rPr>
        <w:t>on the 2010</w:t>
      </w:r>
      <w:r w:rsidR="005554BC">
        <w:rPr>
          <w:rFonts w:asciiTheme="minorHAnsi" w:hAnsiTheme="minorHAnsi" w:cs="Lucida Sans Unicode"/>
          <w:sz w:val="22"/>
          <w:szCs w:val="22"/>
        </w:rPr>
        <w:t xml:space="preserve"> and 2020</w:t>
      </w:r>
      <w:r w:rsidR="00AC4AE8">
        <w:rPr>
          <w:rFonts w:asciiTheme="minorHAnsi" w:hAnsiTheme="minorHAnsi" w:cs="Lucida Sans Unicode"/>
          <w:sz w:val="22"/>
          <w:szCs w:val="22"/>
        </w:rPr>
        <w:t xml:space="preserve"> decennial census count</w:t>
      </w:r>
      <w:r w:rsidR="005554BC">
        <w:rPr>
          <w:rFonts w:asciiTheme="minorHAnsi" w:hAnsiTheme="minorHAnsi" w:cs="Lucida Sans Unicode"/>
          <w:sz w:val="22"/>
          <w:szCs w:val="22"/>
        </w:rPr>
        <w:t>s</w:t>
      </w:r>
      <w:r w:rsidR="00AC4AE8">
        <w:rPr>
          <w:rFonts w:asciiTheme="minorHAnsi" w:hAnsiTheme="minorHAnsi" w:cs="Lucida Sans Unicode"/>
          <w:sz w:val="22"/>
          <w:szCs w:val="22"/>
        </w:rPr>
        <w:t xml:space="preserve">, the total number of units </w:t>
      </w:r>
      <w:r w:rsidR="005554BC">
        <w:rPr>
          <w:rFonts w:asciiTheme="minorHAnsi" w:hAnsiTheme="minorHAnsi" w:cs="Lucida Sans Unicode"/>
          <w:sz w:val="22"/>
          <w:szCs w:val="22"/>
        </w:rPr>
        <w:t>produced between 2010 and 2020 was 769</w:t>
      </w:r>
      <w:r w:rsidR="00484CEE">
        <w:rPr>
          <w:rFonts w:asciiTheme="minorHAnsi" w:hAnsiTheme="minorHAnsi" w:cs="Lucida Sans Unicode"/>
          <w:sz w:val="22"/>
          <w:szCs w:val="22"/>
        </w:rPr>
        <w:t xml:space="preserve"> as shown in Table III-23</w:t>
      </w:r>
      <w:r w:rsidR="005554BC">
        <w:rPr>
          <w:rFonts w:asciiTheme="minorHAnsi" w:hAnsiTheme="minorHAnsi" w:cs="Lucida Sans Unicode"/>
          <w:sz w:val="22"/>
          <w:szCs w:val="22"/>
        </w:rPr>
        <w:t xml:space="preserve">, </w:t>
      </w:r>
      <w:r w:rsidR="004500F9">
        <w:rPr>
          <w:rFonts w:asciiTheme="minorHAnsi" w:hAnsiTheme="minorHAnsi" w:cs="Lucida Sans Unicode"/>
          <w:sz w:val="22"/>
          <w:szCs w:val="22"/>
        </w:rPr>
        <w:t xml:space="preserve">49 units </w:t>
      </w:r>
      <w:r w:rsidR="005554BC">
        <w:rPr>
          <w:rFonts w:asciiTheme="minorHAnsi" w:hAnsiTheme="minorHAnsi" w:cs="Lucida Sans Unicode"/>
          <w:sz w:val="22"/>
          <w:szCs w:val="22"/>
        </w:rPr>
        <w:t>higher than the building permit count</w:t>
      </w:r>
      <w:r w:rsidR="00AC4AE8">
        <w:rPr>
          <w:rFonts w:asciiTheme="minorHAnsi" w:hAnsiTheme="minorHAnsi" w:cs="Lucida Sans Unicode"/>
          <w:sz w:val="22"/>
          <w:szCs w:val="22"/>
        </w:rPr>
        <w:t xml:space="preserve">.  </w:t>
      </w:r>
    </w:p>
    <w:p w14:paraId="60B4404A" w14:textId="77777777" w:rsidR="008E318A" w:rsidRPr="00C94DEA" w:rsidRDefault="008E318A" w:rsidP="00AC4AE8">
      <w:pPr>
        <w:jc w:val="both"/>
        <w:rPr>
          <w:rFonts w:asciiTheme="minorHAnsi" w:hAnsiTheme="minorHAnsi" w:cs="Lucida Sans Unicode"/>
          <w:color w:val="FF0000"/>
          <w:sz w:val="22"/>
          <w:szCs w:val="22"/>
        </w:rPr>
      </w:pPr>
    </w:p>
    <w:p w14:paraId="5A94EFBF" w14:textId="1FB4FA5D" w:rsidR="00443757" w:rsidRPr="00D17788" w:rsidRDefault="005554BC" w:rsidP="00443757">
      <w:pPr>
        <w:pStyle w:val="Heading7"/>
        <w:jc w:val="center"/>
        <w:rPr>
          <w:rFonts w:asciiTheme="minorHAnsi" w:hAnsiTheme="minorHAnsi"/>
          <w:bCs w:val="0"/>
          <w:color w:val="FF0000"/>
          <w:u w:val="none"/>
        </w:rPr>
      </w:pPr>
      <w:r>
        <w:rPr>
          <w:rFonts w:asciiTheme="minorHAnsi" w:hAnsiTheme="minorHAnsi"/>
          <w:bCs w:val="0"/>
          <w:u w:val="none"/>
        </w:rPr>
        <w:t>T</w:t>
      </w:r>
      <w:r w:rsidR="00443757" w:rsidRPr="00443757">
        <w:rPr>
          <w:rFonts w:asciiTheme="minorHAnsi" w:hAnsiTheme="minorHAnsi"/>
          <w:bCs w:val="0"/>
          <w:u w:val="none"/>
        </w:rPr>
        <w:t xml:space="preserve">able </w:t>
      </w:r>
      <w:r w:rsidR="00A166AA">
        <w:rPr>
          <w:rFonts w:asciiTheme="minorHAnsi" w:hAnsiTheme="minorHAnsi"/>
          <w:bCs w:val="0"/>
          <w:u w:val="none"/>
        </w:rPr>
        <w:t>III-2</w:t>
      </w:r>
      <w:r w:rsidR="00C94DEA">
        <w:rPr>
          <w:rFonts w:asciiTheme="minorHAnsi" w:hAnsiTheme="minorHAnsi"/>
          <w:bCs w:val="0"/>
          <w:u w:val="none"/>
        </w:rPr>
        <w:t>2</w:t>
      </w:r>
      <w:r w:rsidR="00443757">
        <w:rPr>
          <w:rFonts w:asciiTheme="minorHAnsi" w:hAnsiTheme="minorHAnsi"/>
          <w:bCs w:val="0"/>
          <w:u w:val="none"/>
        </w:rPr>
        <w:t xml:space="preserve">: </w:t>
      </w:r>
      <w:r w:rsidR="005F324D">
        <w:rPr>
          <w:rFonts w:asciiTheme="minorHAnsi" w:hAnsiTheme="minorHAnsi"/>
          <w:bCs w:val="0"/>
          <w:u w:val="none"/>
        </w:rPr>
        <w:t>Net New Residential Units</w:t>
      </w:r>
      <w:r w:rsidR="00443757">
        <w:rPr>
          <w:rFonts w:asciiTheme="minorHAnsi" w:hAnsiTheme="minorHAnsi"/>
          <w:bCs w:val="0"/>
          <w:u w:val="none"/>
        </w:rPr>
        <w:t>, 2010-20</w:t>
      </w:r>
      <w:r w:rsidR="00056387">
        <w:rPr>
          <w:rFonts w:asciiTheme="minorHAnsi" w:hAnsiTheme="minorHAnsi"/>
          <w:bCs w:val="0"/>
          <w:u w:val="none"/>
        </w:rPr>
        <w:t>2</w:t>
      </w:r>
      <w:r w:rsidR="00443757">
        <w:rPr>
          <w:rFonts w:asciiTheme="minorHAnsi" w:hAnsiTheme="minorHAnsi"/>
          <w:bCs w:val="0"/>
          <w:u w:val="none"/>
        </w:rPr>
        <w:t>1</w:t>
      </w:r>
      <w:r w:rsidR="00D17788">
        <w:rPr>
          <w:rFonts w:asciiTheme="minorHAnsi" w:hAnsiTheme="minorHAnsi"/>
          <w:bCs w:val="0"/>
          <w:u w:val="none"/>
        </w:rPr>
        <w:t xml:space="preserve"> </w:t>
      </w:r>
    </w:p>
    <w:tbl>
      <w:tblPr>
        <w:tblW w:w="9810" w:type="dxa"/>
        <w:tblInd w:w="-8" w:type="dxa"/>
        <w:tblLayout w:type="fixed"/>
        <w:tblLook w:val="0000" w:firstRow="0" w:lastRow="0" w:firstColumn="0" w:lastColumn="0" w:noHBand="0" w:noVBand="0"/>
      </w:tblPr>
      <w:tblGrid>
        <w:gridCol w:w="2880"/>
        <w:gridCol w:w="1350"/>
        <w:gridCol w:w="1350"/>
        <w:gridCol w:w="1350"/>
        <w:gridCol w:w="1440"/>
        <w:gridCol w:w="1440"/>
      </w:tblGrid>
      <w:tr w:rsidR="008E318A" w:rsidRPr="00443757" w14:paraId="19316439" w14:textId="1230AF54" w:rsidTr="008C7751">
        <w:tc>
          <w:tcPr>
            <w:tcW w:w="2880" w:type="dxa"/>
            <w:tcBorders>
              <w:top w:val="single" w:sz="6" w:space="0" w:color="auto"/>
              <w:left w:val="single" w:sz="6" w:space="0" w:color="auto"/>
              <w:bottom w:val="single" w:sz="6" w:space="0" w:color="auto"/>
              <w:right w:val="single" w:sz="4" w:space="0" w:color="auto"/>
            </w:tcBorders>
          </w:tcPr>
          <w:p w14:paraId="1EBE69FA" w14:textId="77777777" w:rsidR="008E318A" w:rsidRDefault="008E318A" w:rsidP="00443757">
            <w:pPr>
              <w:jc w:val="center"/>
              <w:rPr>
                <w:rFonts w:asciiTheme="minorHAnsi" w:hAnsiTheme="minorHAnsi" w:cs="Lucida Sans Unicode"/>
                <w:b/>
                <w:bCs/>
              </w:rPr>
            </w:pPr>
          </w:p>
          <w:p w14:paraId="09F44B67" w14:textId="77777777" w:rsidR="008E318A" w:rsidRPr="00443757" w:rsidRDefault="008E318A" w:rsidP="00443757">
            <w:pPr>
              <w:jc w:val="center"/>
              <w:rPr>
                <w:rFonts w:asciiTheme="minorHAnsi" w:hAnsiTheme="minorHAnsi" w:cs="Lucida Sans Unicode"/>
                <w:b/>
                <w:bCs/>
              </w:rPr>
            </w:pPr>
            <w:r w:rsidRPr="00443757">
              <w:rPr>
                <w:rFonts w:asciiTheme="minorHAnsi" w:hAnsiTheme="minorHAnsi" w:cs="Lucida Sans Unicode"/>
                <w:b/>
                <w:bCs/>
                <w:sz w:val="22"/>
                <w:szCs w:val="22"/>
              </w:rPr>
              <w:t>Year</w:t>
            </w:r>
          </w:p>
        </w:tc>
        <w:tc>
          <w:tcPr>
            <w:tcW w:w="1350" w:type="dxa"/>
            <w:tcBorders>
              <w:top w:val="single" w:sz="6" w:space="0" w:color="auto"/>
              <w:left w:val="single" w:sz="4" w:space="0" w:color="auto"/>
              <w:bottom w:val="single" w:sz="6" w:space="0" w:color="auto"/>
              <w:right w:val="single" w:sz="6" w:space="0" w:color="auto"/>
            </w:tcBorders>
          </w:tcPr>
          <w:p w14:paraId="7BFD6F01" w14:textId="77777777" w:rsidR="008E318A" w:rsidRDefault="008E318A" w:rsidP="004E7F4C">
            <w:pPr>
              <w:jc w:val="center"/>
              <w:rPr>
                <w:rFonts w:asciiTheme="minorHAnsi" w:hAnsiTheme="minorHAnsi" w:cs="Lucida Sans Unicode"/>
                <w:b/>
                <w:bCs/>
              </w:rPr>
            </w:pPr>
          </w:p>
          <w:p w14:paraId="4498693B" w14:textId="77777777" w:rsidR="008E318A" w:rsidRPr="00443757" w:rsidRDefault="008E318A" w:rsidP="004E7F4C">
            <w:pPr>
              <w:jc w:val="center"/>
              <w:rPr>
                <w:rFonts w:asciiTheme="minorHAnsi" w:hAnsiTheme="minorHAnsi" w:cs="Lucida Sans Unicode"/>
                <w:b/>
                <w:bCs/>
              </w:rPr>
            </w:pPr>
            <w:r>
              <w:rPr>
                <w:rFonts w:asciiTheme="minorHAnsi" w:hAnsiTheme="minorHAnsi" w:cs="Lucida Sans Unicode"/>
                <w:b/>
                <w:bCs/>
                <w:sz w:val="22"/>
                <w:szCs w:val="22"/>
              </w:rPr>
              <w:t>New Single-family Units</w:t>
            </w:r>
          </w:p>
        </w:tc>
        <w:tc>
          <w:tcPr>
            <w:tcW w:w="1350" w:type="dxa"/>
            <w:tcBorders>
              <w:top w:val="single" w:sz="6" w:space="0" w:color="auto"/>
              <w:left w:val="single" w:sz="6" w:space="0" w:color="auto"/>
              <w:bottom w:val="single" w:sz="6" w:space="0" w:color="auto"/>
              <w:right w:val="single" w:sz="4" w:space="0" w:color="auto"/>
            </w:tcBorders>
          </w:tcPr>
          <w:p w14:paraId="2609DD9E" w14:textId="77777777" w:rsidR="008E318A" w:rsidRPr="00443757" w:rsidRDefault="008E318A" w:rsidP="00443757">
            <w:pPr>
              <w:rPr>
                <w:rFonts w:asciiTheme="minorHAnsi" w:hAnsiTheme="minorHAnsi" w:cs="Lucida Sans Unicode"/>
                <w:b/>
                <w:bCs/>
              </w:rPr>
            </w:pPr>
            <w:r>
              <w:rPr>
                <w:rFonts w:asciiTheme="minorHAnsi" w:hAnsiTheme="minorHAnsi" w:cs="Lucida Sans Unicode"/>
                <w:b/>
                <w:bCs/>
                <w:sz w:val="22"/>
                <w:szCs w:val="22"/>
              </w:rPr>
              <w:t>New Two-family Units/New Multi-family</w:t>
            </w:r>
          </w:p>
        </w:tc>
        <w:tc>
          <w:tcPr>
            <w:tcW w:w="1350" w:type="dxa"/>
            <w:tcBorders>
              <w:top w:val="single" w:sz="6" w:space="0" w:color="auto"/>
              <w:left w:val="single" w:sz="4" w:space="0" w:color="auto"/>
              <w:bottom w:val="single" w:sz="6" w:space="0" w:color="auto"/>
              <w:right w:val="single" w:sz="4" w:space="0" w:color="auto"/>
            </w:tcBorders>
          </w:tcPr>
          <w:p w14:paraId="6387C06D" w14:textId="77777777" w:rsidR="008E318A" w:rsidRDefault="008E318A" w:rsidP="004E7F4C">
            <w:pPr>
              <w:rPr>
                <w:rFonts w:asciiTheme="minorHAnsi" w:hAnsiTheme="minorHAnsi" w:cs="Lucida Sans Unicode"/>
                <w:b/>
                <w:bCs/>
              </w:rPr>
            </w:pPr>
          </w:p>
          <w:p w14:paraId="69EE011E" w14:textId="32F79B5E" w:rsidR="008E318A" w:rsidRPr="00443757" w:rsidRDefault="008E318A" w:rsidP="004E7F4C">
            <w:pPr>
              <w:rPr>
                <w:rFonts w:asciiTheme="minorHAnsi" w:hAnsiTheme="minorHAnsi" w:cs="Lucida Sans Unicode"/>
                <w:b/>
                <w:bCs/>
              </w:rPr>
            </w:pPr>
            <w:r>
              <w:rPr>
                <w:rFonts w:asciiTheme="minorHAnsi" w:hAnsiTheme="minorHAnsi" w:cs="Lucida Sans Unicode"/>
                <w:b/>
                <w:bCs/>
                <w:sz w:val="22"/>
                <w:szCs w:val="22"/>
              </w:rPr>
              <w:t>Demolished or Relocated</w:t>
            </w:r>
          </w:p>
        </w:tc>
        <w:tc>
          <w:tcPr>
            <w:tcW w:w="1440" w:type="dxa"/>
            <w:tcBorders>
              <w:top w:val="single" w:sz="6" w:space="0" w:color="auto"/>
              <w:left w:val="single" w:sz="4" w:space="0" w:color="auto"/>
              <w:bottom w:val="single" w:sz="6" w:space="0" w:color="auto"/>
              <w:right w:val="single" w:sz="6" w:space="0" w:color="auto"/>
            </w:tcBorders>
          </w:tcPr>
          <w:p w14:paraId="6AADCED6" w14:textId="77777777" w:rsidR="008E318A" w:rsidRDefault="008E318A" w:rsidP="004E7F4C">
            <w:pPr>
              <w:rPr>
                <w:rFonts w:asciiTheme="minorHAnsi" w:hAnsiTheme="minorHAnsi" w:cs="Lucida Sans Unicode"/>
                <w:b/>
                <w:bCs/>
              </w:rPr>
            </w:pPr>
            <w:r>
              <w:rPr>
                <w:rFonts w:asciiTheme="minorHAnsi" w:hAnsiTheme="minorHAnsi" w:cs="Lucida Sans Unicode"/>
                <w:b/>
                <w:bCs/>
                <w:sz w:val="22"/>
                <w:szCs w:val="22"/>
              </w:rPr>
              <w:t>Estimated</w:t>
            </w:r>
          </w:p>
          <w:p w14:paraId="6E8C58A3" w14:textId="4E4F1852" w:rsidR="008E318A" w:rsidRPr="007C0C5D" w:rsidRDefault="008E318A" w:rsidP="00A021D5">
            <w:pPr>
              <w:rPr>
                <w:rFonts w:asciiTheme="minorHAnsi" w:hAnsiTheme="minorHAnsi" w:cs="Lucida Sans Unicode"/>
                <w:bCs/>
                <w:sz w:val="20"/>
                <w:szCs w:val="20"/>
              </w:rPr>
            </w:pPr>
            <w:r>
              <w:rPr>
                <w:rFonts w:asciiTheme="minorHAnsi" w:hAnsiTheme="minorHAnsi" w:cs="Lucida Sans Unicode"/>
                <w:b/>
                <w:bCs/>
                <w:sz w:val="22"/>
                <w:szCs w:val="22"/>
              </w:rPr>
              <w:t xml:space="preserve">Total Net </w:t>
            </w:r>
            <w:r w:rsidRPr="00A021D5">
              <w:rPr>
                <w:rFonts w:asciiTheme="minorHAnsi" w:hAnsiTheme="minorHAnsi" w:cs="Lucida Sans Unicode"/>
                <w:sz w:val="22"/>
                <w:szCs w:val="22"/>
              </w:rPr>
              <w:t xml:space="preserve">New </w:t>
            </w:r>
            <w:r w:rsidRPr="00A021D5">
              <w:rPr>
                <w:rFonts w:asciiTheme="minorHAnsi" w:hAnsiTheme="minorHAnsi" w:cs="Lucida Sans Unicode"/>
                <w:sz w:val="20"/>
                <w:szCs w:val="20"/>
              </w:rPr>
              <w:t>Single-family</w:t>
            </w:r>
            <w:r w:rsidR="00A021D5" w:rsidRPr="00A021D5">
              <w:rPr>
                <w:rFonts w:asciiTheme="minorHAnsi" w:hAnsiTheme="minorHAnsi" w:cs="Lucida Sans Unicode"/>
                <w:sz w:val="20"/>
                <w:szCs w:val="20"/>
              </w:rPr>
              <w:t xml:space="preserve"> Units</w:t>
            </w:r>
          </w:p>
        </w:tc>
        <w:tc>
          <w:tcPr>
            <w:tcW w:w="1440" w:type="dxa"/>
            <w:tcBorders>
              <w:top w:val="single" w:sz="6" w:space="0" w:color="auto"/>
              <w:left w:val="single" w:sz="4" w:space="0" w:color="auto"/>
              <w:bottom w:val="single" w:sz="6" w:space="0" w:color="auto"/>
              <w:right w:val="single" w:sz="6" w:space="0" w:color="auto"/>
            </w:tcBorders>
          </w:tcPr>
          <w:p w14:paraId="70C2D87E" w14:textId="061AFB35" w:rsidR="008E318A" w:rsidRPr="00A021D5" w:rsidRDefault="00A021D5" w:rsidP="004E7F4C">
            <w:pPr>
              <w:rPr>
                <w:rFonts w:asciiTheme="minorHAnsi" w:hAnsiTheme="minorHAnsi" w:cs="Lucida Sans Unicode"/>
                <w:b/>
              </w:rPr>
            </w:pPr>
            <w:r w:rsidRPr="00A021D5">
              <w:rPr>
                <w:rFonts w:asciiTheme="minorHAnsi" w:hAnsiTheme="minorHAnsi" w:cs="Lucida Sans Unicode"/>
                <w:b/>
                <w:sz w:val="20"/>
                <w:szCs w:val="20"/>
              </w:rPr>
              <w:t>Net New Two-family + Multi-family or Subdivisions</w:t>
            </w:r>
          </w:p>
        </w:tc>
      </w:tr>
      <w:tr w:rsidR="008E318A" w:rsidRPr="00443757" w14:paraId="3E048A05" w14:textId="7DF855B4" w:rsidTr="008C7751">
        <w:tc>
          <w:tcPr>
            <w:tcW w:w="2880" w:type="dxa"/>
            <w:tcBorders>
              <w:top w:val="single" w:sz="6" w:space="0" w:color="auto"/>
              <w:left w:val="single" w:sz="6" w:space="0" w:color="auto"/>
              <w:bottom w:val="single" w:sz="6" w:space="0" w:color="auto"/>
              <w:right w:val="single" w:sz="4" w:space="0" w:color="auto"/>
            </w:tcBorders>
          </w:tcPr>
          <w:p w14:paraId="16DE8DB1"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2010</w:t>
            </w:r>
          </w:p>
        </w:tc>
        <w:tc>
          <w:tcPr>
            <w:tcW w:w="1350" w:type="dxa"/>
            <w:tcBorders>
              <w:top w:val="single" w:sz="6" w:space="0" w:color="auto"/>
              <w:left w:val="single" w:sz="4" w:space="0" w:color="auto"/>
              <w:bottom w:val="single" w:sz="6" w:space="0" w:color="auto"/>
              <w:right w:val="single" w:sz="6" w:space="0" w:color="auto"/>
            </w:tcBorders>
          </w:tcPr>
          <w:p w14:paraId="72EE6E81"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66</w:t>
            </w:r>
          </w:p>
        </w:tc>
        <w:tc>
          <w:tcPr>
            <w:tcW w:w="1350" w:type="dxa"/>
            <w:tcBorders>
              <w:top w:val="single" w:sz="6" w:space="0" w:color="auto"/>
              <w:left w:val="single" w:sz="6" w:space="0" w:color="auto"/>
              <w:bottom w:val="single" w:sz="6" w:space="0" w:color="auto"/>
              <w:right w:val="single" w:sz="4" w:space="0" w:color="auto"/>
            </w:tcBorders>
          </w:tcPr>
          <w:p w14:paraId="40123556"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4 (8 units)</w:t>
            </w:r>
          </w:p>
        </w:tc>
        <w:tc>
          <w:tcPr>
            <w:tcW w:w="1350" w:type="dxa"/>
            <w:tcBorders>
              <w:top w:val="single" w:sz="6" w:space="0" w:color="auto"/>
              <w:left w:val="single" w:sz="4" w:space="0" w:color="auto"/>
              <w:bottom w:val="single" w:sz="6" w:space="0" w:color="auto"/>
              <w:right w:val="single" w:sz="4" w:space="0" w:color="auto"/>
            </w:tcBorders>
          </w:tcPr>
          <w:p w14:paraId="1595026E"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160*</w:t>
            </w:r>
          </w:p>
        </w:tc>
        <w:tc>
          <w:tcPr>
            <w:tcW w:w="1440" w:type="dxa"/>
            <w:tcBorders>
              <w:top w:val="single" w:sz="6" w:space="0" w:color="auto"/>
              <w:left w:val="single" w:sz="4" w:space="0" w:color="auto"/>
              <w:bottom w:val="single" w:sz="6" w:space="0" w:color="auto"/>
              <w:right w:val="single" w:sz="6" w:space="0" w:color="auto"/>
            </w:tcBorders>
          </w:tcPr>
          <w:p w14:paraId="108AF5CE" w14:textId="7C1A0EA3"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5</w:t>
            </w:r>
          </w:p>
        </w:tc>
        <w:tc>
          <w:tcPr>
            <w:tcW w:w="1440" w:type="dxa"/>
            <w:tcBorders>
              <w:top w:val="single" w:sz="6" w:space="0" w:color="auto"/>
              <w:left w:val="single" w:sz="4" w:space="0" w:color="auto"/>
              <w:bottom w:val="single" w:sz="6" w:space="0" w:color="auto"/>
              <w:right w:val="single" w:sz="6" w:space="0" w:color="auto"/>
            </w:tcBorders>
          </w:tcPr>
          <w:p w14:paraId="3AFCC504" w14:textId="5423CA70"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1</w:t>
            </w:r>
          </w:p>
        </w:tc>
      </w:tr>
      <w:tr w:rsidR="008E318A" w:rsidRPr="00443757" w14:paraId="1C79580F" w14:textId="0E1EF037" w:rsidTr="008C7751">
        <w:tc>
          <w:tcPr>
            <w:tcW w:w="2880" w:type="dxa"/>
            <w:tcBorders>
              <w:top w:val="single" w:sz="6" w:space="0" w:color="auto"/>
              <w:left w:val="single" w:sz="6" w:space="0" w:color="auto"/>
              <w:bottom w:val="single" w:sz="6" w:space="0" w:color="auto"/>
              <w:right w:val="single" w:sz="4" w:space="0" w:color="auto"/>
            </w:tcBorders>
          </w:tcPr>
          <w:p w14:paraId="4F2FC5C5"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2011</w:t>
            </w:r>
          </w:p>
        </w:tc>
        <w:tc>
          <w:tcPr>
            <w:tcW w:w="1350" w:type="dxa"/>
            <w:tcBorders>
              <w:top w:val="single" w:sz="6" w:space="0" w:color="auto"/>
              <w:left w:val="single" w:sz="4" w:space="0" w:color="auto"/>
              <w:bottom w:val="single" w:sz="6" w:space="0" w:color="auto"/>
              <w:right w:val="single" w:sz="6" w:space="0" w:color="auto"/>
            </w:tcBorders>
          </w:tcPr>
          <w:p w14:paraId="76C2FC3E"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67</w:t>
            </w:r>
          </w:p>
        </w:tc>
        <w:tc>
          <w:tcPr>
            <w:tcW w:w="1350" w:type="dxa"/>
            <w:tcBorders>
              <w:top w:val="single" w:sz="6" w:space="0" w:color="auto"/>
              <w:left w:val="single" w:sz="6" w:space="0" w:color="auto"/>
              <w:bottom w:val="single" w:sz="6" w:space="0" w:color="auto"/>
              <w:right w:val="single" w:sz="4" w:space="0" w:color="auto"/>
            </w:tcBorders>
          </w:tcPr>
          <w:p w14:paraId="3153C305"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5 (10 units)</w:t>
            </w:r>
          </w:p>
        </w:tc>
        <w:tc>
          <w:tcPr>
            <w:tcW w:w="1350" w:type="dxa"/>
            <w:tcBorders>
              <w:top w:val="single" w:sz="6" w:space="0" w:color="auto"/>
              <w:left w:val="single" w:sz="4" w:space="0" w:color="auto"/>
              <w:bottom w:val="single" w:sz="6" w:space="0" w:color="auto"/>
              <w:right w:val="single" w:sz="4" w:space="0" w:color="auto"/>
            </w:tcBorders>
          </w:tcPr>
          <w:p w14:paraId="756D7140"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101*</w:t>
            </w:r>
          </w:p>
        </w:tc>
        <w:tc>
          <w:tcPr>
            <w:tcW w:w="1440" w:type="dxa"/>
            <w:tcBorders>
              <w:top w:val="single" w:sz="6" w:space="0" w:color="auto"/>
              <w:left w:val="single" w:sz="4" w:space="0" w:color="auto"/>
              <w:bottom w:val="single" w:sz="6" w:space="0" w:color="auto"/>
              <w:right w:val="single" w:sz="6" w:space="0" w:color="auto"/>
            </w:tcBorders>
          </w:tcPr>
          <w:p w14:paraId="029EADAC" w14:textId="62BEF57B"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5</w:t>
            </w:r>
          </w:p>
        </w:tc>
        <w:tc>
          <w:tcPr>
            <w:tcW w:w="1440" w:type="dxa"/>
            <w:tcBorders>
              <w:top w:val="single" w:sz="6" w:space="0" w:color="auto"/>
              <w:left w:val="single" w:sz="4" w:space="0" w:color="auto"/>
              <w:bottom w:val="single" w:sz="6" w:space="0" w:color="auto"/>
              <w:right w:val="single" w:sz="6" w:space="0" w:color="auto"/>
            </w:tcBorders>
          </w:tcPr>
          <w:p w14:paraId="53F22594" w14:textId="0EB08F42"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1</w:t>
            </w:r>
          </w:p>
        </w:tc>
      </w:tr>
      <w:tr w:rsidR="008E318A" w:rsidRPr="00443757" w14:paraId="4D4D12CB" w14:textId="0B987011" w:rsidTr="008C7751">
        <w:tc>
          <w:tcPr>
            <w:tcW w:w="2880" w:type="dxa"/>
            <w:tcBorders>
              <w:top w:val="single" w:sz="6" w:space="0" w:color="auto"/>
              <w:left w:val="single" w:sz="6" w:space="0" w:color="auto"/>
              <w:bottom w:val="single" w:sz="6" w:space="0" w:color="auto"/>
              <w:right w:val="single" w:sz="4" w:space="0" w:color="auto"/>
            </w:tcBorders>
          </w:tcPr>
          <w:p w14:paraId="7633F03F"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2012</w:t>
            </w:r>
          </w:p>
        </w:tc>
        <w:tc>
          <w:tcPr>
            <w:tcW w:w="1350" w:type="dxa"/>
            <w:tcBorders>
              <w:top w:val="single" w:sz="6" w:space="0" w:color="auto"/>
              <w:left w:val="single" w:sz="4" w:space="0" w:color="auto"/>
              <w:bottom w:val="single" w:sz="6" w:space="0" w:color="auto"/>
              <w:right w:val="single" w:sz="6" w:space="0" w:color="auto"/>
            </w:tcBorders>
          </w:tcPr>
          <w:p w14:paraId="41948597"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75</w:t>
            </w:r>
          </w:p>
        </w:tc>
        <w:tc>
          <w:tcPr>
            <w:tcW w:w="1350" w:type="dxa"/>
            <w:tcBorders>
              <w:top w:val="single" w:sz="6" w:space="0" w:color="auto"/>
              <w:left w:val="single" w:sz="6" w:space="0" w:color="auto"/>
              <w:bottom w:val="single" w:sz="6" w:space="0" w:color="auto"/>
              <w:right w:val="single" w:sz="4" w:space="0" w:color="auto"/>
            </w:tcBorders>
          </w:tcPr>
          <w:p w14:paraId="79D5D07D"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10 (20 units)</w:t>
            </w:r>
          </w:p>
        </w:tc>
        <w:tc>
          <w:tcPr>
            <w:tcW w:w="1350" w:type="dxa"/>
            <w:tcBorders>
              <w:top w:val="single" w:sz="6" w:space="0" w:color="auto"/>
              <w:left w:val="single" w:sz="4" w:space="0" w:color="auto"/>
              <w:bottom w:val="single" w:sz="6" w:space="0" w:color="auto"/>
              <w:right w:val="single" w:sz="4" w:space="0" w:color="auto"/>
            </w:tcBorders>
          </w:tcPr>
          <w:p w14:paraId="1AAC3510"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108*</w:t>
            </w:r>
          </w:p>
        </w:tc>
        <w:tc>
          <w:tcPr>
            <w:tcW w:w="1440" w:type="dxa"/>
            <w:tcBorders>
              <w:top w:val="single" w:sz="6" w:space="0" w:color="auto"/>
              <w:left w:val="single" w:sz="4" w:space="0" w:color="auto"/>
              <w:bottom w:val="single" w:sz="6" w:space="0" w:color="auto"/>
              <w:right w:val="single" w:sz="6" w:space="0" w:color="auto"/>
            </w:tcBorders>
          </w:tcPr>
          <w:p w14:paraId="5B7C5EC8" w14:textId="52DC4E9E"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6</w:t>
            </w:r>
          </w:p>
        </w:tc>
        <w:tc>
          <w:tcPr>
            <w:tcW w:w="1440" w:type="dxa"/>
            <w:tcBorders>
              <w:top w:val="single" w:sz="6" w:space="0" w:color="auto"/>
              <w:left w:val="single" w:sz="4" w:space="0" w:color="auto"/>
              <w:bottom w:val="single" w:sz="6" w:space="0" w:color="auto"/>
              <w:right w:val="single" w:sz="6" w:space="0" w:color="auto"/>
            </w:tcBorders>
          </w:tcPr>
          <w:p w14:paraId="720FF2B9" w14:textId="68C0E28E"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2</w:t>
            </w:r>
          </w:p>
        </w:tc>
      </w:tr>
      <w:tr w:rsidR="008E318A" w:rsidRPr="00443757" w14:paraId="763A4009" w14:textId="68DF8609" w:rsidTr="008C7751">
        <w:tc>
          <w:tcPr>
            <w:tcW w:w="2880" w:type="dxa"/>
            <w:tcBorders>
              <w:top w:val="single" w:sz="6" w:space="0" w:color="auto"/>
              <w:left w:val="single" w:sz="6" w:space="0" w:color="auto"/>
              <w:bottom w:val="single" w:sz="6" w:space="0" w:color="auto"/>
              <w:right w:val="single" w:sz="4" w:space="0" w:color="auto"/>
            </w:tcBorders>
          </w:tcPr>
          <w:p w14:paraId="20D6E46B"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2013</w:t>
            </w:r>
          </w:p>
        </w:tc>
        <w:tc>
          <w:tcPr>
            <w:tcW w:w="1350" w:type="dxa"/>
            <w:tcBorders>
              <w:top w:val="single" w:sz="6" w:space="0" w:color="auto"/>
              <w:left w:val="single" w:sz="4" w:space="0" w:color="auto"/>
              <w:bottom w:val="single" w:sz="6" w:space="0" w:color="auto"/>
              <w:right w:val="single" w:sz="6" w:space="0" w:color="auto"/>
            </w:tcBorders>
          </w:tcPr>
          <w:p w14:paraId="6F059B35"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61</w:t>
            </w:r>
          </w:p>
        </w:tc>
        <w:tc>
          <w:tcPr>
            <w:tcW w:w="1350" w:type="dxa"/>
            <w:tcBorders>
              <w:top w:val="single" w:sz="6" w:space="0" w:color="auto"/>
              <w:left w:val="single" w:sz="6" w:space="0" w:color="auto"/>
              <w:bottom w:val="single" w:sz="6" w:space="0" w:color="auto"/>
              <w:right w:val="single" w:sz="4" w:space="0" w:color="auto"/>
            </w:tcBorders>
          </w:tcPr>
          <w:p w14:paraId="45204540" w14:textId="77777777"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10 (20 units)/</w:t>
            </w:r>
          </w:p>
          <w:p w14:paraId="020D91FA" w14:textId="77777777" w:rsidR="008E318A" w:rsidRPr="00443757" w:rsidRDefault="008E318A" w:rsidP="003F2BA1">
            <w:pPr>
              <w:jc w:val="center"/>
              <w:rPr>
                <w:rFonts w:asciiTheme="minorHAnsi" w:hAnsiTheme="minorHAnsi" w:cs="Lucida Sans Unicode"/>
                <w:sz w:val="20"/>
                <w:szCs w:val="20"/>
              </w:rPr>
            </w:pPr>
            <w:r>
              <w:rPr>
                <w:rFonts w:asciiTheme="minorHAnsi" w:hAnsiTheme="minorHAnsi" w:cs="Lucida Sans Unicode"/>
                <w:sz w:val="20"/>
                <w:szCs w:val="20"/>
              </w:rPr>
              <w:t>1***</w:t>
            </w:r>
          </w:p>
        </w:tc>
        <w:tc>
          <w:tcPr>
            <w:tcW w:w="1350" w:type="dxa"/>
            <w:tcBorders>
              <w:top w:val="single" w:sz="6" w:space="0" w:color="auto"/>
              <w:left w:val="single" w:sz="4" w:space="0" w:color="auto"/>
              <w:bottom w:val="single" w:sz="6" w:space="0" w:color="auto"/>
              <w:right w:val="single" w:sz="4" w:space="0" w:color="auto"/>
            </w:tcBorders>
          </w:tcPr>
          <w:p w14:paraId="5DA5E29C"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68**</w:t>
            </w:r>
          </w:p>
        </w:tc>
        <w:tc>
          <w:tcPr>
            <w:tcW w:w="1440" w:type="dxa"/>
            <w:tcBorders>
              <w:top w:val="single" w:sz="6" w:space="0" w:color="auto"/>
              <w:left w:val="single" w:sz="4" w:space="0" w:color="auto"/>
              <w:bottom w:val="single" w:sz="6" w:space="0" w:color="auto"/>
              <w:right w:val="single" w:sz="6" w:space="0" w:color="auto"/>
            </w:tcBorders>
          </w:tcPr>
          <w:p w14:paraId="3FF35CC1" w14:textId="4FA2A901"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-7</w:t>
            </w:r>
          </w:p>
        </w:tc>
        <w:tc>
          <w:tcPr>
            <w:tcW w:w="1440" w:type="dxa"/>
            <w:tcBorders>
              <w:top w:val="single" w:sz="6" w:space="0" w:color="auto"/>
              <w:left w:val="single" w:sz="4" w:space="0" w:color="auto"/>
              <w:bottom w:val="single" w:sz="6" w:space="0" w:color="auto"/>
              <w:right w:val="single" w:sz="6" w:space="0" w:color="auto"/>
            </w:tcBorders>
          </w:tcPr>
          <w:p w14:paraId="6225F796" w14:textId="18FA1B70"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2 + 12</w:t>
            </w:r>
          </w:p>
        </w:tc>
      </w:tr>
      <w:tr w:rsidR="008E318A" w:rsidRPr="00443757" w14:paraId="545AF4D9" w14:textId="65981A0B" w:rsidTr="008C7751">
        <w:tc>
          <w:tcPr>
            <w:tcW w:w="2880" w:type="dxa"/>
            <w:tcBorders>
              <w:top w:val="single" w:sz="6" w:space="0" w:color="auto"/>
              <w:left w:val="single" w:sz="6" w:space="0" w:color="auto"/>
              <w:bottom w:val="single" w:sz="6" w:space="0" w:color="auto"/>
              <w:right w:val="single" w:sz="4" w:space="0" w:color="auto"/>
            </w:tcBorders>
          </w:tcPr>
          <w:p w14:paraId="33B79700"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2014</w:t>
            </w:r>
          </w:p>
        </w:tc>
        <w:tc>
          <w:tcPr>
            <w:tcW w:w="1350" w:type="dxa"/>
            <w:tcBorders>
              <w:top w:val="single" w:sz="6" w:space="0" w:color="auto"/>
              <w:left w:val="single" w:sz="4" w:space="0" w:color="auto"/>
              <w:bottom w:val="single" w:sz="6" w:space="0" w:color="auto"/>
              <w:right w:val="single" w:sz="6" w:space="0" w:color="auto"/>
            </w:tcBorders>
          </w:tcPr>
          <w:p w14:paraId="2528AD0C" w14:textId="77777777" w:rsidR="008E318A" w:rsidRPr="00443757" w:rsidRDefault="008E318A" w:rsidP="003F2BA1">
            <w:pPr>
              <w:jc w:val="center"/>
              <w:rPr>
                <w:rFonts w:asciiTheme="minorHAnsi" w:hAnsiTheme="minorHAnsi" w:cs="Lucida Sans Unicode"/>
                <w:sz w:val="20"/>
                <w:szCs w:val="20"/>
              </w:rPr>
            </w:pPr>
            <w:r>
              <w:rPr>
                <w:rFonts w:asciiTheme="minorHAnsi" w:hAnsiTheme="minorHAnsi" w:cs="Lucida Sans Unicode"/>
                <w:sz w:val="20"/>
                <w:szCs w:val="20"/>
              </w:rPr>
              <w:t>98</w:t>
            </w:r>
          </w:p>
        </w:tc>
        <w:tc>
          <w:tcPr>
            <w:tcW w:w="1350" w:type="dxa"/>
            <w:tcBorders>
              <w:top w:val="single" w:sz="6" w:space="0" w:color="auto"/>
              <w:left w:val="single" w:sz="6" w:space="0" w:color="auto"/>
              <w:bottom w:val="single" w:sz="6" w:space="0" w:color="auto"/>
              <w:right w:val="single" w:sz="4" w:space="0" w:color="auto"/>
            </w:tcBorders>
          </w:tcPr>
          <w:p w14:paraId="24837B3B" w14:textId="77777777" w:rsidR="008E318A" w:rsidRPr="00443757" w:rsidRDefault="008E318A" w:rsidP="007C0C5D">
            <w:pPr>
              <w:jc w:val="center"/>
              <w:rPr>
                <w:rFonts w:asciiTheme="minorHAnsi" w:hAnsiTheme="minorHAnsi" w:cs="Lucida Sans Unicode"/>
                <w:sz w:val="20"/>
                <w:szCs w:val="20"/>
              </w:rPr>
            </w:pPr>
            <w:r>
              <w:rPr>
                <w:rFonts w:asciiTheme="minorHAnsi" w:hAnsiTheme="minorHAnsi" w:cs="Lucida Sans Unicode"/>
                <w:sz w:val="20"/>
                <w:szCs w:val="20"/>
              </w:rPr>
              <w:t>34 (68 units)/4****</w:t>
            </w:r>
          </w:p>
        </w:tc>
        <w:tc>
          <w:tcPr>
            <w:tcW w:w="1350" w:type="dxa"/>
            <w:tcBorders>
              <w:top w:val="single" w:sz="6" w:space="0" w:color="auto"/>
              <w:left w:val="single" w:sz="4" w:space="0" w:color="auto"/>
              <w:bottom w:val="single" w:sz="6" w:space="0" w:color="auto"/>
              <w:right w:val="single" w:sz="4" w:space="0" w:color="auto"/>
            </w:tcBorders>
          </w:tcPr>
          <w:p w14:paraId="631B400D"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92**</w:t>
            </w:r>
          </w:p>
        </w:tc>
        <w:tc>
          <w:tcPr>
            <w:tcW w:w="1440" w:type="dxa"/>
            <w:tcBorders>
              <w:top w:val="single" w:sz="6" w:space="0" w:color="auto"/>
              <w:left w:val="single" w:sz="4" w:space="0" w:color="auto"/>
              <w:bottom w:val="single" w:sz="6" w:space="0" w:color="auto"/>
              <w:right w:val="single" w:sz="6" w:space="0" w:color="auto"/>
            </w:tcBorders>
          </w:tcPr>
          <w:p w14:paraId="277526B7" w14:textId="7B6D8638"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6</w:t>
            </w:r>
          </w:p>
        </w:tc>
        <w:tc>
          <w:tcPr>
            <w:tcW w:w="1440" w:type="dxa"/>
            <w:tcBorders>
              <w:top w:val="single" w:sz="6" w:space="0" w:color="auto"/>
              <w:left w:val="single" w:sz="4" w:space="0" w:color="auto"/>
              <w:bottom w:val="single" w:sz="6" w:space="0" w:color="auto"/>
              <w:right w:val="single" w:sz="6" w:space="0" w:color="auto"/>
            </w:tcBorders>
          </w:tcPr>
          <w:p w14:paraId="172C0F0F" w14:textId="005C9753"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6 + 40</w:t>
            </w:r>
          </w:p>
        </w:tc>
      </w:tr>
      <w:tr w:rsidR="008E318A" w:rsidRPr="00443757" w14:paraId="61C96361" w14:textId="104A7DFB" w:rsidTr="008C7751">
        <w:tc>
          <w:tcPr>
            <w:tcW w:w="2880" w:type="dxa"/>
            <w:tcBorders>
              <w:top w:val="single" w:sz="6" w:space="0" w:color="auto"/>
              <w:left w:val="single" w:sz="6" w:space="0" w:color="auto"/>
              <w:bottom w:val="single" w:sz="6" w:space="0" w:color="auto"/>
              <w:right w:val="single" w:sz="4" w:space="0" w:color="auto"/>
            </w:tcBorders>
          </w:tcPr>
          <w:p w14:paraId="407015C7"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2015</w:t>
            </w:r>
          </w:p>
        </w:tc>
        <w:tc>
          <w:tcPr>
            <w:tcW w:w="1350" w:type="dxa"/>
            <w:tcBorders>
              <w:top w:val="single" w:sz="6" w:space="0" w:color="auto"/>
              <w:left w:val="single" w:sz="4" w:space="0" w:color="auto"/>
              <w:bottom w:val="single" w:sz="6" w:space="0" w:color="auto"/>
              <w:right w:val="single" w:sz="6" w:space="0" w:color="auto"/>
            </w:tcBorders>
          </w:tcPr>
          <w:p w14:paraId="2700512E"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85</w:t>
            </w:r>
          </w:p>
        </w:tc>
        <w:tc>
          <w:tcPr>
            <w:tcW w:w="1350" w:type="dxa"/>
            <w:tcBorders>
              <w:top w:val="single" w:sz="6" w:space="0" w:color="auto"/>
              <w:left w:val="single" w:sz="6" w:space="0" w:color="auto"/>
              <w:bottom w:val="single" w:sz="6" w:space="0" w:color="auto"/>
              <w:right w:val="single" w:sz="4" w:space="0" w:color="auto"/>
            </w:tcBorders>
          </w:tcPr>
          <w:p w14:paraId="52371C0A"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9 (18 units)</w:t>
            </w:r>
          </w:p>
        </w:tc>
        <w:tc>
          <w:tcPr>
            <w:tcW w:w="1350" w:type="dxa"/>
            <w:tcBorders>
              <w:top w:val="single" w:sz="6" w:space="0" w:color="auto"/>
              <w:left w:val="single" w:sz="4" w:space="0" w:color="auto"/>
              <w:bottom w:val="single" w:sz="6" w:space="0" w:color="auto"/>
              <w:right w:val="single" w:sz="4" w:space="0" w:color="auto"/>
            </w:tcBorders>
          </w:tcPr>
          <w:p w14:paraId="273B8CAB"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84**</w:t>
            </w:r>
          </w:p>
        </w:tc>
        <w:tc>
          <w:tcPr>
            <w:tcW w:w="1440" w:type="dxa"/>
            <w:tcBorders>
              <w:top w:val="single" w:sz="6" w:space="0" w:color="auto"/>
              <w:left w:val="single" w:sz="4" w:space="0" w:color="auto"/>
              <w:bottom w:val="single" w:sz="6" w:space="0" w:color="auto"/>
              <w:right w:val="single" w:sz="6" w:space="0" w:color="auto"/>
            </w:tcBorders>
          </w:tcPr>
          <w:p w14:paraId="32903837" w14:textId="5CBFA136"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 xml:space="preserve">1 </w:t>
            </w:r>
          </w:p>
        </w:tc>
        <w:tc>
          <w:tcPr>
            <w:tcW w:w="1440" w:type="dxa"/>
            <w:tcBorders>
              <w:top w:val="single" w:sz="6" w:space="0" w:color="auto"/>
              <w:left w:val="single" w:sz="4" w:space="0" w:color="auto"/>
              <w:bottom w:val="single" w:sz="6" w:space="0" w:color="auto"/>
              <w:right w:val="single" w:sz="6" w:space="0" w:color="auto"/>
            </w:tcBorders>
          </w:tcPr>
          <w:p w14:paraId="14CFBD42" w14:textId="3E986DA2"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2</w:t>
            </w:r>
          </w:p>
        </w:tc>
      </w:tr>
      <w:tr w:rsidR="008E318A" w:rsidRPr="00443757" w14:paraId="0401D9FD" w14:textId="009C53DD" w:rsidTr="008C7751">
        <w:tc>
          <w:tcPr>
            <w:tcW w:w="2880" w:type="dxa"/>
            <w:tcBorders>
              <w:top w:val="single" w:sz="6" w:space="0" w:color="auto"/>
              <w:left w:val="single" w:sz="6" w:space="0" w:color="auto"/>
              <w:bottom w:val="single" w:sz="6" w:space="0" w:color="auto"/>
              <w:right w:val="single" w:sz="4" w:space="0" w:color="auto"/>
            </w:tcBorders>
          </w:tcPr>
          <w:p w14:paraId="05F6726F"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2016</w:t>
            </w:r>
          </w:p>
        </w:tc>
        <w:tc>
          <w:tcPr>
            <w:tcW w:w="1350" w:type="dxa"/>
            <w:tcBorders>
              <w:top w:val="single" w:sz="6" w:space="0" w:color="auto"/>
              <w:left w:val="single" w:sz="4" w:space="0" w:color="auto"/>
              <w:bottom w:val="single" w:sz="6" w:space="0" w:color="auto"/>
              <w:right w:val="single" w:sz="6" w:space="0" w:color="auto"/>
            </w:tcBorders>
          </w:tcPr>
          <w:p w14:paraId="5A90B8E8"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104</w:t>
            </w:r>
          </w:p>
        </w:tc>
        <w:tc>
          <w:tcPr>
            <w:tcW w:w="1350" w:type="dxa"/>
            <w:tcBorders>
              <w:top w:val="single" w:sz="6" w:space="0" w:color="auto"/>
              <w:left w:val="single" w:sz="6" w:space="0" w:color="auto"/>
              <w:bottom w:val="single" w:sz="6" w:space="0" w:color="auto"/>
              <w:right w:val="single" w:sz="4" w:space="0" w:color="auto"/>
            </w:tcBorders>
          </w:tcPr>
          <w:p w14:paraId="7D12790A"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6/12*****</w:t>
            </w:r>
          </w:p>
        </w:tc>
        <w:tc>
          <w:tcPr>
            <w:tcW w:w="1350" w:type="dxa"/>
            <w:tcBorders>
              <w:top w:val="single" w:sz="6" w:space="0" w:color="auto"/>
              <w:left w:val="single" w:sz="4" w:space="0" w:color="auto"/>
              <w:bottom w:val="single" w:sz="6" w:space="0" w:color="auto"/>
              <w:right w:val="single" w:sz="4" w:space="0" w:color="auto"/>
            </w:tcBorders>
          </w:tcPr>
          <w:p w14:paraId="48BA6FE4"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96**</w:t>
            </w:r>
          </w:p>
        </w:tc>
        <w:tc>
          <w:tcPr>
            <w:tcW w:w="1440" w:type="dxa"/>
            <w:tcBorders>
              <w:top w:val="single" w:sz="6" w:space="0" w:color="auto"/>
              <w:left w:val="single" w:sz="4" w:space="0" w:color="auto"/>
              <w:bottom w:val="single" w:sz="6" w:space="0" w:color="auto"/>
              <w:right w:val="single" w:sz="6" w:space="0" w:color="auto"/>
            </w:tcBorders>
          </w:tcPr>
          <w:p w14:paraId="33635007" w14:textId="6685EC0C"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8</w:t>
            </w:r>
          </w:p>
        </w:tc>
        <w:tc>
          <w:tcPr>
            <w:tcW w:w="1440" w:type="dxa"/>
            <w:tcBorders>
              <w:top w:val="single" w:sz="6" w:space="0" w:color="auto"/>
              <w:left w:val="single" w:sz="4" w:space="0" w:color="auto"/>
              <w:bottom w:val="single" w:sz="6" w:space="0" w:color="auto"/>
              <w:right w:val="single" w:sz="6" w:space="0" w:color="auto"/>
            </w:tcBorders>
          </w:tcPr>
          <w:p w14:paraId="0849F252" w14:textId="6C38AA44"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1 + 52</w:t>
            </w:r>
          </w:p>
        </w:tc>
      </w:tr>
      <w:tr w:rsidR="008E318A" w:rsidRPr="00443757" w14:paraId="0BEC9F98" w14:textId="17E1EDA3" w:rsidTr="008C7751">
        <w:tc>
          <w:tcPr>
            <w:tcW w:w="2880" w:type="dxa"/>
            <w:tcBorders>
              <w:top w:val="single" w:sz="6" w:space="0" w:color="auto"/>
              <w:left w:val="single" w:sz="6" w:space="0" w:color="auto"/>
              <w:bottom w:val="single" w:sz="6" w:space="0" w:color="auto"/>
              <w:right w:val="single" w:sz="4" w:space="0" w:color="auto"/>
            </w:tcBorders>
          </w:tcPr>
          <w:p w14:paraId="56147049" w14:textId="77777777" w:rsidR="008E318A" w:rsidRPr="00443757" w:rsidRDefault="008E318A" w:rsidP="00443757">
            <w:pPr>
              <w:jc w:val="center"/>
              <w:rPr>
                <w:rFonts w:asciiTheme="minorHAnsi" w:hAnsiTheme="minorHAnsi" w:cs="Lucida Sans Unicode"/>
                <w:sz w:val="20"/>
                <w:szCs w:val="20"/>
              </w:rPr>
            </w:pPr>
            <w:r w:rsidRPr="00443757">
              <w:rPr>
                <w:rFonts w:asciiTheme="minorHAnsi" w:hAnsiTheme="minorHAnsi" w:cs="Lucida Sans Unicode"/>
                <w:sz w:val="20"/>
                <w:szCs w:val="20"/>
              </w:rPr>
              <w:t>2017</w:t>
            </w:r>
          </w:p>
        </w:tc>
        <w:tc>
          <w:tcPr>
            <w:tcW w:w="1350" w:type="dxa"/>
            <w:tcBorders>
              <w:top w:val="single" w:sz="6" w:space="0" w:color="auto"/>
              <w:left w:val="single" w:sz="4" w:space="0" w:color="auto"/>
              <w:bottom w:val="single" w:sz="6" w:space="0" w:color="auto"/>
              <w:right w:val="single" w:sz="6" w:space="0" w:color="auto"/>
            </w:tcBorders>
          </w:tcPr>
          <w:p w14:paraId="69249541" w14:textId="77777777" w:rsidR="008E318A" w:rsidRPr="00443757"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92</w:t>
            </w:r>
          </w:p>
        </w:tc>
        <w:tc>
          <w:tcPr>
            <w:tcW w:w="1350" w:type="dxa"/>
            <w:tcBorders>
              <w:top w:val="single" w:sz="6" w:space="0" w:color="auto"/>
              <w:left w:val="single" w:sz="6" w:space="0" w:color="auto"/>
              <w:bottom w:val="single" w:sz="6" w:space="0" w:color="auto"/>
              <w:right w:val="single" w:sz="4" w:space="0" w:color="auto"/>
            </w:tcBorders>
          </w:tcPr>
          <w:p w14:paraId="3B7EDEAB" w14:textId="77777777"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10 (20 units)/12</w:t>
            </w:r>
          </w:p>
          <w:p w14:paraId="0D3109DC"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w:t>
            </w:r>
          </w:p>
        </w:tc>
        <w:tc>
          <w:tcPr>
            <w:tcW w:w="1350" w:type="dxa"/>
            <w:tcBorders>
              <w:top w:val="single" w:sz="6" w:space="0" w:color="auto"/>
              <w:left w:val="single" w:sz="4" w:space="0" w:color="auto"/>
              <w:bottom w:val="single" w:sz="6" w:space="0" w:color="auto"/>
              <w:right w:val="single" w:sz="4" w:space="0" w:color="auto"/>
            </w:tcBorders>
          </w:tcPr>
          <w:p w14:paraId="2D53F831" w14:textId="77777777"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93**</w:t>
            </w:r>
          </w:p>
        </w:tc>
        <w:tc>
          <w:tcPr>
            <w:tcW w:w="1440" w:type="dxa"/>
            <w:tcBorders>
              <w:top w:val="single" w:sz="6" w:space="0" w:color="auto"/>
              <w:left w:val="single" w:sz="4" w:space="0" w:color="auto"/>
              <w:bottom w:val="single" w:sz="6" w:space="0" w:color="auto"/>
              <w:right w:val="single" w:sz="6" w:space="0" w:color="auto"/>
            </w:tcBorders>
          </w:tcPr>
          <w:p w14:paraId="09653D48" w14:textId="7F520AAB" w:rsidR="008E318A" w:rsidRPr="00443757"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-1</w:t>
            </w:r>
          </w:p>
        </w:tc>
        <w:tc>
          <w:tcPr>
            <w:tcW w:w="1440" w:type="dxa"/>
            <w:tcBorders>
              <w:top w:val="single" w:sz="6" w:space="0" w:color="auto"/>
              <w:left w:val="single" w:sz="4" w:space="0" w:color="auto"/>
              <w:bottom w:val="single" w:sz="6" w:space="0" w:color="auto"/>
              <w:right w:val="single" w:sz="6" w:space="0" w:color="auto"/>
            </w:tcBorders>
          </w:tcPr>
          <w:p w14:paraId="51664DE2" w14:textId="23DE5D2F"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2 + 562</w:t>
            </w:r>
          </w:p>
        </w:tc>
      </w:tr>
      <w:tr w:rsidR="008E318A" w:rsidRPr="00443757" w14:paraId="5E07B3C5" w14:textId="5CC6BA1E" w:rsidTr="008C7751">
        <w:tc>
          <w:tcPr>
            <w:tcW w:w="2880" w:type="dxa"/>
            <w:tcBorders>
              <w:top w:val="single" w:sz="6" w:space="0" w:color="auto"/>
              <w:left w:val="single" w:sz="6" w:space="0" w:color="auto"/>
              <w:bottom w:val="single" w:sz="6" w:space="0" w:color="auto"/>
              <w:right w:val="single" w:sz="4" w:space="0" w:color="auto"/>
            </w:tcBorders>
          </w:tcPr>
          <w:p w14:paraId="69515D23" w14:textId="2BB70B79"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2018</w:t>
            </w:r>
          </w:p>
        </w:tc>
        <w:tc>
          <w:tcPr>
            <w:tcW w:w="1350" w:type="dxa"/>
            <w:tcBorders>
              <w:top w:val="single" w:sz="6" w:space="0" w:color="auto"/>
              <w:left w:val="single" w:sz="4" w:space="0" w:color="auto"/>
              <w:bottom w:val="single" w:sz="6" w:space="0" w:color="auto"/>
              <w:right w:val="single" w:sz="6" w:space="0" w:color="auto"/>
            </w:tcBorders>
          </w:tcPr>
          <w:p w14:paraId="716F0212" w14:textId="7C724B72" w:rsidR="008E318A"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80</w:t>
            </w:r>
          </w:p>
        </w:tc>
        <w:tc>
          <w:tcPr>
            <w:tcW w:w="1350" w:type="dxa"/>
            <w:tcBorders>
              <w:top w:val="single" w:sz="6" w:space="0" w:color="auto"/>
              <w:left w:val="single" w:sz="6" w:space="0" w:color="auto"/>
              <w:bottom w:val="single" w:sz="6" w:space="0" w:color="auto"/>
              <w:right w:val="single" w:sz="4" w:space="0" w:color="auto"/>
            </w:tcBorders>
          </w:tcPr>
          <w:p w14:paraId="4AAF5E21" w14:textId="0B875D2B"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4</w:t>
            </w:r>
          </w:p>
        </w:tc>
        <w:tc>
          <w:tcPr>
            <w:tcW w:w="1350" w:type="dxa"/>
            <w:tcBorders>
              <w:top w:val="single" w:sz="6" w:space="0" w:color="auto"/>
              <w:left w:val="single" w:sz="4" w:space="0" w:color="auto"/>
              <w:bottom w:val="single" w:sz="6" w:space="0" w:color="auto"/>
              <w:right w:val="single" w:sz="4" w:space="0" w:color="auto"/>
            </w:tcBorders>
          </w:tcPr>
          <w:p w14:paraId="44BAFFEA" w14:textId="29908FFB"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79</w:t>
            </w:r>
          </w:p>
        </w:tc>
        <w:tc>
          <w:tcPr>
            <w:tcW w:w="1440" w:type="dxa"/>
            <w:tcBorders>
              <w:top w:val="single" w:sz="6" w:space="0" w:color="auto"/>
              <w:left w:val="single" w:sz="4" w:space="0" w:color="auto"/>
              <w:bottom w:val="single" w:sz="6" w:space="0" w:color="auto"/>
              <w:right w:val="single" w:sz="6" w:space="0" w:color="auto"/>
            </w:tcBorders>
          </w:tcPr>
          <w:p w14:paraId="54F88B60" w14:textId="34ACE4E1" w:rsidR="008E318A"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 xml:space="preserve">3 </w:t>
            </w:r>
          </w:p>
        </w:tc>
        <w:tc>
          <w:tcPr>
            <w:tcW w:w="1440" w:type="dxa"/>
            <w:tcBorders>
              <w:top w:val="single" w:sz="6" w:space="0" w:color="auto"/>
              <w:left w:val="single" w:sz="4" w:space="0" w:color="auto"/>
              <w:bottom w:val="single" w:sz="6" w:space="0" w:color="auto"/>
              <w:right w:val="single" w:sz="6" w:space="0" w:color="auto"/>
            </w:tcBorders>
          </w:tcPr>
          <w:p w14:paraId="4EDEFF58" w14:textId="67D56773"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2</w:t>
            </w:r>
          </w:p>
        </w:tc>
      </w:tr>
      <w:tr w:rsidR="008E318A" w:rsidRPr="00443757" w14:paraId="294BEE3F" w14:textId="5BF6A2C4" w:rsidTr="008C7751">
        <w:tc>
          <w:tcPr>
            <w:tcW w:w="2880" w:type="dxa"/>
            <w:tcBorders>
              <w:top w:val="single" w:sz="6" w:space="0" w:color="auto"/>
              <w:left w:val="single" w:sz="6" w:space="0" w:color="auto"/>
              <w:bottom w:val="single" w:sz="6" w:space="0" w:color="auto"/>
              <w:right w:val="single" w:sz="4" w:space="0" w:color="auto"/>
            </w:tcBorders>
          </w:tcPr>
          <w:p w14:paraId="06947CBF" w14:textId="202A7570"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2019</w:t>
            </w:r>
          </w:p>
        </w:tc>
        <w:tc>
          <w:tcPr>
            <w:tcW w:w="1350" w:type="dxa"/>
            <w:tcBorders>
              <w:top w:val="single" w:sz="6" w:space="0" w:color="auto"/>
              <w:left w:val="single" w:sz="4" w:space="0" w:color="auto"/>
              <w:bottom w:val="single" w:sz="6" w:space="0" w:color="auto"/>
              <w:right w:val="single" w:sz="6" w:space="0" w:color="auto"/>
            </w:tcBorders>
          </w:tcPr>
          <w:p w14:paraId="09827292" w14:textId="7796EB37" w:rsidR="008E318A"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87</w:t>
            </w:r>
          </w:p>
        </w:tc>
        <w:tc>
          <w:tcPr>
            <w:tcW w:w="1350" w:type="dxa"/>
            <w:tcBorders>
              <w:top w:val="single" w:sz="6" w:space="0" w:color="auto"/>
              <w:left w:val="single" w:sz="6" w:space="0" w:color="auto"/>
              <w:bottom w:val="single" w:sz="6" w:space="0" w:color="auto"/>
              <w:right w:val="single" w:sz="4" w:space="0" w:color="auto"/>
            </w:tcBorders>
          </w:tcPr>
          <w:p w14:paraId="6C7213F1" w14:textId="08B69EF7"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11</w:t>
            </w:r>
          </w:p>
        </w:tc>
        <w:tc>
          <w:tcPr>
            <w:tcW w:w="1350" w:type="dxa"/>
            <w:tcBorders>
              <w:top w:val="single" w:sz="6" w:space="0" w:color="auto"/>
              <w:left w:val="single" w:sz="4" w:space="0" w:color="auto"/>
              <w:bottom w:val="single" w:sz="6" w:space="0" w:color="auto"/>
              <w:right w:val="single" w:sz="4" w:space="0" w:color="auto"/>
            </w:tcBorders>
          </w:tcPr>
          <w:p w14:paraId="6F73FAA3" w14:textId="78D42AEE"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87</w:t>
            </w:r>
          </w:p>
        </w:tc>
        <w:tc>
          <w:tcPr>
            <w:tcW w:w="1440" w:type="dxa"/>
            <w:tcBorders>
              <w:top w:val="single" w:sz="6" w:space="0" w:color="auto"/>
              <w:left w:val="single" w:sz="4" w:space="0" w:color="auto"/>
              <w:bottom w:val="single" w:sz="6" w:space="0" w:color="auto"/>
              <w:right w:val="single" w:sz="6" w:space="0" w:color="auto"/>
            </w:tcBorders>
          </w:tcPr>
          <w:p w14:paraId="4F63233E" w14:textId="5AABE958" w:rsidR="008E318A"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 xml:space="preserve"> 2</w:t>
            </w:r>
          </w:p>
        </w:tc>
        <w:tc>
          <w:tcPr>
            <w:tcW w:w="1440" w:type="dxa"/>
            <w:tcBorders>
              <w:top w:val="single" w:sz="6" w:space="0" w:color="auto"/>
              <w:left w:val="single" w:sz="4" w:space="0" w:color="auto"/>
              <w:bottom w:val="single" w:sz="6" w:space="0" w:color="auto"/>
              <w:right w:val="single" w:sz="6" w:space="0" w:color="auto"/>
            </w:tcBorders>
          </w:tcPr>
          <w:p w14:paraId="1FCF2434" w14:textId="1023AC90"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9</w:t>
            </w:r>
          </w:p>
        </w:tc>
      </w:tr>
      <w:tr w:rsidR="008E318A" w:rsidRPr="00443757" w14:paraId="59C8AABE" w14:textId="68ACA10D" w:rsidTr="008C7751">
        <w:tc>
          <w:tcPr>
            <w:tcW w:w="2880" w:type="dxa"/>
            <w:tcBorders>
              <w:top w:val="single" w:sz="6" w:space="0" w:color="auto"/>
              <w:left w:val="single" w:sz="6" w:space="0" w:color="auto"/>
              <w:bottom w:val="single" w:sz="6" w:space="0" w:color="auto"/>
              <w:right w:val="single" w:sz="4" w:space="0" w:color="auto"/>
            </w:tcBorders>
          </w:tcPr>
          <w:p w14:paraId="12352B41" w14:textId="0D0AD9E3" w:rsidR="008E318A" w:rsidRPr="00443757"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2020</w:t>
            </w:r>
          </w:p>
        </w:tc>
        <w:tc>
          <w:tcPr>
            <w:tcW w:w="1350" w:type="dxa"/>
            <w:tcBorders>
              <w:top w:val="single" w:sz="6" w:space="0" w:color="auto"/>
              <w:left w:val="single" w:sz="4" w:space="0" w:color="auto"/>
              <w:bottom w:val="single" w:sz="6" w:space="0" w:color="auto"/>
              <w:right w:val="single" w:sz="6" w:space="0" w:color="auto"/>
            </w:tcBorders>
          </w:tcPr>
          <w:p w14:paraId="1CC917A9" w14:textId="3D959610" w:rsidR="008E318A"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52</w:t>
            </w:r>
          </w:p>
        </w:tc>
        <w:tc>
          <w:tcPr>
            <w:tcW w:w="1350" w:type="dxa"/>
            <w:tcBorders>
              <w:top w:val="single" w:sz="6" w:space="0" w:color="auto"/>
              <w:left w:val="single" w:sz="6" w:space="0" w:color="auto"/>
              <w:bottom w:val="single" w:sz="6" w:space="0" w:color="auto"/>
              <w:right w:val="single" w:sz="4" w:space="0" w:color="auto"/>
            </w:tcBorders>
          </w:tcPr>
          <w:p w14:paraId="699D66F7" w14:textId="4EBE4823"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11</w:t>
            </w:r>
          </w:p>
        </w:tc>
        <w:tc>
          <w:tcPr>
            <w:tcW w:w="1350" w:type="dxa"/>
            <w:tcBorders>
              <w:top w:val="single" w:sz="6" w:space="0" w:color="auto"/>
              <w:left w:val="single" w:sz="4" w:space="0" w:color="auto"/>
              <w:bottom w:val="single" w:sz="6" w:space="0" w:color="auto"/>
              <w:right w:val="single" w:sz="4" w:space="0" w:color="auto"/>
            </w:tcBorders>
          </w:tcPr>
          <w:p w14:paraId="5683F0E3" w14:textId="41902B2C"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65</w:t>
            </w:r>
          </w:p>
        </w:tc>
        <w:tc>
          <w:tcPr>
            <w:tcW w:w="1440" w:type="dxa"/>
            <w:tcBorders>
              <w:top w:val="single" w:sz="6" w:space="0" w:color="auto"/>
              <w:left w:val="single" w:sz="4" w:space="0" w:color="auto"/>
              <w:bottom w:val="single" w:sz="6" w:space="0" w:color="auto"/>
              <w:right w:val="single" w:sz="6" w:space="0" w:color="auto"/>
            </w:tcBorders>
          </w:tcPr>
          <w:p w14:paraId="1EBD2888" w14:textId="66D003E4" w:rsidR="008E318A" w:rsidRDefault="008E318A" w:rsidP="005F324D">
            <w:pPr>
              <w:jc w:val="center"/>
              <w:rPr>
                <w:rFonts w:asciiTheme="minorHAnsi" w:hAnsiTheme="minorHAnsi" w:cs="Lucida Sans Unicode"/>
                <w:sz w:val="20"/>
                <w:szCs w:val="20"/>
              </w:rPr>
            </w:pPr>
            <w:r>
              <w:rPr>
                <w:rFonts w:asciiTheme="minorHAnsi" w:hAnsiTheme="minorHAnsi" w:cs="Lucida Sans Unicode"/>
                <w:sz w:val="20"/>
                <w:szCs w:val="20"/>
              </w:rPr>
              <w:t xml:space="preserve">  -9</w:t>
            </w:r>
          </w:p>
        </w:tc>
        <w:tc>
          <w:tcPr>
            <w:tcW w:w="1440" w:type="dxa"/>
            <w:tcBorders>
              <w:top w:val="single" w:sz="6" w:space="0" w:color="auto"/>
              <w:left w:val="single" w:sz="4" w:space="0" w:color="auto"/>
              <w:bottom w:val="single" w:sz="6" w:space="0" w:color="auto"/>
              <w:right w:val="single" w:sz="6" w:space="0" w:color="auto"/>
            </w:tcBorders>
          </w:tcPr>
          <w:p w14:paraId="41AB5879" w14:textId="553240D5" w:rsidR="008E318A" w:rsidRDefault="00A021D5" w:rsidP="005F324D">
            <w:pPr>
              <w:jc w:val="center"/>
              <w:rPr>
                <w:rFonts w:asciiTheme="minorHAnsi" w:hAnsiTheme="minorHAnsi" w:cs="Lucida Sans Unicode"/>
                <w:sz w:val="20"/>
                <w:szCs w:val="20"/>
              </w:rPr>
            </w:pPr>
            <w:r>
              <w:rPr>
                <w:rFonts w:asciiTheme="minorHAnsi" w:hAnsiTheme="minorHAnsi" w:cs="Lucida Sans Unicode"/>
                <w:sz w:val="20"/>
                <w:szCs w:val="20"/>
              </w:rPr>
              <w:t>7</w:t>
            </w:r>
          </w:p>
        </w:tc>
      </w:tr>
      <w:tr w:rsidR="008E318A" w:rsidRPr="00443757" w14:paraId="0F0457EE" w14:textId="656DF13F" w:rsidTr="008C7751">
        <w:tc>
          <w:tcPr>
            <w:tcW w:w="2880" w:type="dxa"/>
            <w:tcBorders>
              <w:top w:val="single" w:sz="6" w:space="0" w:color="auto"/>
              <w:left w:val="single" w:sz="6" w:space="0" w:color="auto"/>
              <w:bottom w:val="single" w:sz="6" w:space="0" w:color="auto"/>
              <w:right w:val="single" w:sz="4" w:space="0" w:color="auto"/>
            </w:tcBorders>
          </w:tcPr>
          <w:p w14:paraId="26A09E4B" w14:textId="0E82848E" w:rsidR="008E318A" w:rsidRDefault="008E318A" w:rsidP="00A9080E">
            <w:pPr>
              <w:jc w:val="center"/>
              <w:rPr>
                <w:rFonts w:asciiTheme="minorHAnsi" w:hAnsiTheme="minorHAnsi" w:cs="Lucida Sans Unicode"/>
                <w:i/>
                <w:iCs/>
                <w:sz w:val="20"/>
                <w:szCs w:val="20"/>
              </w:rPr>
            </w:pPr>
            <w:r w:rsidRPr="001C18DD">
              <w:rPr>
                <w:rFonts w:asciiTheme="minorHAnsi" w:hAnsiTheme="minorHAnsi" w:cs="Lucida Sans Unicode"/>
                <w:i/>
                <w:iCs/>
                <w:sz w:val="20"/>
                <w:szCs w:val="20"/>
              </w:rPr>
              <w:t>Subtotal</w:t>
            </w:r>
            <w:r w:rsidR="008C7751">
              <w:rPr>
                <w:rFonts w:asciiTheme="minorHAnsi" w:hAnsiTheme="minorHAnsi" w:cs="Lucida Sans Unicode"/>
                <w:i/>
                <w:iCs/>
                <w:sz w:val="20"/>
                <w:szCs w:val="20"/>
              </w:rPr>
              <w:t xml:space="preserve"> = 720 Total Net</w:t>
            </w:r>
          </w:p>
          <w:p w14:paraId="0FB332AF" w14:textId="3DBF48AD" w:rsidR="008C7751" w:rsidRPr="001C18DD" w:rsidRDefault="008C7751" w:rsidP="00A9080E">
            <w:pPr>
              <w:jc w:val="center"/>
              <w:rPr>
                <w:rFonts w:asciiTheme="minorHAnsi" w:hAnsiTheme="minorHAnsi" w:cs="Lucida Sans Unicode"/>
                <w:i/>
                <w:iCs/>
                <w:sz w:val="20"/>
                <w:szCs w:val="20"/>
              </w:rPr>
            </w:pPr>
            <w:r>
              <w:rPr>
                <w:rFonts w:asciiTheme="minorHAnsi" w:hAnsiTheme="minorHAnsi" w:cs="Lucida Sans Unicode"/>
                <w:i/>
                <w:iCs/>
                <w:sz w:val="20"/>
                <w:szCs w:val="20"/>
              </w:rPr>
              <w:t>New Units</w:t>
            </w:r>
          </w:p>
        </w:tc>
        <w:tc>
          <w:tcPr>
            <w:tcW w:w="1350" w:type="dxa"/>
            <w:tcBorders>
              <w:top w:val="single" w:sz="6" w:space="0" w:color="auto"/>
              <w:left w:val="single" w:sz="4" w:space="0" w:color="auto"/>
              <w:bottom w:val="single" w:sz="6" w:space="0" w:color="auto"/>
              <w:right w:val="single" w:sz="6" w:space="0" w:color="auto"/>
            </w:tcBorders>
          </w:tcPr>
          <w:p w14:paraId="68AC1A58" w14:textId="7A3D7D2C" w:rsidR="008E318A" w:rsidRPr="001C18DD" w:rsidRDefault="008E318A" w:rsidP="004E7F4C">
            <w:pPr>
              <w:jc w:val="center"/>
              <w:rPr>
                <w:rFonts w:asciiTheme="minorHAnsi" w:hAnsiTheme="minorHAnsi" w:cs="Lucida Sans Unicode"/>
                <w:i/>
                <w:iCs/>
                <w:sz w:val="20"/>
                <w:szCs w:val="20"/>
              </w:rPr>
            </w:pPr>
            <w:r>
              <w:rPr>
                <w:rFonts w:asciiTheme="minorHAnsi" w:hAnsiTheme="minorHAnsi" w:cs="Lucida Sans Unicode"/>
                <w:i/>
                <w:iCs/>
                <w:sz w:val="20"/>
                <w:szCs w:val="20"/>
              </w:rPr>
              <w:t>867</w:t>
            </w:r>
          </w:p>
        </w:tc>
        <w:tc>
          <w:tcPr>
            <w:tcW w:w="1350" w:type="dxa"/>
            <w:tcBorders>
              <w:top w:val="single" w:sz="6" w:space="0" w:color="auto"/>
              <w:left w:val="single" w:sz="6" w:space="0" w:color="auto"/>
              <w:bottom w:val="single" w:sz="6" w:space="0" w:color="auto"/>
              <w:right w:val="single" w:sz="4" w:space="0" w:color="auto"/>
            </w:tcBorders>
          </w:tcPr>
          <w:p w14:paraId="2D7B99B5" w14:textId="19F14589" w:rsidR="008E318A" w:rsidRPr="001C18DD" w:rsidRDefault="008E318A" w:rsidP="00443757">
            <w:pPr>
              <w:jc w:val="center"/>
              <w:rPr>
                <w:rFonts w:asciiTheme="minorHAnsi" w:hAnsiTheme="minorHAnsi" w:cs="Lucida Sans Unicode"/>
                <w:i/>
                <w:iCs/>
                <w:sz w:val="20"/>
                <w:szCs w:val="20"/>
              </w:rPr>
            </w:pPr>
            <w:r>
              <w:rPr>
                <w:rFonts w:asciiTheme="minorHAnsi" w:hAnsiTheme="minorHAnsi" w:cs="Lucida Sans Unicode"/>
                <w:i/>
                <w:iCs/>
                <w:sz w:val="20"/>
                <w:szCs w:val="20"/>
              </w:rPr>
              <w:t>886</w:t>
            </w:r>
          </w:p>
        </w:tc>
        <w:tc>
          <w:tcPr>
            <w:tcW w:w="1350" w:type="dxa"/>
            <w:tcBorders>
              <w:top w:val="single" w:sz="6" w:space="0" w:color="auto"/>
              <w:left w:val="single" w:sz="4" w:space="0" w:color="auto"/>
              <w:bottom w:val="single" w:sz="6" w:space="0" w:color="auto"/>
              <w:right w:val="single" w:sz="4" w:space="0" w:color="auto"/>
            </w:tcBorders>
          </w:tcPr>
          <w:p w14:paraId="79C47244" w14:textId="3DC0A3B4" w:rsidR="008E318A" w:rsidRPr="001C18DD" w:rsidRDefault="008E318A" w:rsidP="00443757">
            <w:pPr>
              <w:jc w:val="center"/>
              <w:rPr>
                <w:rFonts w:asciiTheme="minorHAnsi" w:hAnsiTheme="minorHAnsi" w:cs="Lucida Sans Unicode"/>
                <w:i/>
                <w:iCs/>
                <w:sz w:val="20"/>
                <w:szCs w:val="20"/>
              </w:rPr>
            </w:pPr>
            <w:r>
              <w:rPr>
                <w:rFonts w:asciiTheme="minorHAnsi" w:hAnsiTheme="minorHAnsi" w:cs="Lucida Sans Unicode"/>
                <w:i/>
                <w:iCs/>
                <w:sz w:val="20"/>
                <w:szCs w:val="20"/>
              </w:rPr>
              <w:t>1,033</w:t>
            </w:r>
          </w:p>
        </w:tc>
        <w:tc>
          <w:tcPr>
            <w:tcW w:w="1440" w:type="dxa"/>
            <w:tcBorders>
              <w:top w:val="single" w:sz="6" w:space="0" w:color="auto"/>
              <w:left w:val="single" w:sz="4" w:space="0" w:color="auto"/>
              <w:bottom w:val="single" w:sz="6" w:space="0" w:color="auto"/>
              <w:right w:val="single" w:sz="6" w:space="0" w:color="auto"/>
            </w:tcBorders>
          </w:tcPr>
          <w:p w14:paraId="00609FC8" w14:textId="17B90EC9" w:rsidR="008E318A" w:rsidRPr="001C18DD" w:rsidRDefault="008E318A" w:rsidP="00443757">
            <w:pPr>
              <w:jc w:val="center"/>
              <w:rPr>
                <w:rFonts w:asciiTheme="minorHAnsi" w:hAnsiTheme="minorHAnsi" w:cs="Lucida Sans Unicode"/>
                <w:i/>
                <w:iCs/>
                <w:sz w:val="20"/>
                <w:szCs w:val="20"/>
              </w:rPr>
            </w:pPr>
            <w:r>
              <w:rPr>
                <w:rFonts w:asciiTheme="minorHAnsi" w:hAnsiTheme="minorHAnsi" w:cs="Lucida Sans Unicode"/>
                <w:i/>
                <w:iCs/>
                <w:sz w:val="20"/>
                <w:szCs w:val="20"/>
              </w:rPr>
              <w:t>19</w:t>
            </w:r>
            <w:r w:rsidRPr="001C18DD">
              <w:rPr>
                <w:rFonts w:asciiTheme="minorHAnsi" w:hAnsiTheme="minorHAnsi" w:cs="Lucida Sans Unicode"/>
                <w:i/>
                <w:iCs/>
                <w:sz w:val="20"/>
                <w:szCs w:val="20"/>
              </w:rPr>
              <w:t xml:space="preserve"> </w:t>
            </w:r>
          </w:p>
          <w:p w14:paraId="15DE5F8D" w14:textId="1DCA7B40" w:rsidR="008E318A" w:rsidRPr="001C18DD" w:rsidRDefault="008E318A" w:rsidP="00443757">
            <w:pPr>
              <w:jc w:val="center"/>
              <w:rPr>
                <w:rFonts w:asciiTheme="minorHAnsi" w:hAnsiTheme="minorHAnsi" w:cs="Lucida Sans Unicode"/>
                <w:i/>
                <w:iCs/>
                <w:sz w:val="20"/>
                <w:szCs w:val="20"/>
                <w:vertAlign w:val="subscript"/>
              </w:rPr>
            </w:pPr>
          </w:p>
        </w:tc>
        <w:tc>
          <w:tcPr>
            <w:tcW w:w="1440" w:type="dxa"/>
            <w:tcBorders>
              <w:top w:val="single" w:sz="6" w:space="0" w:color="auto"/>
              <w:left w:val="single" w:sz="4" w:space="0" w:color="auto"/>
              <w:bottom w:val="single" w:sz="6" w:space="0" w:color="auto"/>
              <w:right w:val="single" w:sz="6" w:space="0" w:color="auto"/>
            </w:tcBorders>
          </w:tcPr>
          <w:p w14:paraId="45CCEF2E" w14:textId="54C8CAF9" w:rsidR="008E318A" w:rsidRDefault="00A021D5" w:rsidP="00443757">
            <w:pPr>
              <w:jc w:val="center"/>
              <w:rPr>
                <w:rFonts w:asciiTheme="minorHAnsi" w:hAnsiTheme="minorHAnsi" w:cs="Lucida Sans Unicode"/>
                <w:i/>
                <w:iCs/>
                <w:sz w:val="20"/>
                <w:szCs w:val="20"/>
              </w:rPr>
            </w:pPr>
            <w:r>
              <w:rPr>
                <w:rFonts w:asciiTheme="minorHAnsi" w:hAnsiTheme="minorHAnsi" w:cs="Lucida Sans Unicode"/>
                <w:i/>
                <w:iCs/>
                <w:sz w:val="20"/>
                <w:szCs w:val="20"/>
              </w:rPr>
              <w:t>35 + 666</w:t>
            </w:r>
          </w:p>
        </w:tc>
      </w:tr>
      <w:tr w:rsidR="008E318A" w:rsidRPr="00443757" w14:paraId="2D16730A" w14:textId="620083C3" w:rsidTr="008C7751">
        <w:trPr>
          <w:trHeight w:val="192"/>
        </w:trPr>
        <w:tc>
          <w:tcPr>
            <w:tcW w:w="2880" w:type="dxa"/>
            <w:tcBorders>
              <w:top w:val="single" w:sz="6" w:space="0" w:color="auto"/>
              <w:left w:val="single" w:sz="6" w:space="0" w:color="auto"/>
              <w:bottom w:val="single" w:sz="6" w:space="0" w:color="auto"/>
              <w:right w:val="single" w:sz="4" w:space="0" w:color="auto"/>
            </w:tcBorders>
          </w:tcPr>
          <w:p w14:paraId="19D2F253" w14:textId="353A66B8"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2021</w:t>
            </w:r>
          </w:p>
        </w:tc>
        <w:tc>
          <w:tcPr>
            <w:tcW w:w="1350" w:type="dxa"/>
            <w:tcBorders>
              <w:top w:val="single" w:sz="6" w:space="0" w:color="auto"/>
              <w:left w:val="single" w:sz="4" w:space="0" w:color="auto"/>
              <w:bottom w:val="single" w:sz="6" w:space="0" w:color="auto"/>
              <w:right w:val="single" w:sz="6" w:space="0" w:color="auto"/>
            </w:tcBorders>
          </w:tcPr>
          <w:p w14:paraId="4CA70B28" w14:textId="7B3AA012" w:rsidR="008E318A" w:rsidRDefault="008E318A" w:rsidP="004E7F4C">
            <w:pPr>
              <w:jc w:val="center"/>
              <w:rPr>
                <w:rFonts w:asciiTheme="minorHAnsi" w:hAnsiTheme="minorHAnsi" w:cs="Lucida Sans Unicode"/>
                <w:sz w:val="20"/>
                <w:szCs w:val="20"/>
              </w:rPr>
            </w:pPr>
            <w:r>
              <w:rPr>
                <w:rFonts w:asciiTheme="minorHAnsi" w:hAnsiTheme="minorHAnsi" w:cs="Lucida Sans Unicode"/>
                <w:sz w:val="20"/>
                <w:szCs w:val="20"/>
              </w:rPr>
              <w:t>76</w:t>
            </w:r>
          </w:p>
        </w:tc>
        <w:tc>
          <w:tcPr>
            <w:tcW w:w="1350" w:type="dxa"/>
            <w:tcBorders>
              <w:top w:val="single" w:sz="6" w:space="0" w:color="auto"/>
              <w:left w:val="single" w:sz="6" w:space="0" w:color="auto"/>
              <w:bottom w:val="single" w:sz="6" w:space="0" w:color="auto"/>
              <w:right w:val="single" w:sz="4" w:space="0" w:color="auto"/>
            </w:tcBorders>
          </w:tcPr>
          <w:p w14:paraId="3F63CF6E" w14:textId="131BCB40"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6</w:t>
            </w:r>
          </w:p>
        </w:tc>
        <w:tc>
          <w:tcPr>
            <w:tcW w:w="1350" w:type="dxa"/>
            <w:tcBorders>
              <w:top w:val="single" w:sz="6" w:space="0" w:color="auto"/>
              <w:left w:val="single" w:sz="4" w:space="0" w:color="auto"/>
              <w:bottom w:val="single" w:sz="6" w:space="0" w:color="auto"/>
              <w:right w:val="single" w:sz="4" w:space="0" w:color="auto"/>
            </w:tcBorders>
          </w:tcPr>
          <w:p w14:paraId="731976E4" w14:textId="54BF2BA2"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72</w:t>
            </w:r>
          </w:p>
        </w:tc>
        <w:tc>
          <w:tcPr>
            <w:tcW w:w="1440" w:type="dxa"/>
            <w:tcBorders>
              <w:top w:val="single" w:sz="6" w:space="0" w:color="auto"/>
              <w:left w:val="single" w:sz="4" w:space="0" w:color="auto"/>
              <w:bottom w:val="single" w:sz="6" w:space="0" w:color="auto"/>
              <w:right w:val="single" w:sz="6" w:space="0" w:color="auto"/>
            </w:tcBorders>
          </w:tcPr>
          <w:p w14:paraId="32F2F10E" w14:textId="361FA65F" w:rsidR="008E318A" w:rsidRDefault="008E318A" w:rsidP="00443757">
            <w:pPr>
              <w:jc w:val="center"/>
              <w:rPr>
                <w:rFonts w:asciiTheme="minorHAnsi" w:hAnsiTheme="minorHAnsi" w:cs="Lucida Sans Unicode"/>
                <w:sz w:val="20"/>
                <w:szCs w:val="20"/>
              </w:rPr>
            </w:pPr>
            <w:r>
              <w:rPr>
                <w:rFonts w:asciiTheme="minorHAnsi" w:hAnsiTheme="minorHAnsi" w:cs="Lucida Sans Unicode"/>
                <w:sz w:val="20"/>
                <w:szCs w:val="20"/>
              </w:rPr>
              <w:t xml:space="preserve">6 </w:t>
            </w:r>
          </w:p>
        </w:tc>
        <w:tc>
          <w:tcPr>
            <w:tcW w:w="1440" w:type="dxa"/>
            <w:tcBorders>
              <w:top w:val="single" w:sz="6" w:space="0" w:color="auto"/>
              <w:left w:val="single" w:sz="4" w:space="0" w:color="auto"/>
              <w:bottom w:val="single" w:sz="6" w:space="0" w:color="auto"/>
              <w:right w:val="single" w:sz="6" w:space="0" w:color="auto"/>
            </w:tcBorders>
          </w:tcPr>
          <w:p w14:paraId="48CBB7B1" w14:textId="773E6446" w:rsidR="008E318A" w:rsidRDefault="00A021D5" w:rsidP="00443757">
            <w:pPr>
              <w:jc w:val="center"/>
              <w:rPr>
                <w:rFonts w:asciiTheme="minorHAnsi" w:hAnsiTheme="minorHAnsi" w:cs="Lucida Sans Unicode"/>
                <w:sz w:val="20"/>
                <w:szCs w:val="20"/>
              </w:rPr>
            </w:pPr>
            <w:r>
              <w:rPr>
                <w:rFonts w:asciiTheme="minorHAnsi" w:hAnsiTheme="minorHAnsi" w:cs="Lucida Sans Unicode"/>
                <w:sz w:val="20"/>
                <w:szCs w:val="20"/>
              </w:rPr>
              <w:t>4</w:t>
            </w:r>
          </w:p>
        </w:tc>
      </w:tr>
      <w:tr w:rsidR="008E318A" w:rsidRPr="001C18DD" w14:paraId="24FFEC16" w14:textId="4A52D1B3" w:rsidTr="008C7751">
        <w:tc>
          <w:tcPr>
            <w:tcW w:w="2880" w:type="dxa"/>
            <w:tcBorders>
              <w:top w:val="single" w:sz="6" w:space="0" w:color="auto"/>
              <w:left w:val="single" w:sz="6" w:space="0" w:color="auto"/>
              <w:bottom w:val="single" w:sz="6" w:space="0" w:color="auto"/>
              <w:right w:val="single" w:sz="4" w:space="0" w:color="auto"/>
            </w:tcBorders>
          </w:tcPr>
          <w:p w14:paraId="090011B6" w14:textId="3B23C1C3" w:rsidR="008E318A" w:rsidRPr="001C18DD" w:rsidRDefault="008E318A" w:rsidP="00443757">
            <w:pPr>
              <w:jc w:val="center"/>
              <w:rPr>
                <w:rFonts w:asciiTheme="minorHAnsi" w:hAnsiTheme="minorHAnsi" w:cs="Lucida Sans Unicode"/>
                <w:b/>
                <w:bCs/>
                <w:sz w:val="20"/>
                <w:szCs w:val="20"/>
              </w:rPr>
            </w:pPr>
            <w:r>
              <w:rPr>
                <w:rFonts w:asciiTheme="minorHAnsi" w:hAnsiTheme="minorHAnsi" w:cs="Lucida Sans Unicode"/>
                <w:b/>
                <w:bCs/>
                <w:sz w:val="20"/>
                <w:szCs w:val="20"/>
              </w:rPr>
              <w:t>Total</w:t>
            </w:r>
            <w:r w:rsidR="008C7751">
              <w:rPr>
                <w:rFonts w:asciiTheme="minorHAnsi" w:hAnsiTheme="minorHAnsi" w:cs="Lucida Sans Unicode"/>
                <w:b/>
                <w:bCs/>
                <w:sz w:val="20"/>
                <w:szCs w:val="20"/>
              </w:rPr>
              <w:t xml:space="preserve"> = 730 Total Net New Units</w:t>
            </w:r>
          </w:p>
        </w:tc>
        <w:tc>
          <w:tcPr>
            <w:tcW w:w="1350" w:type="dxa"/>
            <w:tcBorders>
              <w:top w:val="single" w:sz="6" w:space="0" w:color="auto"/>
              <w:left w:val="single" w:sz="4" w:space="0" w:color="auto"/>
              <w:bottom w:val="single" w:sz="6" w:space="0" w:color="auto"/>
              <w:right w:val="single" w:sz="6" w:space="0" w:color="auto"/>
            </w:tcBorders>
          </w:tcPr>
          <w:p w14:paraId="62B41CB3" w14:textId="6CA700C6" w:rsidR="008E318A" w:rsidRPr="001C18DD" w:rsidRDefault="008E318A" w:rsidP="004E7F4C">
            <w:pPr>
              <w:jc w:val="center"/>
              <w:rPr>
                <w:rFonts w:asciiTheme="minorHAnsi" w:hAnsiTheme="minorHAnsi" w:cs="Lucida Sans Unicode"/>
                <w:b/>
                <w:bCs/>
                <w:sz w:val="20"/>
                <w:szCs w:val="20"/>
              </w:rPr>
            </w:pPr>
            <w:r>
              <w:rPr>
                <w:rFonts w:asciiTheme="minorHAnsi" w:hAnsiTheme="minorHAnsi" w:cs="Lucida Sans Unicode"/>
                <w:b/>
                <w:bCs/>
                <w:sz w:val="20"/>
                <w:szCs w:val="20"/>
              </w:rPr>
              <w:t>943</w:t>
            </w:r>
          </w:p>
        </w:tc>
        <w:tc>
          <w:tcPr>
            <w:tcW w:w="1350" w:type="dxa"/>
            <w:tcBorders>
              <w:top w:val="single" w:sz="6" w:space="0" w:color="auto"/>
              <w:left w:val="single" w:sz="6" w:space="0" w:color="auto"/>
              <w:bottom w:val="single" w:sz="6" w:space="0" w:color="auto"/>
              <w:right w:val="single" w:sz="4" w:space="0" w:color="auto"/>
            </w:tcBorders>
          </w:tcPr>
          <w:p w14:paraId="32BDF7F6" w14:textId="70370E3F" w:rsidR="008E318A" w:rsidRPr="001C18DD" w:rsidRDefault="008E318A" w:rsidP="00443757">
            <w:pPr>
              <w:jc w:val="center"/>
              <w:rPr>
                <w:rFonts w:asciiTheme="minorHAnsi" w:hAnsiTheme="minorHAnsi" w:cs="Lucida Sans Unicode"/>
                <w:b/>
                <w:bCs/>
                <w:sz w:val="20"/>
                <w:szCs w:val="20"/>
              </w:rPr>
            </w:pPr>
            <w:r>
              <w:rPr>
                <w:rFonts w:asciiTheme="minorHAnsi" w:hAnsiTheme="minorHAnsi" w:cs="Lucida Sans Unicode"/>
                <w:b/>
                <w:bCs/>
                <w:sz w:val="20"/>
                <w:szCs w:val="20"/>
              </w:rPr>
              <w:t>892</w:t>
            </w:r>
          </w:p>
        </w:tc>
        <w:tc>
          <w:tcPr>
            <w:tcW w:w="1350" w:type="dxa"/>
            <w:tcBorders>
              <w:top w:val="single" w:sz="6" w:space="0" w:color="auto"/>
              <w:left w:val="single" w:sz="4" w:space="0" w:color="auto"/>
              <w:bottom w:val="single" w:sz="6" w:space="0" w:color="auto"/>
              <w:right w:val="single" w:sz="4" w:space="0" w:color="auto"/>
            </w:tcBorders>
          </w:tcPr>
          <w:p w14:paraId="3CDE78A7" w14:textId="233CB7DF" w:rsidR="008E318A" w:rsidRPr="001C18DD" w:rsidRDefault="008E318A" w:rsidP="00443757">
            <w:pPr>
              <w:jc w:val="center"/>
              <w:rPr>
                <w:rFonts w:asciiTheme="minorHAnsi" w:hAnsiTheme="minorHAnsi" w:cs="Lucida Sans Unicode"/>
                <w:b/>
                <w:bCs/>
                <w:sz w:val="20"/>
                <w:szCs w:val="20"/>
              </w:rPr>
            </w:pPr>
            <w:r>
              <w:rPr>
                <w:rFonts w:asciiTheme="minorHAnsi" w:hAnsiTheme="minorHAnsi" w:cs="Lucida Sans Unicode"/>
                <w:b/>
                <w:bCs/>
                <w:sz w:val="20"/>
                <w:szCs w:val="20"/>
              </w:rPr>
              <w:t>1,105</w:t>
            </w:r>
          </w:p>
        </w:tc>
        <w:tc>
          <w:tcPr>
            <w:tcW w:w="1440" w:type="dxa"/>
            <w:tcBorders>
              <w:top w:val="single" w:sz="6" w:space="0" w:color="auto"/>
              <w:left w:val="single" w:sz="4" w:space="0" w:color="auto"/>
              <w:bottom w:val="single" w:sz="6" w:space="0" w:color="auto"/>
              <w:right w:val="single" w:sz="6" w:space="0" w:color="auto"/>
            </w:tcBorders>
          </w:tcPr>
          <w:p w14:paraId="3DC761CE" w14:textId="39A5B214" w:rsidR="008E318A" w:rsidRPr="001C18DD" w:rsidRDefault="008E318A" w:rsidP="008C7751">
            <w:pPr>
              <w:jc w:val="center"/>
              <w:rPr>
                <w:rFonts w:asciiTheme="minorHAnsi" w:hAnsiTheme="minorHAnsi" w:cs="Lucida Sans Unicode"/>
                <w:b/>
                <w:bCs/>
                <w:sz w:val="20"/>
                <w:szCs w:val="20"/>
              </w:rPr>
            </w:pPr>
            <w:r>
              <w:rPr>
                <w:rFonts w:asciiTheme="minorHAnsi" w:hAnsiTheme="minorHAnsi" w:cs="Lucida Sans Unicode"/>
                <w:b/>
                <w:bCs/>
                <w:sz w:val="20"/>
                <w:szCs w:val="20"/>
              </w:rPr>
              <w:t>25</w:t>
            </w:r>
          </w:p>
        </w:tc>
        <w:tc>
          <w:tcPr>
            <w:tcW w:w="1440" w:type="dxa"/>
            <w:tcBorders>
              <w:top w:val="single" w:sz="6" w:space="0" w:color="auto"/>
              <w:left w:val="single" w:sz="4" w:space="0" w:color="auto"/>
              <w:bottom w:val="single" w:sz="6" w:space="0" w:color="auto"/>
              <w:right w:val="single" w:sz="6" w:space="0" w:color="auto"/>
            </w:tcBorders>
          </w:tcPr>
          <w:p w14:paraId="6643960B" w14:textId="3CF5AB62" w:rsidR="008E318A" w:rsidRDefault="00A021D5" w:rsidP="00443757">
            <w:pPr>
              <w:jc w:val="center"/>
              <w:rPr>
                <w:rFonts w:asciiTheme="minorHAnsi" w:hAnsiTheme="minorHAnsi" w:cs="Lucida Sans Unicode"/>
                <w:b/>
                <w:bCs/>
                <w:sz w:val="20"/>
                <w:szCs w:val="20"/>
              </w:rPr>
            </w:pPr>
            <w:r>
              <w:rPr>
                <w:rFonts w:asciiTheme="minorHAnsi" w:hAnsiTheme="minorHAnsi" w:cs="Lucida Sans Unicode"/>
                <w:b/>
                <w:bCs/>
                <w:sz w:val="20"/>
                <w:szCs w:val="20"/>
              </w:rPr>
              <w:t>39 + 666</w:t>
            </w:r>
          </w:p>
        </w:tc>
      </w:tr>
    </w:tbl>
    <w:p w14:paraId="34ADEDAE" w14:textId="77777777" w:rsidR="00443757" w:rsidRDefault="00443757" w:rsidP="00B316B6">
      <w:pPr>
        <w:jc w:val="both"/>
        <w:rPr>
          <w:rFonts w:asciiTheme="minorHAnsi" w:hAnsiTheme="minorHAnsi" w:cs="Lucida Sans Unicode"/>
          <w:iCs/>
          <w:sz w:val="20"/>
          <w:szCs w:val="20"/>
        </w:rPr>
      </w:pPr>
      <w:r w:rsidRPr="00443757">
        <w:rPr>
          <w:rFonts w:asciiTheme="minorHAnsi" w:hAnsiTheme="minorHAnsi" w:cs="Lucida Sans Unicode"/>
          <w:iCs/>
          <w:sz w:val="20"/>
          <w:szCs w:val="20"/>
        </w:rPr>
        <w:t xml:space="preserve">Source: </w:t>
      </w:r>
      <w:r w:rsidR="004E7F4C">
        <w:rPr>
          <w:rFonts w:asciiTheme="minorHAnsi" w:hAnsiTheme="minorHAnsi" w:cs="Lucida Sans Unicode"/>
          <w:iCs/>
          <w:sz w:val="20"/>
          <w:szCs w:val="20"/>
        </w:rPr>
        <w:t>Needham Building Department</w:t>
      </w:r>
    </w:p>
    <w:p w14:paraId="0F83FC4B" w14:textId="77777777" w:rsidR="004E7F4C" w:rsidRDefault="004E7F4C" w:rsidP="00B316B6">
      <w:pPr>
        <w:jc w:val="both"/>
        <w:rPr>
          <w:rFonts w:asciiTheme="minorHAnsi" w:hAnsiTheme="minorHAnsi" w:cs="Lucida Sans Unicode"/>
          <w:iCs/>
          <w:sz w:val="20"/>
          <w:szCs w:val="20"/>
        </w:rPr>
      </w:pPr>
      <w:r w:rsidRPr="004E7F4C">
        <w:rPr>
          <w:rFonts w:asciiTheme="minorHAnsi" w:hAnsiTheme="minorHAnsi" w:cs="Lucida Sans Unicode"/>
          <w:iCs/>
          <w:sz w:val="20"/>
          <w:szCs w:val="20"/>
        </w:rPr>
        <w:t>*</w:t>
      </w:r>
      <w:r>
        <w:rPr>
          <w:rFonts w:asciiTheme="minorHAnsi" w:hAnsiTheme="minorHAnsi" w:cs="Lucida Sans Unicode"/>
          <w:iCs/>
          <w:sz w:val="20"/>
          <w:szCs w:val="20"/>
        </w:rPr>
        <w:t xml:space="preserve"> All demolition permits</w:t>
      </w:r>
    </w:p>
    <w:p w14:paraId="55728B42" w14:textId="77777777" w:rsidR="004E7F4C" w:rsidRDefault="004E7F4C" w:rsidP="00B316B6">
      <w:pPr>
        <w:jc w:val="both"/>
        <w:rPr>
          <w:rFonts w:asciiTheme="minorHAnsi" w:hAnsiTheme="minorHAnsi" w:cs="Lucida Sans Unicode"/>
          <w:iCs/>
          <w:sz w:val="20"/>
          <w:szCs w:val="20"/>
        </w:rPr>
      </w:pPr>
      <w:r>
        <w:rPr>
          <w:rFonts w:asciiTheme="minorHAnsi" w:hAnsiTheme="minorHAnsi" w:cs="Lucida Sans Unicode"/>
          <w:iCs/>
          <w:sz w:val="20"/>
          <w:szCs w:val="20"/>
        </w:rPr>
        <w:t>**</w:t>
      </w:r>
      <w:r w:rsidR="005F324D">
        <w:rPr>
          <w:rFonts w:asciiTheme="minorHAnsi" w:hAnsiTheme="minorHAnsi" w:cs="Lucida Sans Unicode"/>
          <w:iCs/>
          <w:sz w:val="20"/>
          <w:szCs w:val="20"/>
        </w:rPr>
        <w:t xml:space="preserve"> </w:t>
      </w:r>
      <w:r>
        <w:rPr>
          <w:rFonts w:asciiTheme="minorHAnsi" w:hAnsiTheme="minorHAnsi" w:cs="Lucida Sans Unicode"/>
          <w:iCs/>
          <w:sz w:val="20"/>
          <w:szCs w:val="20"/>
        </w:rPr>
        <w:t>Indicates only residential building permits</w:t>
      </w:r>
      <w:r w:rsidR="00500C2B">
        <w:rPr>
          <w:rFonts w:asciiTheme="minorHAnsi" w:hAnsiTheme="minorHAnsi" w:cs="Lucida Sans Unicode"/>
          <w:iCs/>
          <w:sz w:val="20"/>
          <w:szCs w:val="20"/>
        </w:rPr>
        <w:t>.  Assume that</w:t>
      </w:r>
      <w:r w:rsidR="005F324D">
        <w:rPr>
          <w:rFonts w:asciiTheme="minorHAnsi" w:hAnsiTheme="minorHAnsi" w:cs="Lucida Sans Unicode"/>
          <w:iCs/>
          <w:sz w:val="20"/>
          <w:szCs w:val="20"/>
        </w:rPr>
        <w:t xml:space="preserve"> about</w:t>
      </w:r>
      <w:r w:rsidR="00500C2B">
        <w:rPr>
          <w:rFonts w:asciiTheme="minorHAnsi" w:hAnsiTheme="minorHAnsi" w:cs="Lucida Sans Unicode"/>
          <w:iCs/>
          <w:sz w:val="20"/>
          <w:szCs w:val="20"/>
        </w:rPr>
        <w:t xml:space="preserve"> 9</w:t>
      </w:r>
      <w:r w:rsidR="005F324D">
        <w:rPr>
          <w:rFonts w:asciiTheme="minorHAnsi" w:hAnsiTheme="minorHAnsi" w:cs="Lucida Sans Unicode"/>
          <w:iCs/>
          <w:sz w:val="20"/>
          <w:szCs w:val="20"/>
        </w:rPr>
        <w:t>2</w:t>
      </w:r>
      <w:r w:rsidR="00500C2B">
        <w:rPr>
          <w:rFonts w:asciiTheme="minorHAnsi" w:hAnsiTheme="minorHAnsi" w:cs="Lucida Sans Unicode"/>
          <w:iCs/>
          <w:sz w:val="20"/>
          <w:szCs w:val="20"/>
        </w:rPr>
        <w:t>% of the new single-family</w:t>
      </w:r>
      <w:r w:rsidR="005F324D">
        <w:rPr>
          <w:rFonts w:asciiTheme="minorHAnsi" w:hAnsiTheme="minorHAnsi" w:cs="Lucida Sans Unicode"/>
          <w:iCs/>
          <w:sz w:val="20"/>
          <w:szCs w:val="20"/>
        </w:rPr>
        <w:t xml:space="preserve"> and two-family</w:t>
      </w:r>
      <w:r w:rsidR="00500C2B">
        <w:rPr>
          <w:rFonts w:asciiTheme="minorHAnsi" w:hAnsiTheme="minorHAnsi" w:cs="Lucida Sans Unicode"/>
          <w:iCs/>
          <w:sz w:val="20"/>
          <w:szCs w:val="20"/>
        </w:rPr>
        <w:t xml:space="preserve"> units involved demo/replacement. </w:t>
      </w:r>
    </w:p>
    <w:p w14:paraId="26553DCB" w14:textId="77777777" w:rsidR="003F2BA1" w:rsidRDefault="004A6058" w:rsidP="00B316B6">
      <w:pPr>
        <w:jc w:val="both"/>
        <w:rPr>
          <w:rFonts w:asciiTheme="minorHAnsi" w:hAnsiTheme="minorHAnsi" w:cs="Lucida Sans Unicode"/>
          <w:sz w:val="20"/>
          <w:szCs w:val="20"/>
        </w:rPr>
      </w:pPr>
      <w:r>
        <w:rPr>
          <w:rFonts w:asciiTheme="minorHAnsi" w:hAnsiTheme="minorHAnsi" w:cs="Lucida Sans Unicode"/>
          <w:iCs/>
          <w:sz w:val="20"/>
          <w:szCs w:val="20"/>
        </w:rPr>
        <w:t>***</w:t>
      </w:r>
      <w:r w:rsidR="001267BB">
        <w:rPr>
          <w:rFonts w:asciiTheme="minorHAnsi" w:hAnsiTheme="minorHAnsi" w:cs="Lucida Sans Unicode"/>
          <w:iCs/>
          <w:sz w:val="20"/>
          <w:szCs w:val="20"/>
        </w:rPr>
        <w:t xml:space="preserve"> Includes </w:t>
      </w:r>
      <w:r w:rsidR="00FA3CD4">
        <w:rPr>
          <w:rFonts w:asciiTheme="minorHAnsi" w:hAnsiTheme="minorHAnsi" w:cs="Lucida Sans Unicode"/>
          <w:iCs/>
          <w:sz w:val="20"/>
          <w:szCs w:val="20"/>
        </w:rPr>
        <w:t>12 inde</w:t>
      </w:r>
      <w:r w:rsidR="007C0C5D">
        <w:rPr>
          <w:rFonts w:asciiTheme="minorHAnsi" w:hAnsiTheme="minorHAnsi" w:cs="Lucida Sans Unicode"/>
          <w:iCs/>
          <w:sz w:val="20"/>
          <w:szCs w:val="20"/>
        </w:rPr>
        <w:t>pendent living units at The Residences of Wingate</w:t>
      </w:r>
      <w:r w:rsidR="003F2BA1">
        <w:rPr>
          <w:rFonts w:asciiTheme="minorHAnsi" w:hAnsiTheme="minorHAnsi" w:cs="Lucida Sans Unicode"/>
          <w:sz w:val="20"/>
          <w:szCs w:val="20"/>
        </w:rPr>
        <w:t>.</w:t>
      </w:r>
    </w:p>
    <w:p w14:paraId="2F304DEB" w14:textId="77777777" w:rsidR="001267BB" w:rsidRDefault="003F2BA1" w:rsidP="00B316B6">
      <w:pPr>
        <w:jc w:val="both"/>
        <w:rPr>
          <w:rFonts w:asciiTheme="minorHAnsi" w:hAnsiTheme="minorHAnsi" w:cs="Lucida Sans Unicode"/>
          <w:sz w:val="20"/>
          <w:szCs w:val="20"/>
        </w:rPr>
      </w:pPr>
      <w:r>
        <w:rPr>
          <w:rFonts w:asciiTheme="minorHAnsi" w:hAnsiTheme="minorHAnsi" w:cs="Lucida Sans Unicode"/>
          <w:sz w:val="20"/>
          <w:szCs w:val="20"/>
        </w:rPr>
        <w:t xml:space="preserve">**** Includes </w:t>
      </w:r>
      <w:r w:rsidR="001267BB">
        <w:rPr>
          <w:rFonts w:asciiTheme="minorHAnsi" w:hAnsiTheme="minorHAnsi" w:cs="Lucida Sans Unicode"/>
          <w:sz w:val="20"/>
          <w:szCs w:val="20"/>
        </w:rPr>
        <w:t>1</w:t>
      </w:r>
      <w:r w:rsidR="007C0C5D">
        <w:rPr>
          <w:rFonts w:asciiTheme="minorHAnsi" w:hAnsiTheme="minorHAnsi" w:cs="Lucida Sans Unicode"/>
          <w:sz w:val="20"/>
          <w:szCs w:val="20"/>
        </w:rPr>
        <w:t>0</w:t>
      </w:r>
      <w:r w:rsidR="001267BB">
        <w:rPr>
          <w:rFonts w:asciiTheme="minorHAnsi" w:hAnsiTheme="minorHAnsi" w:cs="Lucida Sans Unicode"/>
          <w:sz w:val="20"/>
          <w:szCs w:val="20"/>
        </w:rPr>
        <w:t xml:space="preserve"> units at mixed-use property at 50</w:t>
      </w:r>
      <w:r>
        <w:rPr>
          <w:rFonts w:asciiTheme="minorHAnsi" w:hAnsiTheme="minorHAnsi" w:cs="Lucida Sans Unicode"/>
          <w:sz w:val="20"/>
          <w:szCs w:val="20"/>
        </w:rPr>
        <w:t xml:space="preserve"> </w:t>
      </w:r>
      <w:r w:rsidR="001267BB">
        <w:rPr>
          <w:rFonts w:asciiTheme="minorHAnsi" w:hAnsiTheme="minorHAnsi" w:cs="Lucida Sans Unicode"/>
          <w:sz w:val="20"/>
          <w:szCs w:val="20"/>
        </w:rPr>
        <w:t>Dedham Avenue</w:t>
      </w:r>
      <w:r w:rsidR="007C0C5D">
        <w:rPr>
          <w:rFonts w:asciiTheme="minorHAnsi" w:hAnsiTheme="minorHAnsi" w:cs="Lucida Sans Unicode"/>
          <w:sz w:val="20"/>
          <w:szCs w:val="20"/>
        </w:rPr>
        <w:t>,</w:t>
      </w:r>
      <w:r>
        <w:rPr>
          <w:rFonts w:asciiTheme="minorHAnsi" w:hAnsiTheme="minorHAnsi" w:cs="Lucida Sans Unicode"/>
          <w:sz w:val="20"/>
          <w:szCs w:val="20"/>
        </w:rPr>
        <w:t xml:space="preserve"> Greendale Village 40B with 12 single-family units and 4 duplex units for a total of 20 units</w:t>
      </w:r>
      <w:r w:rsidR="007C0C5D">
        <w:rPr>
          <w:rFonts w:asciiTheme="minorHAnsi" w:hAnsiTheme="minorHAnsi" w:cs="Lucida Sans Unicode"/>
          <w:sz w:val="20"/>
          <w:szCs w:val="20"/>
        </w:rPr>
        <w:t xml:space="preserve">, </w:t>
      </w:r>
      <w:r w:rsidR="00500C2B">
        <w:rPr>
          <w:rFonts w:asciiTheme="minorHAnsi" w:hAnsiTheme="minorHAnsi" w:cs="Lucida Sans Unicode"/>
          <w:sz w:val="20"/>
          <w:szCs w:val="20"/>
        </w:rPr>
        <w:t xml:space="preserve">and </w:t>
      </w:r>
      <w:r w:rsidR="007C0C5D">
        <w:rPr>
          <w:rFonts w:asciiTheme="minorHAnsi" w:hAnsiTheme="minorHAnsi" w:cs="Lucida Sans Unicode"/>
          <w:sz w:val="20"/>
          <w:szCs w:val="20"/>
        </w:rPr>
        <w:t>10 units at Webster Street Green 40B development</w:t>
      </w:r>
      <w:r w:rsidR="001267BB">
        <w:rPr>
          <w:rFonts w:asciiTheme="minorHAnsi" w:hAnsiTheme="minorHAnsi" w:cs="Lucida Sans Unicode"/>
          <w:sz w:val="20"/>
          <w:szCs w:val="20"/>
        </w:rPr>
        <w:t>.</w:t>
      </w:r>
    </w:p>
    <w:p w14:paraId="6B29FA8C" w14:textId="77777777" w:rsidR="00B316B6" w:rsidRDefault="003F2BA1" w:rsidP="00B316B6">
      <w:pPr>
        <w:jc w:val="both"/>
        <w:rPr>
          <w:rFonts w:asciiTheme="minorHAnsi" w:hAnsiTheme="minorHAnsi" w:cs="Lucida Sans Unicode"/>
          <w:sz w:val="20"/>
          <w:szCs w:val="20"/>
        </w:rPr>
      </w:pPr>
      <w:r>
        <w:rPr>
          <w:rFonts w:asciiTheme="minorHAnsi" w:hAnsiTheme="minorHAnsi" w:cs="Lucida Sans Unicode"/>
          <w:sz w:val="20"/>
          <w:szCs w:val="20"/>
        </w:rPr>
        <w:t xml:space="preserve">***** Includes 52 independent living units at </w:t>
      </w:r>
      <w:r w:rsidR="00FA3CD4">
        <w:rPr>
          <w:rFonts w:asciiTheme="minorHAnsi" w:hAnsiTheme="minorHAnsi" w:cs="Lucida Sans Unicode"/>
          <w:sz w:val="20"/>
          <w:szCs w:val="20"/>
        </w:rPr>
        <w:t xml:space="preserve">One </w:t>
      </w:r>
      <w:r>
        <w:rPr>
          <w:rFonts w:asciiTheme="minorHAnsi" w:hAnsiTheme="minorHAnsi" w:cs="Lucida Sans Unicode"/>
          <w:sz w:val="20"/>
          <w:szCs w:val="20"/>
        </w:rPr>
        <w:t>Wingate Way</w:t>
      </w:r>
      <w:r w:rsidR="00B316B6">
        <w:rPr>
          <w:rFonts w:asciiTheme="minorHAnsi" w:hAnsiTheme="minorHAnsi" w:cs="Lucida Sans Unicode"/>
          <w:sz w:val="20"/>
          <w:szCs w:val="20"/>
        </w:rPr>
        <w:t>.</w:t>
      </w:r>
    </w:p>
    <w:p w14:paraId="447DC651" w14:textId="77777777" w:rsidR="003F2BA1" w:rsidRPr="004E7F4C" w:rsidRDefault="00B316B6" w:rsidP="00B316B6">
      <w:pPr>
        <w:jc w:val="both"/>
        <w:rPr>
          <w:rFonts w:asciiTheme="minorHAnsi" w:hAnsiTheme="minorHAnsi" w:cs="Lucida Sans Unicode"/>
          <w:iCs/>
          <w:sz w:val="20"/>
          <w:szCs w:val="20"/>
        </w:rPr>
      </w:pPr>
      <w:r>
        <w:rPr>
          <w:rFonts w:asciiTheme="minorHAnsi" w:hAnsiTheme="minorHAnsi" w:cs="Lucida Sans Unicode"/>
          <w:sz w:val="20"/>
          <w:szCs w:val="20"/>
        </w:rPr>
        <w:t xml:space="preserve">****** Includes </w:t>
      </w:r>
      <w:r w:rsidR="004A6058">
        <w:rPr>
          <w:rFonts w:asciiTheme="minorHAnsi" w:hAnsiTheme="minorHAnsi" w:cs="Lucida Sans Unicode"/>
          <w:sz w:val="20"/>
          <w:szCs w:val="20"/>
        </w:rPr>
        <w:t>390 units at 275 Second Avenue (The Kendrick), 136 units at 700 Greendale Avenue (Modera Needham) as well as several subdivisions (Sunrise Terrace</w:t>
      </w:r>
      <w:r w:rsidR="00FA3CD4">
        <w:rPr>
          <w:rFonts w:asciiTheme="minorHAnsi" w:hAnsiTheme="minorHAnsi" w:cs="Lucida Sans Unicode"/>
          <w:sz w:val="20"/>
          <w:szCs w:val="20"/>
        </w:rPr>
        <w:t xml:space="preserve"> – 6 units</w:t>
      </w:r>
      <w:r w:rsidR="004A6058">
        <w:rPr>
          <w:rFonts w:asciiTheme="minorHAnsi" w:hAnsiTheme="minorHAnsi" w:cs="Lucida Sans Unicode"/>
          <w:sz w:val="20"/>
          <w:szCs w:val="20"/>
        </w:rPr>
        <w:t>, Rockwood Lane</w:t>
      </w:r>
      <w:r w:rsidR="00FA3CD4">
        <w:rPr>
          <w:rFonts w:asciiTheme="minorHAnsi" w:hAnsiTheme="minorHAnsi" w:cs="Lucida Sans Unicode"/>
          <w:sz w:val="20"/>
          <w:szCs w:val="20"/>
        </w:rPr>
        <w:t xml:space="preserve"> – 22 units</w:t>
      </w:r>
      <w:r w:rsidR="004A6058">
        <w:rPr>
          <w:rFonts w:asciiTheme="minorHAnsi" w:hAnsiTheme="minorHAnsi" w:cs="Lucida Sans Unicode"/>
          <w:sz w:val="20"/>
          <w:szCs w:val="20"/>
        </w:rPr>
        <w:t>, and Belle Lane</w:t>
      </w:r>
      <w:r w:rsidR="00FA3CD4">
        <w:rPr>
          <w:rFonts w:asciiTheme="minorHAnsi" w:hAnsiTheme="minorHAnsi" w:cs="Lucida Sans Unicode"/>
          <w:sz w:val="20"/>
          <w:szCs w:val="20"/>
        </w:rPr>
        <w:t xml:space="preserve"> </w:t>
      </w:r>
      <w:r w:rsidR="00500C2B">
        <w:rPr>
          <w:rFonts w:asciiTheme="minorHAnsi" w:hAnsiTheme="minorHAnsi" w:cs="Lucida Sans Unicode"/>
          <w:sz w:val="20"/>
          <w:szCs w:val="20"/>
        </w:rPr>
        <w:t>–</w:t>
      </w:r>
      <w:r w:rsidR="00FA3CD4">
        <w:rPr>
          <w:rFonts w:asciiTheme="minorHAnsi" w:hAnsiTheme="minorHAnsi" w:cs="Lucida Sans Unicode"/>
          <w:sz w:val="20"/>
          <w:szCs w:val="20"/>
        </w:rPr>
        <w:t xml:space="preserve"> </w:t>
      </w:r>
      <w:r w:rsidR="00500C2B">
        <w:rPr>
          <w:rFonts w:asciiTheme="minorHAnsi" w:hAnsiTheme="minorHAnsi" w:cs="Lucida Sans Unicode"/>
          <w:sz w:val="20"/>
          <w:szCs w:val="20"/>
        </w:rPr>
        <w:t>8 units</w:t>
      </w:r>
      <w:r w:rsidR="004A6058">
        <w:rPr>
          <w:rFonts w:asciiTheme="minorHAnsi" w:hAnsiTheme="minorHAnsi" w:cs="Lucida Sans Unicode"/>
          <w:sz w:val="20"/>
          <w:szCs w:val="20"/>
        </w:rPr>
        <w:t>)</w:t>
      </w:r>
      <w:r w:rsidR="003F2BA1">
        <w:rPr>
          <w:rFonts w:asciiTheme="minorHAnsi" w:hAnsiTheme="minorHAnsi" w:cs="Lucida Sans Unicode"/>
          <w:sz w:val="20"/>
          <w:szCs w:val="20"/>
        </w:rPr>
        <w:t>.</w:t>
      </w:r>
    </w:p>
    <w:p w14:paraId="07310427" w14:textId="2F004183" w:rsidR="008772FC" w:rsidRPr="00F728B6" w:rsidRDefault="008772FC" w:rsidP="00A66C1A">
      <w:pPr>
        <w:jc w:val="both"/>
        <w:rPr>
          <w:rFonts w:ascii="Calibri" w:hAnsi="Calibri"/>
          <w:b/>
          <w:bCs/>
          <w:color w:val="1F497D" w:themeColor="text2"/>
        </w:rPr>
      </w:pPr>
      <w:r w:rsidRPr="00F728B6">
        <w:rPr>
          <w:rFonts w:ascii="Calibri" w:hAnsi="Calibri"/>
          <w:b/>
          <w:bCs/>
          <w:color w:val="1F497D" w:themeColor="text2"/>
        </w:rPr>
        <w:lastRenderedPageBreak/>
        <w:t>2.</w:t>
      </w:r>
      <w:r w:rsidRPr="00F728B6">
        <w:rPr>
          <w:rFonts w:ascii="Calibri" w:hAnsi="Calibri"/>
          <w:b/>
          <w:bCs/>
          <w:color w:val="1F497D" w:themeColor="text2"/>
        </w:rPr>
        <w:tab/>
      </w:r>
      <w:r w:rsidR="003A7AB8">
        <w:rPr>
          <w:rFonts w:ascii="Calibri" w:hAnsi="Calibri"/>
          <w:b/>
          <w:bCs/>
          <w:color w:val="1F497D" w:themeColor="text2"/>
        </w:rPr>
        <w:t>Housing Occupancy</w:t>
      </w:r>
      <w:r w:rsidRPr="00F728B6">
        <w:rPr>
          <w:rFonts w:ascii="Calibri" w:hAnsi="Calibri"/>
          <w:b/>
          <w:bCs/>
          <w:color w:val="1F497D" w:themeColor="text2"/>
        </w:rPr>
        <w:t xml:space="preserve"> </w:t>
      </w:r>
      <w:r w:rsidR="008E680D">
        <w:rPr>
          <w:rFonts w:ascii="Calibri" w:hAnsi="Calibri"/>
          <w:b/>
          <w:bCs/>
          <w:color w:val="1F497D" w:themeColor="text2"/>
        </w:rPr>
        <w:t>– High level of owner-occupancy and extremely tight market conditions</w:t>
      </w:r>
    </w:p>
    <w:p w14:paraId="7B7E29B1" w14:textId="55DCC349" w:rsidR="00DF2330" w:rsidRDefault="00FB5E9A" w:rsidP="00A66C1A">
      <w:pPr>
        <w:numPr>
          <w:ilvl w:val="2"/>
          <w:numId w:val="0"/>
        </w:numPr>
        <w:jc w:val="both"/>
        <w:rPr>
          <w:rFonts w:ascii="Calibri" w:hAnsi="Calibri"/>
          <w:sz w:val="22"/>
          <w:szCs w:val="22"/>
        </w:rPr>
      </w:pPr>
      <w:r w:rsidRPr="004E50E7">
        <w:rPr>
          <w:rFonts w:ascii="Calibri" w:hAnsi="Calibri"/>
          <w:sz w:val="22"/>
          <w:szCs w:val="22"/>
        </w:rPr>
        <w:t xml:space="preserve">Table </w:t>
      </w:r>
      <w:r>
        <w:rPr>
          <w:rFonts w:ascii="Calibri" w:hAnsi="Calibri"/>
          <w:sz w:val="22"/>
          <w:szCs w:val="22"/>
        </w:rPr>
        <w:t>III-2</w:t>
      </w:r>
      <w:r w:rsidR="00861914">
        <w:rPr>
          <w:rFonts w:ascii="Calibri" w:hAnsi="Calibri"/>
          <w:sz w:val="22"/>
          <w:szCs w:val="22"/>
        </w:rPr>
        <w:t>3</w:t>
      </w:r>
      <w:r w:rsidRPr="004E50E7">
        <w:rPr>
          <w:rFonts w:ascii="Calibri" w:hAnsi="Calibri"/>
          <w:sz w:val="22"/>
          <w:szCs w:val="22"/>
        </w:rPr>
        <w:t xml:space="preserve"> includes a summary of housing occupancy characteristics from 1990 through 20</w:t>
      </w:r>
      <w:r>
        <w:rPr>
          <w:rFonts w:ascii="Calibri" w:hAnsi="Calibri"/>
          <w:sz w:val="22"/>
          <w:szCs w:val="22"/>
        </w:rPr>
        <w:t>20.</w:t>
      </w:r>
      <w:r w:rsidR="00547CB7">
        <w:rPr>
          <w:rFonts w:ascii="Calibri" w:hAnsi="Calibri"/>
          <w:sz w:val="22"/>
          <w:szCs w:val="22"/>
        </w:rPr>
        <w:t xml:space="preserve"> </w:t>
      </w:r>
      <w:r>
        <w:rPr>
          <w:rFonts w:ascii="Calibri" w:hAnsi="Calibri"/>
          <w:sz w:val="22"/>
          <w:szCs w:val="22"/>
        </w:rPr>
        <w:t xml:space="preserve"> Of the total 11,891 housing units counted as part of the 2020 U.S.</w:t>
      </w:r>
      <w:r w:rsidR="00D0367A">
        <w:rPr>
          <w:rFonts w:ascii="Calibri" w:hAnsi="Calibri"/>
          <w:sz w:val="22"/>
          <w:szCs w:val="22"/>
        </w:rPr>
        <w:t xml:space="preserve"> decennial</w:t>
      </w:r>
      <w:r>
        <w:rPr>
          <w:rFonts w:ascii="Calibri" w:hAnsi="Calibri"/>
          <w:sz w:val="22"/>
          <w:szCs w:val="22"/>
        </w:rPr>
        <w:t xml:space="preserve"> census, 11,282 were identified as occupied compared to 609 vacant units with an occupancy rate of 94.9%</w:t>
      </w:r>
      <w:r w:rsidR="0023709A">
        <w:rPr>
          <w:rFonts w:ascii="Calibri" w:hAnsi="Calibri"/>
          <w:sz w:val="22"/>
          <w:szCs w:val="22"/>
        </w:rPr>
        <w:t>, up from</w:t>
      </w:r>
      <w:r>
        <w:rPr>
          <w:rFonts w:ascii="Calibri" w:hAnsi="Calibri"/>
          <w:sz w:val="22"/>
          <w:szCs w:val="22"/>
        </w:rPr>
        <w:t xml:space="preserve"> 93.0% in 2010.</w:t>
      </w:r>
      <w:r w:rsidR="008772FC" w:rsidRPr="004E50E7">
        <w:rPr>
          <w:rStyle w:val="FootnoteReference"/>
          <w:sz w:val="22"/>
          <w:szCs w:val="22"/>
        </w:rPr>
        <w:footnoteReference w:id="20"/>
      </w:r>
      <w:r w:rsidR="00F96D69">
        <w:rPr>
          <w:rFonts w:ascii="Calibri" w:hAnsi="Calibri"/>
          <w:sz w:val="22"/>
          <w:szCs w:val="22"/>
        </w:rPr>
        <w:t xml:space="preserve">  </w:t>
      </w:r>
    </w:p>
    <w:p w14:paraId="05A4FD35" w14:textId="77777777" w:rsidR="00DF2330" w:rsidRDefault="00DF2330" w:rsidP="00A66C1A">
      <w:pPr>
        <w:numPr>
          <w:ilvl w:val="2"/>
          <w:numId w:val="0"/>
        </w:numPr>
        <w:jc w:val="both"/>
        <w:rPr>
          <w:rFonts w:ascii="Calibri" w:hAnsi="Calibri"/>
          <w:sz w:val="22"/>
          <w:szCs w:val="22"/>
        </w:rPr>
      </w:pPr>
    </w:p>
    <w:p w14:paraId="7C45F5A5" w14:textId="30EC0EB4" w:rsidR="007149F0" w:rsidRDefault="00DF2330" w:rsidP="00A66C1A">
      <w:pPr>
        <w:numPr>
          <w:ilvl w:val="2"/>
          <w:numId w:val="0"/>
        </w:numPr>
        <w:jc w:val="both"/>
        <w:rPr>
          <w:rFonts w:ascii="Calibri" w:hAnsi="Calibri"/>
          <w:sz w:val="22"/>
          <w:szCs w:val="22"/>
        </w:rPr>
      </w:pPr>
      <w:r>
        <w:rPr>
          <w:rFonts w:ascii="Calibri" w:hAnsi="Calibri"/>
          <w:sz w:val="22"/>
          <w:szCs w:val="22"/>
        </w:rPr>
        <w:t>Based on 20</w:t>
      </w:r>
      <w:r w:rsidR="00D0367A">
        <w:rPr>
          <w:rFonts w:ascii="Calibri" w:hAnsi="Calibri"/>
          <w:sz w:val="22"/>
          <w:szCs w:val="22"/>
        </w:rPr>
        <w:t>20</w:t>
      </w:r>
      <w:r>
        <w:rPr>
          <w:rFonts w:ascii="Calibri" w:hAnsi="Calibri"/>
          <w:sz w:val="22"/>
          <w:szCs w:val="22"/>
        </w:rPr>
        <w:t xml:space="preserve"> census estimates, o</w:t>
      </w:r>
      <w:r w:rsidR="008772FC" w:rsidRPr="00F728B6">
        <w:rPr>
          <w:rFonts w:ascii="Calibri" w:hAnsi="Calibri"/>
          <w:sz w:val="22"/>
          <w:szCs w:val="22"/>
        </w:rPr>
        <w:t xml:space="preserve">f </w:t>
      </w:r>
      <w:r>
        <w:rPr>
          <w:rFonts w:ascii="Calibri" w:hAnsi="Calibri"/>
          <w:sz w:val="22"/>
          <w:szCs w:val="22"/>
        </w:rPr>
        <w:t>t</w:t>
      </w:r>
      <w:r w:rsidR="008772FC" w:rsidRPr="00F728B6">
        <w:rPr>
          <w:rFonts w:ascii="Calibri" w:hAnsi="Calibri"/>
          <w:sz w:val="22"/>
          <w:szCs w:val="22"/>
        </w:rPr>
        <w:t xml:space="preserve">he occupied units </w:t>
      </w:r>
      <w:r w:rsidR="000A489E">
        <w:rPr>
          <w:rFonts w:ascii="Calibri" w:hAnsi="Calibri"/>
          <w:sz w:val="22"/>
          <w:szCs w:val="22"/>
        </w:rPr>
        <w:t>9,0</w:t>
      </w:r>
      <w:r w:rsidR="00D0367A">
        <w:rPr>
          <w:rFonts w:ascii="Calibri" w:hAnsi="Calibri"/>
          <w:sz w:val="22"/>
          <w:szCs w:val="22"/>
        </w:rPr>
        <w:t>92</w:t>
      </w:r>
      <w:r w:rsidR="008772FC" w:rsidRPr="00F728B6">
        <w:rPr>
          <w:rFonts w:ascii="Calibri" w:hAnsi="Calibri"/>
          <w:sz w:val="22"/>
          <w:szCs w:val="22"/>
        </w:rPr>
        <w:t xml:space="preserve"> or 8</w:t>
      </w:r>
      <w:r w:rsidR="00D0367A">
        <w:rPr>
          <w:rFonts w:ascii="Calibri" w:hAnsi="Calibri"/>
          <w:sz w:val="22"/>
          <w:szCs w:val="22"/>
        </w:rPr>
        <w:t>4.5</w:t>
      </w:r>
      <w:r w:rsidR="008772FC" w:rsidRPr="00F728B6">
        <w:rPr>
          <w:rFonts w:ascii="Calibri" w:hAnsi="Calibri"/>
          <w:sz w:val="22"/>
          <w:szCs w:val="22"/>
        </w:rPr>
        <w:t>% were owner-occupied and the remaining 1,</w:t>
      </w:r>
      <w:r w:rsidR="002631A1">
        <w:rPr>
          <w:rFonts w:ascii="Calibri" w:hAnsi="Calibri"/>
          <w:sz w:val="22"/>
          <w:szCs w:val="22"/>
        </w:rPr>
        <w:t>673</w:t>
      </w:r>
      <w:r w:rsidR="000A489E">
        <w:rPr>
          <w:rFonts w:ascii="Calibri" w:hAnsi="Calibri"/>
          <w:sz w:val="22"/>
          <w:szCs w:val="22"/>
        </w:rPr>
        <w:t xml:space="preserve"> occupied</w:t>
      </w:r>
      <w:r w:rsidR="008772FC" w:rsidRPr="00F728B6">
        <w:rPr>
          <w:rFonts w:ascii="Calibri" w:hAnsi="Calibri"/>
          <w:sz w:val="22"/>
          <w:szCs w:val="22"/>
        </w:rPr>
        <w:t xml:space="preserve"> units</w:t>
      </w:r>
      <w:r w:rsidR="004500F9">
        <w:rPr>
          <w:rFonts w:ascii="Calibri" w:hAnsi="Calibri"/>
          <w:sz w:val="22"/>
          <w:szCs w:val="22"/>
        </w:rPr>
        <w:t>,</w:t>
      </w:r>
      <w:r w:rsidR="008772FC" w:rsidRPr="00F728B6">
        <w:rPr>
          <w:rFonts w:ascii="Calibri" w:hAnsi="Calibri"/>
          <w:sz w:val="22"/>
          <w:szCs w:val="22"/>
        </w:rPr>
        <w:t xml:space="preserve"> or 1</w:t>
      </w:r>
      <w:r w:rsidR="002631A1">
        <w:rPr>
          <w:rFonts w:ascii="Calibri" w:hAnsi="Calibri"/>
          <w:sz w:val="22"/>
          <w:szCs w:val="22"/>
        </w:rPr>
        <w:t>5.5</w:t>
      </w:r>
      <w:r w:rsidR="008772FC" w:rsidRPr="00F728B6">
        <w:rPr>
          <w:rFonts w:ascii="Calibri" w:hAnsi="Calibri"/>
          <w:sz w:val="22"/>
          <w:szCs w:val="22"/>
        </w:rPr>
        <w:t>%</w:t>
      </w:r>
      <w:r w:rsidR="004500F9">
        <w:rPr>
          <w:rFonts w:ascii="Calibri" w:hAnsi="Calibri"/>
          <w:sz w:val="22"/>
          <w:szCs w:val="22"/>
        </w:rPr>
        <w:t>,</w:t>
      </w:r>
      <w:r w:rsidR="008772FC" w:rsidRPr="00F728B6">
        <w:rPr>
          <w:rFonts w:ascii="Calibri" w:hAnsi="Calibri"/>
          <w:sz w:val="22"/>
          <w:szCs w:val="22"/>
        </w:rPr>
        <w:t xml:space="preserve"> were rental units.  </w:t>
      </w:r>
      <w:r w:rsidR="00C92646">
        <w:rPr>
          <w:rFonts w:ascii="Calibri" w:hAnsi="Calibri"/>
          <w:sz w:val="22"/>
          <w:szCs w:val="22"/>
        </w:rPr>
        <w:t>This suggests that there was an increase of 45</w:t>
      </w:r>
      <w:r w:rsidR="002631A1">
        <w:rPr>
          <w:rFonts w:ascii="Calibri" w:hAnsi="Calibri"/>
          <w:sz w:val="22"/>
          <w:szCs w:val="22"/>
        </w:rPr>
        <w:t>0</w:t>
      </w:r>
      <w:r w:rsidR="00C92646">
        <w:rPr>
          <w:rFonts w:ascii="Calibri" w:hAnsi="Calibri"/>
          <w:sz w:val="22"/>
          <w:szCs w:val="22"/>
        </w:rPr>
        <w:t xml:space="preserve"> owner-occupied units </w:t>
      </w:r>
      <w:r w:rsidR="002631A1">
        <w:rPr>
          <w:rFonts w:ascii="Calibri" w:hAnsi="Calibri"/>
          <w:sz w:val="22"/>
          <w:szCs w:val="22"/>
        </w:rPr>
        <w:t xml:space="preserve">between 2010 and 2020 </w:t>
      </w:r>
      <w:r w:rsidR="00C92646">
        <w:rPr>
          <w:rFonts w:ascii="Calibri" w:hAnsi="Calibri"/>
          <w:sz w:val="22"/>
          <w:szCs w:val="22"/>
        </w:rPr>
        <w:t xml:space="preserve">and a </w:t>
      </w:r>
      <w:r w:rsidR="002631A1">
        <w:rPr>
          <w:rFonts w:ascii="Calibri" w:hAnsi="Calibri"/>
          <w:sz w:val="22"/>
          <w:szCs w:val="22"/>
        </w:rPr>
        <w:t>26</w:t>
      </w:r>
      <w:r w:rsidR="00C92646">
        <w:rPr>
          <w:rFonts w:ascii="Calibri" w:hAnsi="Calibri"/>
          <w:sz w:val="22"/>
          <w:szCs w:val="22"/>
        </w:rPr>
        <w:t xml:space="preserve">-unit </w:t>
      </w:r>
      <w:r w:rsidR="002631A1">
        <w:rPr>
          <w:rFonts w:ascii="Calibri" w:hAnsi="Calibri"/>
          <w:sz w:val="22"/>
          <w:szCs w:val="22"/>
        </w:rPr>
        <w:t>loss</w:t>
      </w:r>
      <w:r w:rsidR="00C92646">
        <w:rPr>
          <w:rFonts w:ascii="Calibri" w:hAnsi="Calibri"/>
          <w:sz w:val="22"/>
          <w:szCs w:val="22"/>
        </w:rPr>
        <w:t xml:space="preserve"> of rental units.  This data is clearly inaccurate as almost all new owner-occupied development involved teardown activity with only </w:t>
      </w:r>
      <w:r w:rsidR="002631A1">
        <w:rPr>
          <w:rFonts w:ascii="Calibri" w:hAnsi="Calibri"/>
          <w:sz w:val="22"/>
          <w:szCs w:val="22"/>
        </w:rPr>
        <w:t>19</w:t>
      </w:r>
      <w:r w:rsidR="00C92646">
        <w:rPr>
          <w:rFonts w:ascii="Calibri" w:hAnsi="Calibri"/>
          <w:sz w:val="22"/>
          <w:szCs w:val="22"/>
        </w:rPr>
        <w:t xml:space="preserve"> net new single-family homes</w:t>
      </w:r>
      <w:r w:rsidR="009A5009">
        <w:rPr>
          <w:rFonts w:ascii="Calibri" w:hAnsi="Calibri"/>
          <w:sz w:val="22"/>
          <w:szCs w:val="22"/>
        </w:rPr>
        <w:t xml:space="preserve"> built between 2010 and 20</w:t>
      </w:r>
      <w:r w:rsidR="002631A1">
        <w:rPr>
          <w:rFonts w:ascii="Calibri" w:hAnsi="Calibri"/>
          <w:sz w:val="22"/>
          <w:szCs w:val="22"/>
        </w:rPr>
        <w:t>20</w:t>
      </w:r>
      <w:r w:rsidR="00C92646">
        <w:rPr>
          <w:rFonts w:ascii="Calibri" w:hAnsi="Calibri"/>
          <w:sz w:val="22"/>
          <w:szCs w:val="22"/>
        </w:rPr>
        <w:t xml:space="preserve"> as identified in Table III-2</w:t>
      </w:r>
      <w:r w:rsidR="007149F0">
        <w:rPr>
          <w:rFonts w:ascii="Calibri" w:hAnsi="Calibri"/>
          <w:sz w:val="22"/>
          <w:szCs w:val="22"/>
        </w:rPr>
        <w:t>2</w:t>
      </w:r>
      <w:r w:rsidR="00C92646">
        <w:rPr>
          <w:rFonts w:ascii="Calibri" w:hAnsi="Calibri"/>
          <w:sz w:val="22"/>
          <w:szCs w:val="22"/>
        </w:rPr>
        <w:t>.</w:t>
      </w:r>
      <w:r w:rsidR="007149F0">
        <w:rPr>
          <w:rFonts w:ascii="Calibri" w:hAnsi="Calibri"/>
          <w:sz w:val="22"/>
          <w:szCs w:val="22"/>
        </w:rPr>
        <w:t xml:space="preserve">  </w:t>
      </w:r>
      <w:r w:rsidR="004500F9">
        <w:rPr>
          <w:rFonts w:ascii="Calibri" w:hAnsi="Calibri"/>
          <w:sz w:val="22"/>
          <w:szCs w:val="22"/>
        </w:rPr>
        <w:t>G</w:t>
      </w:r>
      <w:r w:rsidR="007149F0">
        <w:rPr>
          <w:rFonts w:ascii="Calibri" w:hAnsi="Calibri"/>
          <w:sz w:val="22"/>
          <w:szCs w:val="22"/>
        </w:rPr>
        <w:t xml:space="preserve">iven the construction of </w:t>
      </w:r>
      <w:r w:rsidR="004500F9">
        <w:rPr>
          <w:rFonts w:ascii="Calibri" w:hAnsi="Calibri"/>
          <w:sz w:val="22"/>
          <w:szCs w:val="22"/>
        </w:rPr>
        <w:t>666</w:t>
      </w:r>
      <w:r w:rsidR="007149F0">
        <w:rPr>
          <w:rFonts w:ascii="Calibri" w:hAnsi="Calibri"/>
          <w:sz w:val="22"/>
          <w:szCs w:val="22"/>
        </w:rPr>
        <w:t xml:space="preserve"> new units of multi-family housing as </w:t>
      </w:r>
      <w:r w:rsidR="004500F9">
        <w:rPr>
          <w:rFonts w:ascii="Calibri" w:hAnsi="Calibri"/>
          <w:sz w:val="22"/>
          <w:szCs w:val="22"/>
        </w:rPr>
        <w:t xml:space="preserve">noted in Table III-22, </w:t>
      </w:r>
      <w:r w:rsidR="007149F0">
        <w:rPr>
          <w:rFonts w:ascii="Calibri" w:hAnsi="Calibri"/>
          <w:sz w:val="22"/>
          <w:szCs w:val="22"/>
        </w:rPr>
        <w:t xml:space="preserve">the </w:t>
      </w:r>
      <w:r w:rsidR="00155889">
        <w:rPr>
          <w:rFonts w:ascii="Calibri" w:hAnsi="Calibri"/>
          <w:sz w:val="22"/>
          <w:szCs w:val="22"/>
        </w:rPr>
        <w:t>changes</w:t>
      </w:r>
      <w:r w:rsidR="007149F0">
        <w:rPr>
          <w:rFonts w:ascii="Calibri" w:hAnsi="Calibri"/>
          <w:sz w:val="22"/>
          <w:szCs w:val="22"/>
        </w:rPr>
        <w:t xml:space="preserve"> in new owner versus rental units are more likely</w:t>
      </w:r>
      <w:r w:rsidR="004C75F2">
        <w:rPr>
          <w:rFonts w:ascii="Calibri" w:hAnsi="Calibri"/>
          <w:sz w:val="22"/>
          <w:szCs w:val="22"/>
        </w:rPr>
        <w:t xml:space="preserve"> closer to </w:t>
      </w:r>
      <w:r w:rsidR="007149F0">
        <w:rPr>
          <w:rFonts w:ascii="Calibri" w:hAnsi="Calibri"/>
          <w:sz w:val="22"/>
          <w:szCs w:val="22"/>
        </w:rPr>
        <w:t>the reverse.</w:t>
      </w:r>
    </w:p>
    <w:p w14:paraId="7E78F48D" w14:textId="3993F5B5" w:rsidR="00594B35" w:rsidRDefault="00C92646" w:rsidP="00A66C1A">
      <w:pPr>
        <w:numPr>
          <w:ilvl w:val="2"/>
          <w:numId w:val="0"/>
        </w:numPr>
        <w:jc w:val="both"/>
        <w:rPr>
          <w:rFonts w:ascii="Calibri" w:hAnsi="Calibri"/>
          <w:sz w:val="22"/>
          <w:szCs w:val="22"/>
        </w:rPr>
      </w:pPr>
      <w:r>
        <w:rPr>
          <w:rFonts w:ascii="Calibri" w:hAnsi="Calibri"/>
          <w:sz w:val="22"/>
          <w:szCs w:val="22"/>
        </w:rPr>
        <w:t xml:space="preserve"> </w:t>
      </w:r>
    </w:p>
    <w:p w14:paraId="268F9564" w14:textId="43A57363" w:rsidR="008772FC" w:rsidRPr="00F728B6" w:rsidRDefault="008772FC" w:rsidP="00A66C1A">
      <w:pPr>
        <w:numPr>
          <w:ilvl w:val="2"/>
          <w:numId w:val="0"/>
        </w:numPr>
        <w:jc w:val="both"/>
        <w:rPr>
          <w:rFonts w:ascii="Calibri" w:hAnsi="Calibri"/>
          <w:sz w:val="22"/>
          <w:szCs w:val="22"/>
        </w:rPr>
      </w:pPr>
      <w:r w:rsidRPr="00F728B6">
        <w:rPr>
          <w:rFonts w:ascii="Calibri" w:hAnsi="Calibri"/>
          <w:sz w:val="22"/>
          <w:szCs w:val="22"/>
        </w:rPr>
        <w:t>These figures</w:t>
      </w:r>
      <w:r w:rsidR="00594B35">
        <w:rPr>
          <w:rFonts w:ascii="Calibri" w:hAnsi="Calibri"/>
          <w:sz w:val="22"/>
          <w:szCs w:val="22"/>
        </w:rPr>
        <w:t xml:space="preserve"> still</w:t>
      </w:r>
      <w:r w:rsidRPr="00F728B6">
        <w:rPr>
          <w:rFonts w:ascii="Calibri" w:hAnsi="Calibri"/>
          <w:sz w:val="22"/>
          <w:szCs w:val="22"/>
        </w:rPr>
        <w:t xml:space="preserve"> represent a relatively high level of owner-occupancy.  For example, only 69.2% of the occupied units in Norfolk County were owner-occupied with the state at 62.3%</w:t>
      </w:r>
      <w:r w:rsidR="00594B35">
        <w:rPr>
          <w:rFonts w:ascii="Calibri" w:hAnsi="Calibri"/>
          <w:sz w:val="22"/>
          <w:szCs w:val="22"/>
        </w:rPr>
        <w:t xml:space="preserve"> in 2010, </w:t>
      </w:r>
      <w:r w:rsidR="00DD0A68">
        <w:rPr>
          <w:rFonts w:ascii="Calibri" w:hAnsi="Calibri"/>
          <w:sz w:val="22"/>
          <w:szCs w:val="22"/>
        </w:rPr>
        <w:t xml:space="preserve">which changed very little </w:t>
      </w:r>
      <w:r w:rsidR="00594B35">
        <w:rPr>
          <w:rFonts w:ascii="Calibri" w:hAnsi="Calibri"/>
          <w:sz w:val="22"/>
          <w:szCs w:val="22"/>
        </w:rPr>
        <w:t xml:space="preserve">to </w:t>
      </w:r>
      <w:r w:rsidR="00030562">
        <w:rPr>
          <w:rFonts w:ascii="Calibri" w:hAnsi="Calibri"/>
          <w:sz w:val="22"/>
          <w:szCs w:val="22"/>
        </w:rPr>
        <w:t>68.</w:t>
      </w:r>
      <w:r w:rsidR="0000107D">
        <w:rPr>
          <w:rFonts w:ascii="Calibri" w:hAnsi="Calibri"/>
          <w:sz w:val="22"/>
          <w:szCs w:val="22"/>
        </w:rPr>
        <w:t>8</w:t>
      </w:r>
      <w:r w:rsidR="00DD0A68">
        <w:rPr>
          <w:rFonts w:ascii="Calibri" w:hAnsi="Calibri"/>
          <w:sz w:val="22"/>
          <w:szCs w:val="22"/>
        </w:rPr>
        <w:t xml:space="preserve">% and </w:t>
      </w:r>
      <w:r w:rsidR="002B2C25">
        <w:rPr>
          <w:rFonts w:ascii="Calibri" w:hAnsi="Calibri"/>
          <w:sz w:val="22"/>
          <w:szCs w:val="22"/>
        </w:rPr>
        <w:t>6</w:t>
      </w:r>
      <w:r w:rsidR="00DD0A68">
        <w:rPr>
          <w:rFonts w:ascii="Calibri" w:hAnsi="Calibri"/>
          <w:sz w:val="22"/>
          <w:szCs w:val="22"/>
        </w:rPr>
        <w:t>2.</w:t>
      </w:r>
      <w:r w:rsidR="002B2C25">
        <w:rPr>
          <w:rFonts w:ascii="Calibri" w:hAnsi="Calibri"/>
          <w:sz w:val="22"/>
          <w:szCs w:val="22"/>
        </w:rPr>
        <w:t>5</w:t>
      </w:r>
      <w:r w:rsidR="00DD0A68">
        <w:rPr>
          <w:rFonts w:ascii="Calibri" w:hAnsi="Calibri"/>
          <w:sz w:val="22"/>
          <w:szCs w:val="22"/>
        </w:rPr>
        <w:t>%, respectively, by 20</w:t>
      </w:r>
      <w:r w:rsidR="002631A1">
        <w:rPr>
          <w:rFonts w:ascii="Calibri" w:hAnsi="Calibri"/>
          <w:sz w:val="22"/>
          <w:szCs w:val="22"/>
        </w:rPr>
        <w:t>20</w:t>
      </w:r>
      <w:r w:rsidRPr="00F728B6">
        <w:rPr>
          <w:rFonts w:ascii="Calibri" w:hAnsi="Calibri"/>
          <w:sz w:val="22"/>
          <w:szCs w:val="22"/>
        </w:rPr>
        <w:t xml:space="preserve">. </w:t>
      </w:r>
    </w:p>
    <w:p w14:paraId="6D62EA34" w14:textId="77777777" w:rsidR="008772FC" w:rsidRPr="00F728B6" w:rsidRDefault="008772FC" w:rsidP="00A66C1A">
      <w:pPr>
        <w:numPr>
          <w:ilvl w:val="2"/>
          <w:numId w:val="0"/>
        </w:numPr>
        <w:jc w:val="both"/>
        <w:rPr>
          <w:rFonts w:ascii="Calibri" w:hAnsi="Calibri"/>
          <w:sz w:val="22"/>
          <w:szCs w:val="22"/>
        </w:rPr>
      </w:pPr>
    </w:p>
    <w:p w14:paraId="76846395" w14:textId="29EAEE01" w:rsidR="00155889" w:rsidRDefault="00594B35" w:rsidP="00594B35">
      <w:pPr>
        <w:jc w:val="both"/>
        <w:rPr>
          <w:rFonts w:ascii="Calibri" w:hAnsi="Calibri"/>
          <w:sz w:val="22"/>
          <w:szCs w:val="22"/>
        </w:rPr>
      </w:pPr>
      <w:r w:rsidRPr="004E50E7">
        <w:rPr>
          <w:rFonts w:ascii="Calibri" w:hAnsi="Calibri"/>
          <w:sz w:val="22"/>
          <w:szCs w:val="22"/>
        </w:rPr>
        <w:t>The average number of persons per unit increased from 2.83 persons in 1990</w:t>
      </w:r>
      <w:r w:rsidR="00E32C73">
        <w:rPr>
          <w:rFonts w:ascii="Calibri" w:hAnsi="Calibri"/>
          <w:sz w:val="22"/>
          <w:szCs w:val="22"/>
        </w:rPr>
        <w:t>,</w:t>
      </w:r>
      <w:r w:rsidRPr="004E50E7">
        <w:rPr>
          <w:rFonts w:ascii="Calibri" w:hAnsi="Calibri"/>
          <w:sz w:val="22"/>
          <w:szCs w:val="22"/>
        </w:rPr>
        <w:t xml:space="preserve"> to 2.88 persons by 2010</w:t>
      </w:r>
      <w:r w:rsidR="00E32C73">
        <w:rPr>
          <w:rFonts w:ascii="Calibri" w:hAnsi="Calibri"/>
          <w:sz w:val="22"/>
          <w:szCs w:val="22"/>
        </w:rPr>
        <w:t xml:space="preserve">, and then up to </w:t>
      </w:r>
      <w:r w:rsidR="002631A1">
        <w:rPr>
          <w:rFonts w:ascii="Calibri" w:hAnsi="Calibri"/>
          <w:sz w:val="22"/>
          <w:szCs w:val="22"/>
        </w:rPr>
        <w:t>3.03</w:t>
      </w:r>
      <w:r w:rsidR="00E32C73">
        <w:rPr>
          <w:rFonts w:ascii="Calibri" w:hAnsi="Calibri"/>
          <w:sz w:val="22"/>
          <w:szCs w:val="22"/>
        </w:rPr>
        <w:t xml:space="preserve"> persons in 20</w:t>
      </w:r>
      <w:r w:rsidR="002631A1">
        <w:rPr>
          <w:rFonts w:ascii="Calibri" w:hAnsi="Calibri"/>
          <w:sz w:val="22"/>
          <w:szCs w:val="22"/>
        </w:rPr>
        <w:t>20</w:t>
      </w:r>
      <w:r w:rsidRPr="004E50E7">
        <w:rPr>
          <w:rFonts w:ascii="Calibri" w:hAnsi="Calibri"/>
          <w:sz w:val="22"/>
          <w:szCs w:val="22"/>
        </w:rPr>
        <w:t xml:space="preserve"> for owner-occupied units</w:t>
      </w:r>
      <w:r w:rsidR="00DF2330">
        <w:rPr>
          <w:rFonts w:ascii="Calibri" w:hAnsi="Calibri"/>
          <w:sz w:val="22"/>
          <w:szCs w:val="22"/>
        </w:rPr>
        <w:t>.  On the other hand</w:t>
      </w:r>
      <w:r w:rsidR="00E32C73">
        <w:rPr>
          <w:rFonts w:ascii="Calibri" w:hAnsi="Calibri"/>
          <w:sz w:val="22"/>
          <w:szCs w:val="22"/>
        </w:rPr>
        <w:t>,</w:t>
      </w:r>
      <w:r w:rsidRPr="004E50E7">
        <w:rPr>
          <w:rFonts w:ascii="Calibri" w:hAnsi="Calibri"/>
          <w:sz w:val="22"/>
          <w:szCs w:val="22"/>
        </w:rPr>
        <w:t xml:space="preserve"> </w:t>
      </w:r>
      <w:r w:rsidR="00DF2330">
        <w:rPr>
          <w:rFonts w:ascii="Calibri" w:hAnsi="Calibri"/>
          <w:sz w:val="22"/>
          <w:szCs w:val="22"/>
        </w:rPr>
        <w:t>the average household size</w:t>
      </w:r>
      <w:r w:rsidRPr="004E50E7">
        <w:rPr>
          <w:rFonts w:ascii="Calibri" w:hAnsi="Calibri"/>
          <w:sz w:val="22"/>
          <w:szCs w:val="22"/>
        </w:rPr>
        <w:t xml:space="preserve"> decreased from 2.02 to 1.</w:t>
      </w:r>
      <w:r w:rsidR="002631A1">
        <w:rPr>
          <w:rFonts w:ascii="Calibri" w:hAnsi="Calibri"/>
          <w:sz w:val="22"/>
          <w:szCs w:val="22"/>
        </w:rPr>
        <w:t>69</w:t>
      </w:r>
      <w:r w:rsidRPr="004E50E7">
        <w:rPr>
          <w:rFonts w:ascii="Calibri" w:hAnsi="Calibri"/>
          <w:sz w:val="22"/>
          <w:szCs w:val="22"/>
        </w:rPr>
        <w:t xml:space="preserve"> persons for rental units</w:t>
      </w:r>
      <w:r w:rsidR="00D17788">
        <w:rPr>
          <w:rFonts w:ascii="Calibri" w:hAnsi="Calibri"/>
          <w:sz w:val="22"/>
          <w:szCs w:val="22"/>
        </w:rPr>
        <w:t xml:space="preserve"> during this period</w:t>
      </w:r>
      <w:r w:rsidRPr="004E50E7">
        <w:rPr>
          <w:rFonts w:ascii="Calibri" w:hAnsi="Calibri"/>
          <w:sz w:val="22"/>
          <w:szCs w:val="22"/>
        </w:rPr>
        <w:t xml:space="preserve">.  This </w:t>
      </w:r>
      <w:r w:rsidR="00D17788">
        <w:rPr>
          <w:rFonts w:ascii="Calibri" w:hAnsi="Calibri"/>
          <w:sz w:val="22"/>
          <w:szCs w:val="22"/>
        </w:rPr>
        <w:t>in</w:t>
      </w:r>
      <w:r w:rsidRPr="004E50E7">
        <w:rPr>
          <w:rFonts w:ascii="Calibri" w:hAnsi="Calibri"/>
          <w:sz w:val="22"/>
          <w:szCs w:val="22"/>
        </w:rPr>
        <w:t>crease</w:t>
      </w:r>
      <w:r w:rsidR="00D17788">
        <w:rPr>
          <w:rFonts w:ascii="Calibri" w:hAnsi="Calibri"/>
          <w:sz w:val="22"/>
          <w:szCs w:val="22"/>
        </w:rPr>
        <w:t xml:space="preserve"> in the average household size of owner-occupied units</w:t>
      </w:r>
      <w:r w:rsidRPr="004E50E7">
        <w:rPr>
          <w:rFonts w:ascii="Calibri" w:hAnsi="Calibri"/>
          <w:sz w:val="22"/>
          <w:szCs w:val="22"/>
        </w:rPr>
        <w:t xml:space="preserve"> </w:t>
      </w:r>
      <w:r w:rsidR="00D17788">
        <w:rPr>
          <w:rFonts w:ascii="Calibri" w:hAnsi="Calibri"/>
          <w:sz w:val="22"/>
          <w:szCs w:val="22"/>
        </w:rPr>
        <w:t>is consistent with</w:t>
      </w:r>
      <w:r w:rsidRPr="004E50E7">
        <w:rPr>
          <w:rFonts w:ascii="Calibri" w:hAnsi="Calibri"/>
          <w:sz w:val="22"/>
          <w:szCs w:val="22"/>
        </w:rPr>
        <w:t xml:space="preserve"> increases in the town-wide average number of persons per household from 2.68 persons in 1990</w:t>
      </w:r>
      <w:r w:rsidR="00E32C73">
        <w:rPr>
          <w:rFonts w:ascii="Calibri" w:hAnsi="Calibri"/>
          <w:sz w:val="22"/>
          <w:szCs w:val="22"/>
        </w:rPr>
        <w:t>,</w:t>
      </w:r>
      <w:r w:rsidRPr="004E50E7">
        <w:rPr>
          <w:rFonts w:ascii="Calibri" w:hAnsi="Calibri"/>
          <w:sz w:val="22"/>
          <w:szCs w:val="22"/>
        </w:rPr>
        <w:t xml:space="preserve"> to 2.72 by 2010</w:t>
      </w:r>
      <w:r w:rsidR="00E32C73">
        <w:rPr>
          <w:rFonts w:ascii="Calibri" w:hAnsi="Calibri"/>
          <w:sz w:val="22"/>
          <w:szCs w:val="22"/>
        </w:rPr>
        <w:t>, and 2.</w:t>
      </w:r>
      <w:r w:rsidR="00FE3F7B">
        <w:rPr>
          <w:rFonts w:ascii="Calibri" w:hAnsi="Calibri"/>
          <w:sz w:val="22"/>
          <w:szCs w:val="22"/>
        </w:rPr>
        <w:t>82</w:t>
      </w:r>
      <w:r w:rsidR="00E32C73">
        <w:rPr>
          <w:rFonts w:ascii="Calibri" w:hAnsi="Calibri"/>
          <w:sz w:val="22"/>
          <w:szCs w:val="22"/>
        </w:rPr>
        <w:t xml:space="preserve"> by 20</w:t>
      </w:r>
      <w:r w:rsidR="00FE3F7B">
        <w:rPr>
          <w:rFonts w:ascii="Calibri" w:hAnsi="Calibri"/>
          <w:sz w:val="22"/>
          <w:szCs w:val="22"/>
        </w:rPr>
        <w:t>20</w:t>
      </w:r>
      <w:r w:rsidR="00DF2330">
        <w:rPr>
          <w:rFonts w:ascii="Calibri" w:hAnsi="Calibri"/>
          <w:sz w:val="22"/>
          <w:szCs w:val="22"/>
        </w:rPr>
        <w:t>,</w:t>
      </w:r>
      <w:r>
        <w:rPr>
          <w:rFonts w:ascii="Calibri" w:hAnsi="Calibri"/>
          <w:sz w:val="22"/>
          <w:szCs w:val="22"/>
        </w:rPr>
        <w:t xml:space="preserve"> and </w:t>
      </w:r>
      <w:r w:rsidR="00D17788">
        <w:rPr>
          <w:rFonts w:ascii="Calibri" w:hAnsi="Calibri"/>
          <w:sz w:val="22"/>
          <w:szCs w:val="22"/>
        </w:rPr>
        <w:t xml:space="preserve">likely </w:t>
      </w:r>
      <w:r w:rsidR="00FE3F7B">
        <w:rPr>
          <w:rFonts w:ascii="Calibri" w:hAnsi="Calibri"/>
          <w:sz w:val="22"/>
          <w:szCs w:val="22"/>
        </w:rPr>
        <w:t xml:space="preserve">at least partially </w:t>
      </w:r>
      <w:r w:rsidR="00D17788">
        <w:rPr>
          <w:rFonts w:ascii="Calibri" w:hAnsi="Calibri"/>
          <w:sz w:val="22"/>
          <w:szCs w:val="22"/>
        </w:rPr>
        <w:t>r</w:t>
      </w:r>
      <w:r w:rsidR="007926A1">
        <w:rPr>
          <w:rFonts w:ascii="Calibri" w:hAnsi="Calibri"/>
          <w:sz w:val="22"/>
          <w:szCs w:val="22"/>
        </w:rPr>
        <w:t>eflect</w:t>
      </w:r>
      <w:r>
        <w:rPr>
          <w:rFonts w:ascii="Calibri" w:hAnsi="Calibri"/>
          <w:sz w:val="22"/>
          <w:szCs w:val="22"/>
        </w:rPr>
        <w:t>s the</w:t>
      </w:r>
      <w:r w:rsidR="00D17788">
        <w:rPr>
          <w:rFonts w:ascii="Calibri" w:hAnsi="Calibri"/>
          <w:sz w:val="22"/>
          <w:szCs w:val="22"/>
        </w:rPr>
        <w:t xml:space="preserve"> larger size of new homes.  Moreover, new rental development has focused on multi-family </w:t>
      </w:r>
      <w:r w:rsidR="00155889">
        <w:rPr>
          <w:rFonts w:ascii="Calibri" w:hAnsi="Calibri"/>
          <w:sz w:val="22"/>
          <w:szCs w:val="22"/>
        </w:rPr>
        <w:t xml:space="preserve">projects with </w:t>
      </w:r>
      <w:r w:rsidR="00D17788">
        <w:rPr>
          <w:rFonts w:ascii="Calibri" w:hAnsi="Calibri"/>
          <w:sz w:val="22"/>
          <w:szCs w:val="22"/>
        </w:rPr>
        <w:t xml:space="preserve">smaller unit sizes and </w:t>
      </w:r>
      <w:r w:rsidR="00155889">
        <w:rPr>
          <w:rFonts w:ascii="Calibri" w:hAnsi="Calibri"/>
          <w:sz w:val="22"/>
          <w:szCs w:val="22"/>
        </w:rPr>
        <w:t xml:space="preserve">thus </w:t>
      </w:r>
      <w:r w:rsidR="00D17788">
        <w:rPr>
          <w:rFonts w:ascii="Calibri" w:hAnsi="Calibri"/>
          <w:sz w:val="22"/>
          <w:szCs w:val="22"/>
        </w:rPr>
        <w:t>the decrease in average household siz</w:t>
      </w:r>
      <w:r w:rsidR="00155889">
        <w:rPr>
          <w:rFonts w:ascii="Calibri" w:hAnsi="Calibri"/>
          <w:sz w:val="22"/>
          <w:szCs w:val="22"/>
        </w:rPr>
        <w:t>e is not surprising.</w:t>
      </w:r>
    </w:p>
    <w:p w14:paraId="0382CDA1" w14:textId="77777777" w:rsidR="00594B35" w:rsidRDefault="00594B35" w:rsidP="00594B35">
      <w:pPr>
        <w:jc w:val="both"/>
        <w:rPr>
          <w:rFonts w:ascii="Calibri" w:hAnsi="Calibri"/>
          <w:sz w:val="22"/>
        </w:rPr>
      </w:pPr>
    </w:p>
    <w:p w14:paraId="4C17543B" w14:textId="60DE6BAD" w:rsidR="008772FC" w:rsidRPr="00F728B6" w:rsidRDefault="008772FC" w:rsidP="008772FC">
      <w:pPr>
        <w:pStyle w:val="Heading9"/>
        <w:spacing w:before="0"/>
        <w:jc w:val="center"/>
        <w:rPr>
          <w:rFonts w:asciiTheme="minorHAnsi" w:hAnsiTheme="minorHAnsi"/>
          <w:b/>
          <w:i w:val="0"/>
          <w:color w:val="auto"/>
          <w:sz w:val="22"/>
          <w:szCs w:val="22"/>
        </w:rPr>
      </w:pPr>
      <w:r w:rsidRPr="00F728B6">
        <w:rPr>
          <w:rFonts w:ascii="Calibri" w:hAnsi="Calibri"/>
          <w:b/>
          <w:i w:val="0"/>
          <w:color w:val="auto"/>
          <w:sz w:val="22"/>
          <w:szCs w:val="22"/>
        </w:rPr>
        <w:t>Table</w:t>
      </w:r>
      <w:r w:rsidR="00A166AA">
        <w:rPr>
          <w:rFonts w:ascii="Calibri" w:hAnsi="Calibri"/>
          <w:b/>
          <w:i w:val="0"/>
          <w:color w:val="auto"/>
          <w:sz w:val="22"/>
          <w:szCs w:val="22"/>
        </w:rPr>
        <w:t xml:space="preserve"> III-2</w:t>
      </w:r>
      <w:r w:rsidR="00F54479">
        <w:rPr>
          <w:rFonts w:ascii="Calibri" w:hAnsi="Calibri"/>
          <w:b/>
          <w:i w:val="0"/>
          <w:color w:val="auto"/>
          <w:sz w:val="22"/>
          <w:szCs w:val="22"/>
        </w:rPr>
        <w:t>3</w:t>
      </w:r>
      <w:r w:rsidRPr="00F728B6">
        <w:rPr>
          <w:rFonts w:ascii="Calibri" w:hAnsi="Calibri"/>
          <w:b/>
          <w:i w:val="0"/>
          <w:color w:val="auto"/>
          <w:sz w:val="22"/>
          <w:szCs w:val="22"/>
        </w:rPr>
        <w:t xml:space="preserve">: </w:t>
      </w:r>
      <w:r w:rsidRPr="00F728B6">
        <w:rPr>
          <w:rFonts w:asciiTheme="minorHAnsi" w:hAnsiTheme="minorHAnsi"/>
          <w:b/>
          <w:i w:val="0"/>
          <w:color w:val="auto"/>
          <w:sz w:val="22"/>
          <w:szCs w:val="22"/>
        </w:rPr>
        <w:t xml:space="preserve">Housing Occupancy, 1990 to </w:t>
      </w:r>
      <w:r w:rsidR="00601D22">
        <w:rPr>
          <w:rFonts w:asciiTheme="minorHAnsi" w:hAnsiTheme="minorHAnsi"/>
          <w:b/>
          <w:i w:val="0"/>
          <w:color w:val="auto"/>
          <w:sz w:val="22"/>
          <w:szCs w:val="22"/>
        </w:rPr>
        <w:t>2019/</w:t>
      </w:r>
      <w:r w:rsidRPr="00F728B6">
        <w:rPr>
          <w:rFonts w:asciiTheme="minorHAnsi" w:hAnsiTheme="minorHAnsi"/>
          <w:b/>
          <w:i w:val="0"/>
          <w:color w:val="auto"/>
          <w:sz w:val="22"/>
          <w:szCs w:val="22"/>
        </w:rPr>
        <w:t>20</w:t>
      </w:r>
      <w:r w:rsidR="00A166AA">
        <w:rPr>
          <w:rFonts w:asciiTheme="minorHAnsi" w:hAnsiTheme="minorHAnsi"/>
          <w:b/>
          <w:i w:val="0"/>
          <w:color w:val="auto"/>
          <w:sz w:val="22"/>
          <w:szCs w:val="22"/>
        </w:rPr>
        <w:t>20</w:t>
      </w:r>
    </w:p>
    <w:tbl>
      <w:tblPr>
        <w:tblW w:w="9558" w:type="dxa"/>
        <w:tblLook w:val="0000" w:firstRow="0" w:lastRow="0" w:firstColumn="0" w:lastColumn="0" w:noHBand="0" w:noVBand="0"/>
      </w:tblPr>
      <w:tblGrid>
        <w:gridCol w:w="2333"/>
        <w:gridCol w:w="1076"/>
        <w:gridCol w:w="897"/>
        <w:gridCol w:w="897"/>
        <w:gridCol w:w="897"/>
        <w:gridCol w:w="938"/>
        <w:gridCol w:w="742"/>
        <w:gridCol w:w="900"/>
        <w:gridCol w:w="878"/>
      </w:tblGrid>
      <w:tr w:rsidR="00A66C1A" w:rsidRPr="004E50E7" w14:paraId="7BD20B58" w14:textId="77777777" w:rsidTr="00594B35">
        <w:trPr>
          <w:cantSplit/>
        </w:trPr>
        <w:tc>
          <w:tcPr>
            <w:tcW w:w="2333" w:type="dxa"/>
            <w:vMerge w:val="restart"/>
            <w:tcBorders>
              <w:top w:val="single" w:sz="4" w:space="0" w:color="auto"/>
              <w:left w:val="single" w:sz="4" w:space="0" w:color="auto"/>
              <w:bottom w:val="single" w:sz="6" w:space="0" w:color="auto"/>
              <w:right w:val="single" w:sz="6" w:space="0" w:color="auto"/>
            </w:tcBorders>
          </w:tcPr>
          <w:p w14:paraId="360744DC" w14:textId="77777777" w:rsidR="00A66C1A" w:rsidRPr="004E50E7" w:rsidRDefault="00A66C1A" w:rsidP="00A66C1A">
            <w:pPr>
              <w:ind w:right="-720"/>
              <w:rPr>
                <w:rFonts w:ascii="Calibri" w:hAnsi="Calibri" w:cs="Lucida Sans Unicode"/>
                <w:b/>
                <w:bCs/>
              </w:rPr>
            </w:pPr>
            <w:r>
              <w:rPr>
                <w:rFonts w:ascii="Calibri" w:hAnsi="Calibri" w:cs="Lucida Sans Unicode"/>
                <w:b/>
                <w:bCs/>
                <w:sz w:val="22"/>
                <w:szCs w:val="22"/>
              </w:rPr>
              <w:t>Housing Characteristics</w:t>
            </w:r>
          </w:p>
        </w:tc>
        <w:tc>
          <w:tcPr>
            <w:tcW w:w="1973" w:type="dxa"/>
            <w:gridSpan w:val="2"/>
            <w:tcBorders>
              <w:top w:val="single" w:sz="6" w:space="0" w:color="auto"/>
              <w:left w:val="single" w:sz="6" w:space="0" w:color="auto"/>
              <w:bottom w:val="single" w:sz="6" w:space="0" w:color="auto"/>
              <w:right w:val="single" w:sz="6" w:space="0" w:color="auto"/>
            </w:tcBorders>
          </w:tcPr>
          <w:p w14:paraId="4FE97533" w14:textId="77777777" w:rsidR="00A66C1A" w:rsidRPr="004E50E7" w:rsidRDefault="00A66C1A" w:rsidP="00A66C1A">
            <w:pPr>
              <w:ind w:right="-720"/>
              <w:rPr>
                <w:rFonts w:ascii="Calibri" w:hAnsi="Calibri" w:cs="Lucida Sans Unicode"/>
                <w:b/>
                <w:bCs/>
              </w:rPr>
            </w:pPr>
            <w:r w:rsidRPr="004E50E7">
              <w:rPr>
                <w:rFonts w:ascii="Calibri" w:hAnsi="Calibri" w:cs="Lucida Sans Unicode"/>
                <w:b/>
                <w:bCs/>
                <w:sz w:val="22"/>
                <w:szCs w:val="22"/>
              </w:rPr>
              <w:t>1990</w:t>
            </w:r>
          </w:p>
        </w:tc>
        <w:tc>
          <w:tcPr>
            <w:tcW w:w="1794" w:type="dxa"/>
            <w:gridSpan w:val="2"/>
            <w:tcBorders>
              <w:top w:val="single" w:sz="6" w:space="0" w:color="auto"/>
              <w:left w:val="single" w:sz="6" w:space="0" w:color="auto"/>
              <w:bottom w:val="single" w:sz="6" w:space="0" w:color="auto"/>
              <w:right w:val="single" w:sz="6" w:space="0" w:color="auto"/>
            </w:tcBorders>
          </w:tcPr>
          <w:p w14:paraId="4A421818" w14:textId="77777777" w:rsidR="00A66C1A" w:rsidRPr="004E50E7" w:rsidRDefault="00A66C1A" w:rsidP="00A66C1A">
            <w:pPr>
              <w:ind w:right="-720"/>
              <w:rPr>
                <w:rFonts w:ascii="Calibri" w:hAnsi="Calibri" w:cs="Lucida Sans Unicode"/>
                <w:b/>
                <w:bCs/>
              </w:rPr>
            </w:pPr>
            <w:r w:rsidRPr="004E50E7">
              <w:rPr>
                <w:rFonts w:ascii="Calibri" w:hAnsi="Calibri" w:cs="Lucida Sans Unicode"/>
                <w:b/>
                <w:bCs/>
                <w:sz w:val="22"/>
                <w:szCs w:val="22"/>
              </w:rPr>
              <w:t>2000</w:t>
            </w:r>
          </w:p>
        </w:tc>
        <w:tc>
          <w:tcPr>
            <w:tcW w:w="1680" w:type="dxa"/>
            <w:gridSpan w:val="2"/>
            <w:tcBorders>
              <w:top w:val="single" w:sz="4" w:space="0" w:color="auto"/>
              <w:bottom w:val="single" w:sz="4" w:space="0" w:color="auto"/>
              <w:right w:val="single" w:sz="4" w:space="0" w:color="auto"/>
            </w:tcBorders>
            <w:shd w:val="clear" w:color="auto" w:fill="auto"/>
          </w:tcPr>
          <w:p w14:paraId="64A32024" w14:textId="77777777" w:rsidR="00A66C1A" w:rsidRPr="004E50E7" w:rsidRDefault="00A66C1A" w:rsidP="00A66C1A">
            <w:pPr>
              <w:rPr>
                <w:rFonts w:ascii="Calibri" w:hAnsi="Calibri" w:cs="Lucida Sans Unicode"/>
                <w:b/>
                <w:bCs/>
              </w:rPr>
            </w:pPr>
            <w:r w:rsidRPr="004E50E7">
              <w:rPr>
                <w:rFonts w:ascii="Calibri" w:hAnsi="Calibri" w:cs="Lucida Sans Unicode"/>
                <w:b/>
                <w:bCs/>
                <w:sz w:val="22"/>
                <w:szCs w:val="22"/>
              </w:rPr>
              <w:t>2010</w:t>
            </w:r>
          </w:p>
        </w:tc>
        <w:tc>
          <w:tcPr>
            <w:tcW w:w="1778" w:type="dxa"/>
            <w:gridSpan w:val="2"/>
            <w:tcBorders>
              <w:top w:val="single" w:sz="4" w:space="0" w:color="auto"/>
              <w:bottom w:val="single" w:sz="4" w:space="0" w:color="auto"/>
              <w:right w:val="single" w:sz="4" w:space="0" w:color="auto"/>
            </w:tcBorders>
            <w:shd w:val="clear" w:color="auto" w:fill="auto"/>
          </w:tcPr>
          <w:p w14:paraId="5AAA4B0D" w14:textId="77777777" w:rsidR="00A66C1A" w:rsidRDefault="00A66C1A" w:rsidP="00A66C1A">
            <w:pPr>
              <w:rPr>
                <w:rFonts w:ascii="Calibri" w:hAnsi="Calibri" w:cs="Lucida Sans Unicode"/>
                <w:b/>
                <w:bCs/>
              </w:rPr>
            </w:pPr>
            <w:r>
              <w:rPr>
                <w:rFonts w:ascii="Calibri" w:hAnsi="Calibri" w:cs="Lucida Sans Unicode"/>
                <w:b/>
                <w:bCs/>
                <w:sz w:val="22"/>
                <w:szCs w:val="22"/>
              </w:rPr>
              <w:t>20</w:t>
            </w:r>
            <w:r w:rsidR="00675FCF">
              <w:rPr>
                <w:rFonts w:ascii="Calibri" w:hAnsi="Calibri" w:cs="Lucida Sans Unicode"/>
                <w:b/>
                <w:bCs/>
                <w:sz w:val="22"/>
                <w:szCs w:val="22"/>
              </w:rPr>
              <w:t>20</w:t>
            </w:r>
            <w:r w:rsidR="001F24C4">
              <w:rPr>
                <w:rFonts w:ascii="Calibri" w:hAnsi="Calibri" w:cs="Lucida Sans Unicode"/>
                <w:b/>
                <w:bCs/>
                <w:sz w:val="22"/>
                <w:szCs w:val="22"/>
              </w:rPr>
              <w:t xml:space="preserve"> Decennial/</w:t>
            </w:r>
          </w:p>
          <w:p w14:paraId="6114F398" w14:textId="63A13D4C" w:rsidR="001F24C4" w:rsidRPr="004E50E7" w:rsidRDefault="001F24C4" w:rsidP="00A66C1A">
            <w:pPr>
              <w:rPr>
                <w:rFonts w:ascii="Calibri" w:hAnsi="Calibri" w:cs="Lucida Sans Unicode"/>
                <w:b/>
                <w:bCs/>
              </w:rPr>
            </w:pPr>
            <w:r>
              <w:rPr>
                <w:rFonts w:ascii="Calibri" w:hAnsi="Calibri" w:cs="Lucida Sans Unicode"/>
                <w:b/>
                <w:bCs/>
                <w:sz w:val="22"/>
                <w:szCs w:val="22"/>
              </w:rPr>
              <w:t>Estimates*</w:t>
            </w:r>
          </w:p>
        </w:tc>
      </w:tr>
      <w:tr w:rsidR="00A66C1A" w:rsidRPr="004E50E7" w14:paraId="1EBF5DAF" w14:textId="77777777" w:rsidTr="00594B35">
        <w:trPr>
          <w:cantSplit/>
        </w:trPr>
        <w:tc>
          <w:tcPr>
            <w:tcW w:w="2333" w:type="dxa"/>
            <w:vMerge/>
            <w:tcBorders>
              <w:top w:val="nil"/>
              <w:left w:val="single" w:sz="4" w:space="0" w:color="auto"/>
              <w:bottom w:val="single" w:sz="6" w:space="0" w:color="auto"/>
              <w:right w:val="single" w:sz="6" w:space="0" w:color="auto"/>
            </w:tcBorders>
            <w:vAlign w:val="center"/>
          </w:tcPr>
          <w:p w14:paraId="440A3C35" w14:textId="77777777" w:rsidR="00A66C1A" w:rsidRPr="004E50E7" w:rsidRDefault="00A66C1A" w:rsidP="008F2513">
            <w:pPr>
              <w:rPr>
                <w:rFonts w:ascii="Calibri" w:hAnsi="Calibri" w:cs="Lucida Sans Unicode"/>
                <w:b/>
                <w:bCs/>
              </w:rPr>
            </w:pPr>
          </w:p>
        </w:tc>
        <w:tc>
          <w:tcPr>
            <w:tcW w:w="1076" w:type="dxa"/>
            <w:tcBorders>
              <w:top w:val="single" w:sz="6" w:space="0" w:color="auto"/>
              <w:left w:val="single" w:sz="6" w:space="0" w:color="auto"/>
              <w:bottom w:val="single" w:sz="6" w:space="0" w:color="auto"/>
              <w:right w:val="single" w:sz="6" w:space="0" w:color="auto"/>
            </w:tcBorders>
          </w:tcPr>
          <w:p w14:paraId="57B4A63A" w14:textId="77777777" w:rsidR="00A66C1A" w:rsidRPr="004E50E7" w:rsidRDefault="00A66C1A" w:rsidP="008F2513">
            <w:pPr>
              <w:ind w:right="-720"/>
              <w:rPr>
                <w:rFonts w:ascii="Calibri" w:hAnsi="Calibri" w:cs="Lucida Sans Unicode"/>
                <w:b/>
                <w:bCs/>
              </w:rPr>
            </w:pPr>
            <w:r w:rsidRPr="004E50E7">
              <w:rPr>
                <w:rFonts w:ascii="Calibri" w:hAnsi="Calibri" w:cs="Lucida Sans Unicode"/>
                <w:b/>
                <w:bCs/>
                <w:sz w:val="22"/>
                <w:szCs w:val="22"/>
              </w:rPr>
              <w:t>#</w:t>
            </w:r>
          </w:p>
        </w:tc>
        <w:tc>
          <w:tcPr>
            <w:tcW w:w="897" w:type="dxa"/>
            <w:tcBorders>
              <w:top w:val="single" w:sz="6" w:space="0" w:color="auto"/>
              <w:left w:val="single" w:sz="6" w:space="0" w:color="auto"/>
              <w:bottom w:val="single" w:sz="6" w:space="0" w:color="auto"/>
              <w:right w:val="single" w:sz="6" w:space="0" w:color="auto"/>
            </w:tcBorders>
          </w:tcPr>
          <w:p w14:paraId="4859EB44" w14:textId="77777777" w:rsidR="00A66C1A" w:rsidRPr="004E50E7" w:rsidRDefault="00A66C1A" w:rsidP="008F2513">
            <w:pPr>
              <w:ind w:right="-720"/>
              <w:rPr>
                <w:rFonts w:ascii="Calibri" w:hAnsi="Calibri" w:cs="Lucida Sans Unicode"/>
                <w:b/>
                <w:bCs/>
              </w:rPr>
            </w:pPr>
            <w:r w:rsidRPr="004E50E7">
              <w:rPr>
                <w:rFonts w:ascii="Calibri" w:hAnsi="Calibri" w:cs="Lucida Sans Unicode"/>
                <w:b/>
                <w:bCs/>
                <w:sz w:val="22"/>
                <w:szCs w:val="22"/>
              </w:rPr>
              <w:t>%</w:t>
            </w:r>
          </w:p>
        </w:tc>
        <w:tc>
          <w:tcPr>
            <w:tcW w:w="897" w:type="dxa"/>
            <w:tcBorders>
              <w:top w:val="single" w:sz="6" w:space="0" w:color="auto"/>
              <w:left w:val="single" w:sz="6" w:space="0" w:color="auto"/>
              <w:bottom w:val="single" w:sz="6" w:space="0" w:color="auto"/>
              <w:right w:val="single" w:sz="6" w:space="0" w:color="auto"/>
            </w:tcBorders>
          </w:tcPr>
          <w:p w14:paraId="3CA374A2" w14:textId="77777777" w:rsidR="00A66C1A" w:rsidRPr="004E50E7" w:rsidRDefault="00A66C1A" w:rsidP="008F2513">
            <w:pPr>
              <w:ind w:right="-720"/>
              <w:rPr>
                <w:rFonts w:ascii="Calibri" w:hAnsi="Calibri" w:cs="Lucida Sans Unicode"/>
                <w:b/>
                <w:bCs/>
              </w:rPr>
            </w:pPr>
            <w:r w:rsidRPr="004E50E7">
              <w:rPr>
                <w:rFonts w:ascii="Calibri" w:hAnsi="Calibri" w:cs="Lucida Sans Unicode"/>
                <w:b/>
                <w:bCs/>
                <w:sz w:val="22"/>
                <w:szCs w:val="22"/>
              </w:rPr>
              <w:t>#</w:t>
            </w:r>
          </w:p>
        </w:tc>
        <w:tc>
          <w:tcPr>
            <w:tcW w:w="897" w:type="dxa"/>
            <w:tcBorders>
              <w:top w:val="single" w:sz="6" w:space="0" w:color="auto"/>
              <w:left w:val="single" w:sz="6" w:space="0" w:color="auto"/>
              <w:bottom w:val="single" w:sz="6" w:space="0" w:color="auto"/>
              <w:right w:val="single" w:sz="6" w:space="0" w:color="auto"/>
            </w:tcBorders>
          </w:tcPr>
          <w:p w14:paraId="65BE3807" w14:textId="77777777" w:rsidR="00A66C1A" w:rsidRPr="004E50E7" w:rsidRDefault="00A66C1A" w:rsidP="008F2513">
            <w:pPr>
              <w:ind w:right="-720"/>
              <w:rPr>
                <w:rFonts w:ascii="Calibri" w:hAnsi="Calibri" w:cs="Lucida Sans Unicode"/>
                <w:b/>
                <w:bCs/>
              </w:rPr>
            </w:pPr>
            <w:r w:rsidRPr="004E50E7">
              <w:rPr>
                <w:rFonts w:ascii="Calibri" w:hAnsi="Calibri" w:cs="Lucida Sans Unicode"/>
                <w:b/>
                <w:bCs/>
                <w:sz w:val="22"/>
                <w:szCs w:val="22"/>
              </w:rPr>
              <w:t>%</w:t>
            </w:r>
          </w:p>
        </w:tc>
        <w:tc>
          <w:tcPr>
            <w:tcW w:w="938" w:type="dxa"/>
            <w:tcBorders>
              <w:top w:val="single" w:sz="4" w:space="0" w:color="auto"/>
              <w:bottom w:val="single" w:sz="4" w:space="0" w:color="auto"/>
              <w:right w:val="single" w:sz="4" w:space="0" w:color="auto"/>
            </w:tcBorders>
            <w:shd w:val="clear" w:color="auto" w:fill="auto"/>
          </w:tcPr>
          <w:p w14:paraId="4D7841D4" w14:textId="77777777" w:rsidR="00A66C1A" w:rsidRPr="004E50E7" w:rsidRDefault="00A66C1A" w:rsidP="008F2513">
            <w:pPr>
              <w:pStyle w:val="BalloonText"/>
              <w:rPr>
                <w:rFonts w:ascii="Calibri" w:hAnsi="Calibri" w:cs="Lucida Sans Unicode"/>
                <w:b/>
                <w:bCs/>
                <w:sz w:val="22"/>
                <w:szCs w:val="22"/>
              </w:rPr>
            </w:pPr>
            <w:r w:rsidRPr="004E50E7">
              <w:rPr>
                <w:rFonts w:ascii="Calibri" w:hAnsi="Calibri" w:cs="Lucida Sans Unicode"/>
                <w:b/>
                <w:bCs/>
                <w:sz w:val="22"/>
                <w:szCs w:val="22"/>
              </w:rPr>
              <w:t>#</w:t>
            </w:r>
          </w:p>
        </w:tc>
        <w:tc>
          <w:tcPr>
            <w:tcW w:w="742" w:type="dxa"/>
            <w:tcBorders>
              <w:top w:val="single" w:sz="4" w:space="0" w:color="auto"/>
              <w:bottom w:val="single" w:sz="4" w:space="0" w:color="auto"/>
              <w:right w:val="single" w:sz="4" w:space="0" w:color="auto"/>
            </w:tcBorders>
            <w:shd w:val="clear" w:color="auto" w:fill="auto"/>
          </w:tcPr>
          <w:p w14:paraId="19824154" w14:textId="77777777" w:rsidR="00A66C1A" w:rsidRPr="004E50E7" w:rsidRDefault="00A66C1A" w:rsidP="008F2513">
            <w:pPr>
              <w:rPr>
                <w:rFonts w:ascii="Calibri" w:hAnsi="Calibri" w:cs="Lucida Sans Unicode"/>
                <w:b/>
                <w:bCs/>
              </w:rPr>
            </w:pPr>
            <w:r w:rsidRPr="004E50E7">
              <w:rPr>
                <w:rFonts w:ascii="Calibri" w:hAnsi="Calibri" w:cs="Lucida Sans Unicode"/>
                <w:b/>
                <w:bCs/>
                <w:sz w:val="22"/>
                <w:szCs w:val="22"/>
              </w:rPr>
              <w:t>%</w:t>
            </w:r>
          </w:p>
        </w:tc>
        <w:tc>
          <w:tcPr>
            <w:tcW w:w="900" w:type="dxa"/>
            <w:tcBorders>
              <w:top w:val="single" w:sz="4" w:space="0" w:color="auto"/>
              <w:bottom w:val="single" w:sz="4" w:space="0" w:color="auto"/>
              <w:right w:val="single" w:sz="4" w:space="0" w:color="auto"/>
            </w:tcBorders>
            <w:shd w:val="clear" w:color="auto" w:fill="auto"/>
          </w:tcPr>
          <w:p w14:paraId="3510E8CA" w14:textId="77777777" w:rsidR="00A66C1A" w:rsidRPr="004E50E7" w:rsidRDefault="00A66C1A" w:rsidP="00A66C1A">
            <w:pPr>
              <w:rPr>
                <w:rFonts w:ascii="Calibri" w:hAnsi="Calibri" w:cs="Lucida Sans Unicode"/>
                <w:b/>
                <w:bCs/>
              </w:rPr>
            </w:pPr>
            <w:r>
              <w:rPr>
                <w:rFonts w:ascii="Calibri" w:hAnsi="Calibri" w:cs="Lucida Sans Unicode"/>
                <w:b/>
                <w:bCs/>
                <w:sz w:val="22"/>
                <w:szCs w:val="22"/>
              </w:rPr>
              <w:t>%</w:t>
            </w:r>
          </w:p>
        </w:tc>
        <w:tc>
          <w:tcPr>
            <w:tcW w:w="878" w:type="dxa"/>
            <w:tcBorders>
              <w:top w:val="single" w:sz="4" w:space="0" w:color="auto"/>
              <w:bottom w:val="single" w:sz="4" w:space="0" w:color="auto"/>
              <w:right w:val="single" w:sz="4" w:space="0" w:color="auto"/>
            </w:tcBorders>
            <w:shd w:val="clear" w:color="auto" w:fill="auto"/>
          </w:tcPr>
          <w:p w14:paraId="64BF6CD7" w14:textId="77777777" w:rsidR="00A66C1A" w:rsidRPr="004E50E7" w:rsidRDefault="00A66C1A" w:rsidP="00A66C1A">
            <w:pPr>
              <w:rPr>
                <w:rFonts w:ascii="Calibri" w:hAnsi="Calibri" w:cs="Lucida Sans Unicode"/>
                <w:b/>
                <w:bCs/>
              </w:rPr>
            </w:pPr>
            <w:r>
              <w:rPr>
                <w:rFonts w:ascii="Calibri" w:hAnsi="Calibri" w:cs="Lucida Sans Unicode"/>
                <w:b/>
                <w:bCs/>
                <w:sz w:val="22"/>
                <w:szCs w:val="22"/>
              </w:rPr>
              <w:t>#</w:t>
            </w:r>
          </w:p>
        </w:tc>
      </w:tr>
      <w:tr w:rsidR="00A66C1A" w:rsidRPr="004E50E7" w14:paraId="7DE5FC61"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2E79B36E" w14:textId="77777777" w:rsidR="00A66C1A" w:rsidRPr="004E50E7" w:rsidRDefault="00A66C1A" w:rsidP="008F2513">
            <w:pPr>
              <w:tabs>
                <w:tab w:val="left" w:pos="720"/>
                <w:tab w:val="center" w:pos="4320"/>
                <w:tab w:val="right" w:pos="8640"/>
              </w:tabs>
              <w:ind w:right="-720"/>
              <w:rPr>
                <w:rFonts w:ascii="Calibri" w:hAnsi="Calibri" w:cs="Lucida Sans Unicode"/>
                <w:sz w:val="20"/>
              </w:rPr>
            </w:pPr>
            <w:r w:rsidRPr="004E50E7">
              <w:rPr>
                <w:rFonts w:ascii="Calibri" w:hAnsi="Calibri" w:cs="Lucida Sans Unicode"/>
                <w:sz w:val="20"/>
                <w:szCs w:val="22"/>
              </w:rPr>
              <w:t>Total # Housing Units</w:t>
            </w:r>
          </w:p>
        </w:tc>
        <w:tc>
          <w:tcPr>
            <w:tcW w:w="1076" w:type="dxa"/>
            <w:tcBorders>
              <w:top w:val="single" w:sz="6" w:space="0" w:color="auto"/>
              <w:left w:val="single" w:sz="6" w:space="0" w:color="auto"/>
              <w:bottom w:val="single" w:sz="6" w:space="0" w:color="auto"/>
              <w:right w:val="single" w:sz="6" w:space="0" w:color="auto"/>
            </w:tcBorders>
          </w:tcPr>
          <w:p w14:paraId="0DE546ED"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10,405</w:t>
            </w:r>
          </w:p>
        </w:tc>
        <w:tc>
          <w:tcPr>
            <w:tcW w:w="897" w:type="dxa"/>
            <w:tcBorders>
              <w:top w:val="single" w:sz="6" w:space="0" w:color="auto"/>
              <w:left w:val="single" w:sz="6" w:space="0" w:color="auto"/>
              <w:bottom w:val="single" w:sz="6" w:space="0" w:color="auto"/>
              <w:right w:val="single" w:sz="6" w:space="0" w:color="auto"/>
            </w:tcBorders>
          </w:tcPr>
          <w:p w14:paraId="2FDE9BE9"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100.0</w:t>
            </w:r>
          </w:p>
        </w:tc>
        <w:tc>
          <w:tcPr>
            <w:tcW w:w="897" w:type="dxa"/>
            <w:tcBorders>
              <w:top w:val="single" w:sz="6" w:space="0" w:color="auto"/>
              <w:left w:val="single" w:sz="6" w:space="0" w:color="auto"/>
              <w:bottom w:val="single" w:sz="6" w:space="0" w:color="auto"/>
              <w:right w:val="single" w:sz="6" w:space="0" w:color="auto"/>
            </w:tcBorders>
          </w:tcPr>
          <w:p w14:paraId="0A0FFAC3"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10,846</w:t>
            </w:r>
          </w:p>
        </w:tc>
        <w:tc>
          <w:tcPr>
            <w:tcW w:w="897" w:type="dxa"/>
            <w:tcBorders>
              <w:top w:val="single" w:sz="6" w:space="0" w:color="auto"/>
              <w:left w:val="single" w:sz="6" w:space="0" w:color="auto"/>
              <w:bottom w:val="single" w:sz="6" w:space="0" w:color="auto"/>
              <w:right w:val="single" w:sz="6" w:space="0" w:color="auto"/>
            </w:tcBorders>
          </w:tcPr>
          <w:p w14:paraId="2213B866"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100.0</w:t>
            </w:r>
          </w:p>
        </w:tc>
        <w:tc>
          <w:tcPr>
            <w:tcW w:w="938" w:type="dxa"/>
            <w:tcBorders>
              <w:top w:val="single" w:sz="4" w:space="0" w:color="auto"/>
              <w:bottom w:val="single" w:sz="4" w:space="0" w:color="auto"/>
              <w:right w:val="single" w:sz="4" w:space="0" w:color="auto"/>
            </w:tcBorders>
            <w:shd w:val="clear" w:color="auto" w:fill="auto"/>
          </w:tcPr>
          <w:p w14:paraId="6995E550" w14:textId="77777777" w:rsidR="00A66C1A" w:rsidRPr="004E50E7" w:rsidRDefault="00A66C1A" w:rsidP="008F2513">
            <w:pPr>
              <w:pStyle w:val="BalloonText"/>
              <w:rPr>
                <w:rFonts w:ascii="Calibri" w:hAnsi="Calibri" w:cs="Lucida Sans Unicode"/>
                <w:sz w:val="20"/>
                <w:szCs w:val="22"/>
              </w:rPr>
            </w:pPr>
            <w:r w:rsidRPr="004E50E7">
              <w:rPr>
                <w:rFonts w:ascii="Calibri" w:hAnsi="Calibri" w:cs="Lucida Sans Unicode"/>
                <w:sz w:val="20"/>
                <w:szCs w:val="22"/>
              </w:rPr>
              <w:t>11,122</w:t>
            </w:r>
          </w:p>
        </w:tc>
        <w:tc>
          <w:tcPr>
            <w:tcW w:w="742" w:type="dxa"/>
            <w:tcBorders>
              <w:top w:val="single" w:sz="4" w:space="0" w:color="auto"/>
              <w:bottom w:val="single" w:sz="4" w:space="0" w:color="auto"/>
              <w:right w:val="single" w:sz="4" w:space="0" w:color="auto"/>
            </w:tcBorders>
            <w:shd w:val="clear" w:color="auto" w:fill="auto"/>
          </w:tcPr>
          <w:p w14:paraId="368B1A1C"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100.0</w:t>
            </w:r>
          </w:p>
        </w:tc>
        <w:tc>
          <w:tcPr>
            <w:tcW w:w="900" w:type="dxa"/>
            <w:tcBorders>
              <w:top w:val="single" w:sz="4" w:space="0" w:color="auto"/>
              <w:bottom w:val="single" w:sz="4" w:space="0" w:color="auto"/>
              <w:right w:val="single" w:sz="4" w:space="0" w:color="auto"/>
            </w:tcBorders>
            <w:shd w:val="clear" w:color="auto" w:fill="auto"/>
          </w:tcPr>
          <w:p w14:paraId="1ABF8DDC" w14:textId="77777777" w:rsidR="001F24C4" w:rsidRDefault="00FB5E9A" w:rsidP="00A66C1A">
            <w:pPr>
              <w:rPr>
                <w:rFonts w:ascii="Calibri" w:hAnsi="Calibri" w:cs="Lucida Sans Unicode"/>
                <w:sz w:val="20"/>
              </w:rPr>
            </w:pPr>
            <w:r>
              <w:rPr>
                <w:rFonts w:ascii="Calibri" w:hAnsi="Calibri" w:cs="Lucida Sans Unicode"/>
                <w:sz w:val="20"/>
                <w:szCs w:val="22"/>
              </w:rPr>
              <w:t>11,891</w:t>
            </w:r>
            <w:r w:rsidR="001F24C4">
              <w:rPr>
                <w:rFonts w:ascii="Calibri" w:hAnsi="Calibri" w:cs="Lucida Sans Unicode"/>
                <w:sz w:val="20"/>
                <w:szCs w:val="22"/>
              </w:rPr>
              <w:t>/</w:t>
            </w:r>
          </w:p>
          <w:p w14:paraId="11757B2B" w14:textId="01CD1FFF" w:rsidR="001F24C4" w:rsidRPr="004E50E7" w:rsidRDefault="001F24C4" w:rsidP="00A66C1A">
            <w:pPr>
              <w:rPr>
                <w:rFonts w:ascii="Calibri" w:hAnsi="Calibri" w:cs="Lucida Sans Unicode"/>
                <w:sz w:val="20"/>
              </w:rPr>
            </w:pPr>
            <w:r>
              <w:rPr>
                <w:rFonts w:ascii="Calibri" w:hAnsi="Calibri" w:cs="Lucida Sans Unicode"/>
                <w:sz w:val="20"/>
                <w:szCs w:val="22"/>
              </w:rPr>
              <w:t>11,211</w:t>
            </w:r>
            <w:r w:rsidR="00EF2AE0">
              <w:rPr>
                <w:rFonts w:ascii="Calibri" w:hAnsi="Calibri" w:cs="Lucida Sans Unicode"/>
                <w:sz w:val="20"/>
                <w:szCs w:val="22"/>
              </w:rPr>
              <w:t>*</w:t>
            </w:r>
          </w:p>
        </w:tc>
        <w:tc>
          <w:tcPr>
            <w:tcW w:w="878" w:type="dxa"/>
            <w:tcBorders>
              <w:top w:val="single" w:sz="4" w:space="0" w:color="auto"/>
              <w:bottom w:val="single" w:sz="4" w:space="0" w:color="auto"/>
              <w:right w:val="single" w:sz="4" w:space="0" w:color="auto"/>
            </w:tcBorders>
            <w:shd w:val="clear" w:color="auto" w:fill="auto"/>
          </w:tcPr>
          <w:p w14:paraId="0FE197B2" w14:textId="77777777" w:rsidR="00A66C1A" w:rsidRDefault="00FB5E9A" w:rsidP="00A66C1A">
            <w:pPr>
              <w:rPr>
                <w:rFonts w:ascii="Calibri" w:hAnsi="Calibri" w:cs="Lucida Sans Unicode"/>
                <w:sz w:val="20"/>
              </w:rPr>
            </w:pPr>
            <w:r>
              <w:rPr>
                <w:rFonts w:ascii="Calibri" w:hAnsi="Calibri" w:cs="Lucida Sans Unicode"/>
                <w:sz w:val="20"/>
                <w:szCs w:val="22"/>
              </w:rPr>
              <w:t>100.0</w:t>
            </w:r>
            <w:r w:rsidR="00861914">
              <w:rPr>
                <w:rFonts w:ascii="Calibri" w:hAnsi="Calibri" w:cs="Lucida Sans Unicode"/>
                <w:sz w:val="20"/>
                <w:szCs w:val="22"/>
              </w:rPr>
              <w:t>/</w:t>
            </w:r>
          </w:p>
          <w:p w14:paraId="6302CFAD" w14:textId="3EEBBBC9" w:rsidR="00861914" w:rsidRPr="004E50E7" w:rsidRDefault="00861914" w:rsidP="00A66C1A">
            <w:pPr>
              <w:rPr>
                <w:rFonts w:ascii="Calibri" w:hAnsi="Calibri" w:cs="Lucida Sans Unicode"/>
                <w:sz w:val="20"/>
              </w:rPr>
            </w:pPr>
            <w:r>
              <w:rPr>
                <w:rFonts w:ascii="Calibri" w:hAnsi="Calibri" w:cs="Lucida Sans Unicode"/>
                <w:sz w:val="20"/>
                <w:szCs w:val="22"/>
              </w:rPr>
              <w:t>100.0</w:t>
            </w:r>
          </w:p>
        </w:tc>
      </w:tr>
      <w:tr w:rsidR="00A66C1A" w:rsidRPr="004E50E7" w14:paraId="6C4746A6"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7B1021F3"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Occupied Units *</w:t>
            </w:r>
          </w:p>
        </w:tc>
        <w:tc>
          <w:tcPr>
            <w:tcW w:w="1076" w:type="dxa"/>
            <w:tcBorders>
              <w:top w:val="single" w:sz="6" w:space="0" w:color="auto"/>
              <w:left w:val="single" w:sz="6" w:space="0" w:color="auto"/>
              <w:bottom w:val="single" w:sz="6" w:space="0" w:color="auto"/>
              <w:right w:val="single" w:sz="6" w:space="0" w:color="auto"/>
            </w:tcBorders>
          </w:tcPr>
          <w:p w14:paraId="34F36C47"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10,160</w:t>
            </w:r>
          </w:p>
        </w:tc>
        <w:tc>
          <w:tcPr>
            <w:tcW w:w="897" w:type="dxa"/>
            <w:tcBorders>
              <w:top w:val="single" w:sz="6" w:space="0" w:color="auto"/>
              <w:left w:val="single" w:sz="6" w:space="0" w:color="auto"/>
              <w:bottom w:val="single" w:sz="6" w:space="0" w:color="auto"/>
              <w:right w:val="single" w:sz="6" w:space="0" w:color="auto"/>
            </w:tcBorders>
          </w:tcPr>
          <w:p w14:paraId="798DA326"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97.6</w:t>
            </w:r>
          </w:p>
        </w:tc>
        <w:tc>
          <w:tcPr>
            <w:tcW w:w="897" w:type="dxa"/>
            <w:tcBorders>
              <w:top w:val="single" w:sz="6" w:space="0" w:color="auto"/>
              <w:left w:val="single" w:sz="6" w:space="0" w:color="auto"/>
              <w:bottom w:val="single" w:sz="6" w:space="0" w:color="auto"/>
              <w:right w:val="single" w:sz="6" w:space="0" w:color="auto"/>
            </w:tcBorders>
          </w:tcPr>
          <w:p w14:paraId="49B8F452"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10,612</w:t>
            </w:r>
          </w:p>
        </w:tc>
        <w:tc>
          <w:tcPr>
            <w:tcW w:w="897" w:type="dxa"/>
            <w:tcBorders>
              <w:top w:val="single" w:sz="6" w:space="0" w:color="auto"/>
              <w:left w:val="single" w:sz="6" w:space="0" w:color="auto"/>
              <w:bottom w:val="single" w:sz="6" w:space="0" w:color="auto"/>
              <w:right w:val="single" w:sz="6" w:space="0" w:color="auto"/>
            </w:tcBorders>
          </w:tcPr>
          <w:p w14:paraId="5781D005"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97.8</w:t>
            </w:r>
          </w:p>
        </w:tc>
        <w:tc>
          <w:tcPr>
            <w:tcW w:w="938" w:type="dxa"/>
            <w:tcBorders>
              <w:top w:val="single" w:sz="4" w:space="0" w:color="auto"/>
              <w:bottom w:val="single" w:sz="4" w:space="0" w:color="auto"/>
              <w:right w:val="single" w:sz="4" w:space="0" w:color="auto"/>
            </w:tcBorders>
            <w:shd w:val="clear" w:color="auto" w:fill="auto"/>
          </w:tcPr>
          <w:p w14:paraId="2A162EAD"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10,341</w:t>
            </w:r>
          </w:p>
        </w:tc>
        <w:tc>
          <w:tcPr>
            <w:tcW w:w="742" w:type="dxa"/>
            <w:tcBorders>
              <w:top w:val="single" w:sz="4" w:space="0" w:color="auto"/>
              <w:bottom w:val="single" w:sz="4" w:space="0" w:color="auto"/>
              <w:right w:val="single" w:sz="4" w:space="0" w:color="auto"/>
            </w:tcBorders>
            <w:shd w:val="clear" w:color="auto" w:fill="auto"/>
          </w:tcPr>
          <w:p w14:paraId="30097B0A"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93.0</w:t>
            </w:r>
          </w:p>
        </w:tc>
        <w:tc>
          <w:tcPr>
            <w:tcW w:w="900" w:type="dxa"/>
            <w:tcBorders>
              <w:top w:val="single" w:sz="4" w:space="0" w:color="auto"/>
              <w:bottom w:val="single" w:sz="4" w:space="0" w:color="auto"/>
              <w:right w:val="single" w:sz="4" w:space="0" w:color="auto"/>
            </w:tcBorders>
            <w:shd w:val="clear" w:color="auto" w:fill="auto"/>
          </w:tcPr>
          <w:p w14:paraId="60F3B6D9" w14:textId="77777777" w:rsidR="00A66C1A" w:rsidRDefault="00FB5E9A" w:rsidP="00A66C1A">
            <w:pPr>
              <w:rPr>
                <w:rFonts w:ascii="Calibri" w:hAnsi="Calibri" w:cs="Lucida Sans Unicode"/>
                <w:sz w:val="20"/>
              </w:rPr>
            </w:pPr>
            <w:r>
              <w:rPr>
                <w:rFonts w:ascii="Calibri" w:hAnsi="Calibri" w:cs="Lucida Sans Unicode"/>
                <w:sz w:val="20"/>
                <w:szCs w:val="22"/>
              </w:rPr>
              <w:t>11,282</w:t>
            </w:r>
            <w:r w:rsidR="001F24C4">
              <w:rPr>
                <w:rFonts w:ascii="Calibri" w:hAnsi="Calibri" w:cs="Lucida Sans Unicode"/>
                <w:sz w:val="20"/>
                <w:szCs w:val="22"/>
              </w:rPr>
              <w:t>/</w:t>
            </w:r>
          </w:p>
          <w:p w14:paraId="76C20074" w14:textId="355135E1" w:rsidR="001F24C4" w:rsidRPr="004E50E7" w:rsidRDefault="001F24C4" w:rsidP="00A66C1A">
            <w:pPr>
              <w:rPr>
                <w:rFonts w:ascii="Calibri" w:hAnsi="Calibri" w:cs="Lucida Sans Unicode"/>
                <w:sz w:val="20"/>
              </w:rPr>
            </w:pPr>
            <w:r>
              <w:rPr>
                <w:rFonts w:ascii="Calibri" w:hAnsi="Calibri" w:cs="Lucida Sans Unicode"/>
                <w:sz w:val="20"/>
                <w:szCs w:val="22"/>
              </w:rPr>
              <w:t>10,765</w:t>
            </w:r>
            <w:r w:rsidR="00EF2AE0">
              <w:rPr>
                <w:rFonts w:ascii="Calibri" w:hAnsi="Calibri" w:cs="Lucida Sans Unicode"/>
                <w:sz w:val="20"/>
                <w:szCs w:val="22"/>
              </w:rPr>
              <w:t>*</w:t>
            </w:r>
          </w:p>
        </w:tc>
        <w:tc>
          <w:tcPr>
            <w:tcW w:w="878" w:type="dxa"/>
            <w:tcBorders>
              <w:top w:val="single" w:sz="4" w:space="0" w:color="auto"/>
              <w:bottom w:val="single" w:sz="4" w:space="0" w:color="auto"/>
              <w:right w:val="single" w:sz="4" w:space="0" w:color="auto"/>
            </w:tcBorders>
            <w:shd w:val="clear" w:color="auto" w:fill="auto"/>
          </w:tcPr>
          <w:p w14:paraId="1AC46703" w14:textId="77777777" w:rsidR="001F24C4" w:rsidRDefault="00FB5E9A" w:rsidP="00A66C1A">
            <w:pPr>
              <w:rPr>
                <w:rFonts w:ascii="Calibri" w:hAnsi="Calibri" w:cs="Lucida Sans Unicode"/>
                <w:sz w:val="20"/>
              </w:rPr>
            </w:pPr>
            <w:r>
              <w:rPr>
                <w:rFonts w:ascii="Calibri" w:hAnsi="Calibri" w:cs="Lucida Sans Unicode"/>
                <w:sz w:val="20"/>
                <w:szCs w:val="22"/>
              </w:rPr>
              <w:t>94.9</w:t>
            </w:r>
            <w:r w:rsidR="001F24C4">
              <w:rPr>
                <w:rFonts w:ascii="Calibri" w:hAnsi="Calibri" w:cs="Lucida Sans Unicode"/>
                <w:sz w:val="20"/>
                <w:szCs w:val="22"/>
              </w:rPr>
              <w:t>/</w:t>
            </w:r>
          </w:p>
          <w:p w14:paraId="0B984978" w14:textId="7358F22D" w:rsidR="001F24C4" w:rsidRPr="004E50E7" w:rsidRDefault="001F24C4" w:rsidP="00A66C1A">
            <w:pPr>
              <w:rPr>
                <w:rFonts w:ascii="Calibri" w:hAnsi="Calibri" w:cs="Lucida Sans Unicode"/>
                <w:sz w:val="20"/>
              </w:rPr>
            </w:pPr>
            <w:r>
              <w:rPr>
                <w:rFonts w:ascii="Calibri" w:hAnsi="Calibri" w:cs="Lucida Sans Unicode"/>
                <w:sz w:val="20"/>
                <w:szCs w:val="22"/>
              </w:rPr>
              <w:t>96.0</w:t>
            </w:r>
          </w:p>
        </w:tc>
      </w:tr>
      <w:tr w:rsidR="00A66C1A" w:rsidRPr="004E50E7" w14:paraId="45992185"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056E4824"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Total Vacant Units*</w:t>
            </w:r>
          </w:p>
        </w:tc>
        <w:tc>
          <w:tcPr>
            <w:tcW w:w="1076" w:type="dxa"/>
            <w:tcBorders>
              <w:top w:val="single" w:sz="6" w:space="0" w:color="auto"/>
              <w:left w:val="single" w:sz="6" w:space="0" w:color="auto"/>
              <w:bottom w:val="single" w:sz="6" w:space="0" w:color="auto"/>
              <w:right w:val="single" w:sz="6" w:space="0" w:color="auto"/>
            </w:tcBorders>
          </w:tcPr>
          <w:p w14:paraId="72D24E0A"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245</w:t>
            </w:r>
          </w:p>
        </w:tc>
        <w:tc>
          <w:tcPr>
            <w:tcW w:w="897" w:type="dxa"/>
            <w:tcBorders>
              <w:top w:val="single" w:sz="6" w:space="0" w:color="auto"/>
              <w:left w:val="single" w:sz="6" w:space="0" w:color="auto"/>
              <w:bottom w:val="single" w:sz="6" w:space="0" w:color="auto"/>
              <w:right w:val="single" w:sz="6" w:space="0" w:color="auto"/>
            </w:tcBorders>
          </w:tcPr>
          <w:p w14:paraId="0908C1FC"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2.4</w:t>
            </w:r>
          </w:p>
        </w:tc>
        <w:tc>
          <w:tcPr>
            <w:tcW w:w="897" w:type="dxa"/>
            <w:tcBorders>
              <w:top w:val="single" w:sz="6" w:space="0" w:color="auto"/>
              <w:left w:val="single" w:sz="6" w:space="0" w:color="auto"/>
              <w:bottom w:val="single" w:sz="6" w:space="0" w:color="auto"/>
              <w:right w:val="single" w:sz="6" w:space="0" w:color="auto"/>
            </w:tcBorders>
          </w:tcPr>
          <w:p w14:paraId="300686D6"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234</w:t>
            </w:r>
          </w:p>
        </w:tc>
        <w:tc>
          <w:tcPr>
            <w:tcW w:w="897" w:type="dxa"/>
            <w:tcBorders>
              <w:top w:val="single" w:sz="6" w:space="0" w:color="auto"/>
              <w:left w:val="single" w:sz="6" w:space="0" w:color="auto"/>
              <w:bottom w:val="single" w:sz="6" w:space="0" w:color="auto"/>
              <w:right w:val="single" w:sz="6" w:space="0" w:color="auto"/>
            </w:tcBorders>
          </w:tcPr>
          <w:p w14:paraId="056F929E"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2.2</w:t>
            </w:r>
          </w:p>
        </w:tc>
        <w:tc>
          <w:tcPr>
            <w:tcW w:w="938" w:type="dxa"/>
            <w:tcBorders>
              <w:top w:val="single" w:sz="4" w:space="0" w:color="auto"/>
              <w:bottom w:val="single" w:sz="4" w:space="0" w:color="auto"/>
              <w:right w:val="single" w:sz="4" w:space="0" w:color="auto"/>
            </w:tcBorders>
            <w:shd w:val="clear" w:color="auto" w:fill="auto"/>
          </w:tcPr>
          <w:p w14:paraId="245866D4" w14:textId="77777777" w:rsidR="00A66C1A" w:rsidRPr="004E50E7" w:rsidRDefault="00A66C1A" w:rsidP="008F2513">
            <w:pPr>
              <w:pStyle w:val="FootnoteText"/>
              <w:rPr>
                <w:rFonts w:ascii="Calibri" w:hAnsi="Calibri" w:cs="Lucida Sans Unicode"/>
                <w:szCs w:val="22"/>
              </w:rPr>
            </w:pPr>
            <w:r w:rsidRPr="004E50E7">
              <w:rPr>
                <w:rFonts w:ascii="Calibri" w:hAnsi="Calibri" w:cs="Lucida Sans Unicode"/>
                <w:szCs w:val="22"/>
              </w:rPr>
              <w:t>781</w:t>
            </w:r>
          </w:p>
        </w:tc>
        <w:tc>
          <w:tcPr>
            <w:tcW w:w="742" w:type="dxa"/>
            <w:tcBorders>
              <w:top w:val="single" w:sz="4" w:space="0" w:color="auto"/>
              <w:bottom w:val="single" w:sz="4" w:space="0" w:color="auto"/>
              <w:right w:val="single" w:sz="4" w:space="0" w:color="auto"/>
            </w:tcBorders>
            <w:shd w:val="clear" w:color="auto" w:fill="auto"/>
          </w:tcPr>
          <w:p w14:paraId="6E6DAC07"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7.0</w:t>
            </w:r>
          </w:p>
        </w:tc>
        <w:tc>
          <w:tcPr>
            <w:tcW w:w="900" w:type="dxa"/>
            <w:tcBorders>
              <w:top w:val="single" w:sz="4" w:space="0" w:color="auto"/>
              <w:bottom w:val="single" w:sz="4" w:space="0" w:color="auto"/>
              <w:right w:val="single" w:sz="4" w:space="0" w:color="auto"/>
            </w:tcBorders>
            <w:shd w:val="clear" w:color="auto" w:fill="auto"/>
          </w:tcPr>
          <w:p w14:paraId="1298563C" w14:textId="77777777" w:rsidR="00A66C1A" w:rsidRDefault="00FB5E9A" w:rsidP="00F12C0A">
            <w:pPr>
              <w:rPr>
                <w:rFonts w:ascii="Calibri" w:hAnsi="Calibri" w:cs="Lucida Sans Unicode"/>
                <w:sz w:val="20"/>
              </w:rPr>
            </w:pPr>
            <w:r>
              <w:rPr>
                <w:rFonts w:ascii="Calibri" w:hAnsi="Calibri" w:cs="Lucida Sans Unicode"/>
                <w:sz w:val="20"/>
                <w:szCs w:val="22"/>
              </w:rPr>
              <w:t>609</w:t>
            </w:r>
            <w:r w:rsidR="001F24C4">
              <w:rPr>
                <w:rFonts w:ascii="Calibri" w:hAnsi="Calibri" w:cs="Lucida Sans Unicode"/>
                <w:sz w:val="20"/>
                <w:szCs w:val="22"/>
              </w:rPr>
              <w:t>/</w:t>
            </w:r>
          </w:p>
          <w:p w14:paraId="006D80A8" w14:textId="078CD415" w:rsidR="001F24C4" w:rsidRPr="004E50E7" w:rsidRDefault="001F24C4" w:rsidP="00F12C0A">
            <w:pPr>
              <w:rPr>
                <w:rFonts w:ascii="Calibri" w:hAnsi="Calibri" w:cs="Lucida Sans Unicode"/>
                <w:sz w:val="20"/>
              </w:rPr>
            </w:pPr>
            <w:r>
              <w:rPr>
                <w:rFonts w:ascii="Calibri" w:hAnsi="Calibri" w:cs="Lucida Sans Unicode"/>
                <w:sz w:val="20"/>
                <w:szCs w:val="22"/>
              </w:rPr>
              <w:t>446</w:t>
            </w:r>
            <w:r w:rsidR="00EF2AE0">
              <w:rPr>
                <w:rFonts w:ascii="Calibri" w:hAnsi="Calibri" w:cs="Lucida Sans Unicode"/>
                <w:sz w:val="20"/>
                <w:szCs w:val="22"/>
              </w:rPr>
              <w:t>*</w:t>
            </w:r>
          </w:p>
        </w:tc>
        <w:tc>
          <w:tcPr>
            <w:tcW w:w="878" w:type="dxa"/>
            <w:tcBorders>
              <w:top w:val="single" w:sz="4" w:space="0" w:color="auto"/>
              <w:bottom w:val="single" w:sz="4" w:space="0" w:color="auto"/>
              <w:right w:val="single" w:sz="4" w:space="0" w:color="auto"/>
            </w:tcBorders>
            <w:shd w:val="clear" w:color="auto" w:fill="auto"/>
          </w:tcPr>
          <w:p w14:paraId="513BF1AA" w14:textId="77777777" w:rsidR="00A66C1A" w:rsidRDefault="00FB5E9A" w:rsidP="00F12C0A">
            <w:pPr>
              <w:rPr>
                <w:rFonts w:ascii="Calibri" w:hAnsi="Calibri" w:cs="Lucida Sans Unicode"/>
                <w:sz w:val="20"/>
              </w:rPr>
            </w:pPr>
            <w:r>
              <w:rPr>
                <w:rFonts w:ascii="Calibri" w:hAnsi="Calibri" w:cs="Lucida Sans Unicode"/>
                <w:sz w:val="20"/>
                <w:szCs w:val="22"/>
              </w:rPr>
              <w:t>5.1</w:t>
            </w:r>
            <w:r w:rsidR="001F24C4">
              <w:rPr>
                <w:rFonts w:ascii="Calibri" w:hAnsi="Calibri" w:cs="Lucida Sans Unicode"/>
                <w:sz w:val="20"/>
                <w:szCs w:val="22"/>
              </w:rPr>
              <w:t>/</w:t>
            </w:r>
          </w:p>
          <w:p w14:paraId="03ED671B" w14:textId="1B0D2DC2" w:rsidR="001F24C4" w:rsidRPr="004E50E7" w:rsidRDefault="001F24C4" w:rsidP="00F12C0A">
            <w:pPr>
              <w:rPr>
                <w:rFonts w:ascii="Calibri" w:hAnsi="Calibri" w:cs="Lucida Sans Unicode"/>
                <w:sz w:val="20"/>
              </w:rPr>
            </w:pPr>
            <w:r>
              <w:rPr>
                <w:rFonts w:ascii="Calibri" w:hAnsi="Calibri" w:cs="Lucida Sans Unicode"/>
                <w:sz w:val="20"/>
                <w:szCs w:val="22"/>
              </w:rPr>
              <w:t>4.0</w:t>
            </w:r>
          </w:p>
        </w:tc>
      </w:tr>
      <w:tr w:rsidR="00A66C1A" w:rsidRPr="004E50E7" w14:paraId="0923A612"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1EA7BED2"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Occupied Owner Units **</w:t>
            </w:r>
          </w:p>
        </w:tc>
        <w:tc>
          <w:tcPr>
            <w:tcW w:w="1076" w:type="dxa"/>
            <w:tcBorders>
              <w:top w:val="single" w:sz="6" w:space="0" w:color="auto"/>
              <w:left w:val="single" w:sz="6" w:space="0" w:color="auto"/>
              <w:bottom w:val="single" w:sz="6" w:space="0" w:color="auto"/>
              <w:right w:val="single" w:sz="6" w:space="0" w:color="auto"/>
            </w:tcBorders>
          </w:tcPr>
          <w:p w14:paraId="24504E2A"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8,097</w:t>
            </w:r>
          </w:p>
        </w:tc>
        <w:tc>
          <w:tcPr>
            <w:tcW w:w="897" w:type="dxa"/>
            <w:tcBorders>
              <w:top w:val="single" w:sz="6" w:space="0" w:color="auto"/>
              <w:left w:val="single" w:sz="6" w:space="0" w:color="auto"/>
              <w:bottom w:val="single" w:sz="6" w:space="0" w:color="auto"/>
              <w:right w:val="single" w:sz="6" w:space="0" w:color="auto"/>
            </w:tcBorders>
          </w:tcPr>
          <w:p w14:paraId="37D36CDC"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79.7</w:t>
            </w:r>
          </w:p>
        </w:tc>
        <w:tc>
          <w:tcPr>
            <w:tcW w:w="897" w:type="dxa"/>
            <w:tcBorders>
              <w:top w:val="single" w:sz="6" w:space="0" w:color="auto"/>
              <w:left w:val="single" w:sz="6" w:space="0" w:color="auto"/>
              <w:bottom w:val="single" w:sz="6" w:space="0" w:color="auto"/>
              <w:right w:val="single" w:sz="6" w:space="0" w:color="auto"/>
            </w:tcBorders>
          </w:tcPr>
          <w:p w14:paraId="45041853"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8,587</w:t>
            </w:r>
          </w:p>
        </w:tc>
        <w:tc>
          <w:tcPr>
            <w:tcW w:w="897" w:type="dxa"/>
            <w:tcBorders>
              <w:top w:val="single" w:sz="6" w:space="0" w:color="auto"/>
              <w:left w:val="single" w:sz="6" w:space="0" w:color="auto"/>
              <w:bottom w:val="single" w:sz="6" w:space="0" w:color="auto"/>
              <w:right w:val="single" w:sz="6" w:space="0" w:color="auto"/>
            </w:tcBorders>
          </w:tcPr>
          <w:p w14:paraId="49261147"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80.9</w:t>
            </w:r>
          </w:p>
        </w:tc>
        <w:tc>
          <w:tcPr>
            <w:tcW w:w="938" w:type="dxa"/>
            <w:tcBorders>
              <w:top w:val="single" w:sz="4" w:space="0" w:color="auto"/>
              <w:bottom w:val="single" w:sz="4" w:space="0" w:color="auto"/>
              <w:right w:val="single" w:sz="4" w:space="0" w:color="auto"/>
            </w:tcBorders>
            <w:shd w:val="clear" w:color="auto" w:fill="auto"/>
          </w:tcPr>
          <w:p w14:paraId="5471A490"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8,642</w:t>
            </w:r>
          </w:p>
        </w:tc>
        <w:tc>
          <w:tcPr>
            <w:tcW w:w="742" w:type="dxa"/>
            <w:tcBorders>
              <w:top w:val="single" w:sz="4" w:space="0" w:color="auto"/>
              <w:bottom w:val="single" w:sz="4" w:space="0" w:color="auto"/>
              <w:right w:val="single" w:sz="4" w:space="0" w:color="auto"/>
            </w:tcBorders>
            <w:shd w:val="clear" w:color="auto" w:fill="auto"/>
          </w:tcPr>
          <w:p w14:paraId="26C30500"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83.6</w:t>
            </w:r>
          </w:p>
        </w:tc>
        <w:tc>
          <w:tcPr>
            <w:tcW w:w="900" w:type="dxa"/>
            <w:tcBorders>
              <w:top w:val="single" w:sz="4" w:space="0" w:color="auto"/>
              <w:bottom w:val="single" w:sz="4" w:space="0" w:color="auto"/>
              <w:right w:val="single" w:sz="4" w:space="0" w:color="auto"/>
            </w:tcBorders>
            <w:shd w:val="clear" w:color="auto" w:fill="auto"/>
          </w:tcPr>
          <w:p w14:paraId="22A39EED" w14:textId="67748367" w:rsidR="00A66C1A" w:rsidRPr="004E50E7" w:rsidRDefault="00601D22" w:rsidP="00A66C1A">
            <w:pPr>
              <w:rPr>
                <w:rFonts w:ascii="Calibri" w:hAnsi="Calibri" w:cs="Lucida Sans Unicode"/>
                <w:sz w:val="20"/>
              </w:rPr>
            </w:pPr>
            <w:r>
              <w:rPr>
                <w:rFonts w:ascii="Calibri" w:hAnsi="Calibri" w:cs="Lucida Sans Unicode"/>
                <w:sz w:val="20"/>
                <w:szCs w:val="22"/>
              </w:rPr>
              <w:t>9,0</w:t>
            </w:r>
            <w:r w:rsidR="00EF2AE0">
              <w:rPr>
                <w:rFonts w:ascii="Calibri" w:hAnsi="Calibri" w:cs="Lucida Sans Unicode"/>
                <w:sz w:val="20"/>
                <w:szCs w:val="22"/>
              </w:rPr>
              <w:t>92*</w:t>
            </w:r>
          </w:p>
        </w:tc>
        <w:tc>
          <w:tcPr>
            <w:tcW w:w="878" w:type="dxa"/>
            <w:tcBorders>
              <w:top w:val="single" w:sz="4" w:space="0" w:color="auto"/>
              <w:bottom w:val="single" w:sz="4" w:space="0" w:color="auto"/>
              <w:right w:val="single" w:sz="4" w:space="0" w:color="auto"/>
            </w:tcBorders>
            <w:shd w:val="clear" w:color="auto" w:fill="auto"/>
          </w:tcPr>
          <w:p w14:paraId="7A14C056" w14:textId="51566187" w:rsidR="00A66C1A" w:rsidRPr="004E50E7" w:rsidRDefault="00EF2AE0" w:rsidP="00A66C1A">
            <w:pPr>
              <w:rPr>
                <w:rFonts w:ascii="Calibri" w:hAnsi="Calibri" w:cs="Lucida Sans Unicode"/>
                <w:sz w:val="20"/>
              </w:rPr>
            </w:pPr>
            <w:r>
              <w:rPr>
                <w:rFonts w:ascii="Calibri" w:hAnsi="Calibri" w:cs="Lucida Sans Unicode"/>
                <w:sz w:val="20"/>
                <w:szCs w:val="22"/>
              </w:rPr>
              <w:t>84.5</w:t>
            </w:r>
          </w:p>
        </w:tc>
      </w:tr>
      <w:tr w:rsidR="00A66C1A" w:rsidRPr="004E50E7" w14:paraId="246BEF2B"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37A6B9B6"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Occupied Rental Units **</w:t>
            </w:r>
          </w:p>
        </w:tc>
        <w:tc>
          <w:tcPr>
            <w:tcW w:w="1076" w:type="dxa"/>
            <w:tcBorders>
              <w:top w:val="single" w:sz="6" w:space="0" w:color="auto"/>
              <w:left w:val="single" w:sz="6" w:space="0" w:color="auto"/>
              <w:bottom w:val="single" w:sz="6" w:space="0" w:color="auto"/>
              <w:right w:val="single" w:sz="6" w:space="0" w:color="auto"/>
            </w:tcBorders>
          </w:tcPr>
          <w:p w14:paraId="122F454D"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2,063</w:t>
            </w:r>
          </w:p>
        </w:tc>
        <w:tc>
          <w:tcPr>
            <w:tcW w:w="897" w:type="dxa"/>
            <w:tcBorders>
              <w:top w:val="single" w:sz="6" w:space="0" w:color="auto"/>
              <w:left w:val="single" w:sz="6" w:space="0" w:color="auto"/>
              <w:bottom w:val="single" w:sz="6" w:space="0" w:color="auto"/>
              <w:right w:val="single" w:sz="6" w:space="0" w:color="auto"/>
            </w:tcBorders>
          </w:tcPr>
          <w:p w14:paraId="3A8247B5"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20.3</w:t>
            </w:r>
          </w:p>
        </w:tc>
        <w:tc>
          <w:tcPr>
            <w:tcW w:w="897" w:type="dxa"/>
            <w:tcBorders>
              <w:top w:val="single" w:sz="6" w:space="0" w:color="auto"/>
              <w:left w:val="single" w:sz="6" w:space="0" w:color="auto"/>
              <w:bottom w:val="single" w:sz="6" w:space="0" w:color="auto"/>
              <w:right w:val="single" w:sz="6" w:space="0" w:color="auto"/>
            </w:tcBorders>
          </w:tcPr>
          <w:p w14:paraId="3305AF17"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2,025</w:t>
            </w:r>
          </w:p>
        </w:tc>
        <w:tc>
          <w:tcPr>
            <w:tcW w:w="897" w:type="dxa"/>
            <w:tcBorders>
              <w:top w:val="single" w:sz="6" w:space="0" w:color="auto"/>
              <w:left w:val="single" w:sz="6" w:space="0" w:color="auto"/>
              <w:bottom w:val="single" w:sz="6" w:space="0" w:color="auto"/>
              <w:right w:val="single" w:sz="6" w:space="0" w:color="auto"/>
            </w:tcBorders>
          </w:tcPr>
          <w:p w14:paraId="7C1AD201"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19.1</w:t>
            </w:r>
          </w:p>
        </w:tc>
        <w:tc>
          <w:tcPr>
            <w:tcW w:w="938" w:type="dxa"/>
            <w:tcBorders>
              <w:top w:val="single" w:sz="4" w:space="0" w:color="auto"/>
              <w:bottom w:val="single" w:sz="4" w:space="0" w:color="auto"/>
              <w:right w:val="single" w:sz="4" w:space="0" w:color="auto"/>
            </w:tcBorders>
            <w:shd w:val="clear" w:color="auto" w:fill="auto"/>
          </w:tcPr>
          <w:p w14:paraId="2BF76999" w14:textId="77777777" w:rsidR="00A66C1A" w:rsidRPr="004E50E7" w:rsidRDefault="00A66C1A" w:rsidP="008F2513">
            <w:pPr>
              <w:pStyle w:val="FootnoteText"/>
              <w:rPr>
                <w:rFonts w:ascii="Calibri" w:hAnsi="Calibri" w:cs="Lucida Sans Unicode"/>
                <w:szCs w:val="22"/>
              </w:rPr>
            </w:pPr>
            <w:r w:rsidRPr="004E50E7">
              <w:rPr>
                <w:rFonts w:ascii="Calibri" w:hAnsi="Calibri" w:cs="Lucida Sans Unicode"/>
                <w:szCs w:val="22"/>
              </w:rPr>
              <w:t>1,699</w:t>
            </w:r>
          </w:p>
        </w:tc>
        <w:tc>
          <w:tcPr>
            <w:tcW w:w="742" w:type="dxa"/>
            <w:tcBorders>
              <w:top w:val="single" w:sz="4" w:space="0" w:color="auto"/>
              <w:bottom w:val="single" w:sz="4" w:space="0" w:color="auto"/>
              <w:right w:val="single" w:sz="4" w:space="0" w:color="auto"/>
            </w:tcBorders>
            <w:shd w:val="clear" w:color="auto" w:fill="auto"/>
          </w:tcPr>
          <w:p w14:paraId="4D9AE886"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16.4</w:t>
            </w:r>
          </w:p>
        </w:tc>
        <w:tc>
          <w:tcPr>
            <w:tcW w:w="900" w:type="dxa"/>
            <w:tcBorders>
              <w:top w:val="single" w:sz="4" w:space="0" w:color="auto"/>
              <w:bottom w:val="single" w:sz="4" w:space="0" w:color="auto"/>
              <w:right w:val="single" w:sz="4" w:space="0" w:color="auto"/>
            </w:tcBorders>
            <w:shd w:val="clear" w:color="auto" w:fill="auto"/>
          </w:tcPr>
          <w:p w14:paraId="4AD743A1" w14:textId="293BD267" w:rsidR="00A66C1A" w:rsidRPr="004E50E7" w:rsidRDefault="00601D22" w:rsidP="00A66C1A">
            <w:pPr>
              <w:rPr>
                <w:rFonts w:ascii="Calibri" w:hAnsi="Calibri" w:cs="Lucida Sans Unicode"/>
                <w:sz w:val="20"/>
              </w:rPr>
            </w:pPr>
            <w:r>
              <w:rPr>
                <w:rFonts w:ascii="Calibri" w:hAnsi="Calibri" w:cs="Lucida Sans Unicode"/>
                <w:sz w:val="20"/>
                <w:szCs w:val="22"/>
              </w:rPr>
              <w:t>1,</w:t>
            </w:r>
            <w:r w:rsidR="00EF2AE0">
              <w:rPr>
                <w:rFonts w:ascii="Calibri" w:hAnsi="Calibri" w:cs="Lucida Sans Unicode"/>
                <w:sz w:val="20"/>
                <w:szCs w:val="22"/>
              </w:rPr>
              <w:t>6</w:t>
            </w:r>
            <w:r>
              <w:rPr>
                <w:rFonts w:ascii="Calibri" w:hAnsi="Calibri" w:cs="Lucida Sans Unicode"/>
                <w:sz w:val="20"/>
                <w:szCs w:val="22"/>
              </w:rPr>
              <w:t>73</w:t>
            </w:r>
            <w:r w:rsidR="00EF2AE0">
              <w:rPr>
                <w:rFonts w:ascii="Calibri" w:hAnsi="Calibri" w:cs="Lucida Sans Unicode"/>
                <w:sz w:val="20"/>
                <w:szCs w:val="22"/>
              </w:rPr>
              <w:t>*</w:t>
            </w:r>
          </w:p>
        </w:tc>
        <w:tc>
          <w:tcPr>
            <w:tcW w:w="878" w:type="dxa"/>
            <w:tcBorders>
              <w:top w:val="single" w:sz="4" w:space="0" w:color="auto"/>
              <w:bottom w:val="single" w:sz="4" w:space="0" w:color="auto"/>
              <w:right w:val="single" w:sz="4" w:space="0" w:color="auto"/>
            </w:tcBorders>
            <w:shd w:val="clear" w:color="auto" w:fill="auto"/>
          </w:tcPr>
          <w:p w14:paraId="3F4A675B" w14:textId="34D18C8F" w:rsidR="00A66C1A" w:rsidRPr="004E50E7" w:rsidRDefault="00EF2AE0" w:rsidP="00A66C1A">
            <w:pPr>
              <w:rPr>
                <w:rFonts w:ascii="Calibri" w:hAnsi="Calibri" w:cs="Lucida Sans Unicode"/>
                <w:sz w:val="20"/>
              </w:rPr>
            </w:pPr>
            <w:r>
              <w:rPr>
                <w:rFonts w:ascii="Calibri" w:hAnsi="Calibri" w:cs="Lucida Sans Unicode"/>
                <w:sz w:val="20"/>
                <w:szCs w:val="22"/>
              </w:rPr>
              <w:t>15.5</w:t>
            </w:r>
          </w:p>
        </w:tc>
      </w:tr>
      <w:tr w:rsidR="00A66C1A" w:rsidRPr="004E50E7" w14:paraId="5D4AB2D0"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5BC307AE"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Average Household Size/</w:t>
            </w:r>
          </w:p>
          <w:p w14:paraId="640A8DDA" w14:textId="7F995A99"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Owner</w:t>
            </w:r>
            <w:r w:rsidR="00EF2AE0">
              <w:rPr>
                <w:rFonts w:ascii="Calibri" w:hAnsi="Calibri" w:cs="Lucida Sans Unicode"/>
                <w:sz w:val="20"/>
                <w:szCs w:val="22"/>
              </w:rPr>
              <w:t>-o</w:t>
            </w:r>
            <w:r w:rsidRPr="004E50E7">
              <w:rPr>
                <w:rFonts w:ascii="Calibri" w:hAnsi="Calibri" w:cs="Lucida Sans Unicode"/>
                <w:sz w:val="20"/>
                <w:szCs w:val="22"/>
              </w:rPr>
              <w:t xml:space="preserve">ccupied Unit </w:t>
            </w:r>
          </w:p>
        </w:tc>
        <w:tc>
          <w:tcPr>
            <w:tcW w:w="1973" w:type="dxa"/>
            <w:gridSpan w:val="2"/>
            <w:tcBorders>
              <w:top w:val="single" w:sz="6" w:space="0" w:color="auto"/>
              <w:left w:val="single" w:sz="6" w:space="0" w:color="auto"/>
              <w:bottom w:val="single" w:sz="6" w:space="0" w:color="auto"/>
              <w:right w:val="single" w:sz="6" w:space="0" w:color="auto"/>
            </w:tcBorders>
          </w:tcPr>
          <w:p w14:paraId="03F0D6C4"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2.83 persons</w:t>
            </w:r>
          </w:p>
        </w:tc>
        <w:tc>
          <w:tcPr>
            <w:tcW w:w="1794" w:type="dxa"/>
            <w:gridSpan w:val="2"/>
            <w:tcBorders>
              <w:top w:val="single" w:sz="6" w:space="0" w:color="auto"/>
              <w:left w:val="single" w:sz="6" w:space="0" w:color="auto"/>
              <w:bottom w:val="single" w:sz="6" w:space="0" w:color="auto"/>
              <w:right w:val="single" w:sz="6" w:space="0" w:color="auto"/>
            </w:tcBorders>
          </w:tcPr>
          <w:p w14:paraId="496BC643"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2.82 persons</w:t>
            </w:r>
          </w:p>
        </w:tc>
        <w:tc>
          <w:tcPr>
            <w:tcW w:w="1680" w:type="dxa"/>
            <w:gridSpan w:val="2"/>
            <w:tcBorders>
              <w:top w:val="single" w:sz="4" w:space="0" w:color="auto"/>
              <w:bottom w:val="single" w:sz="4" w:space="0" w:color="auto"/>
              <w:right w:val="single" w:sz="4" w:space="0" w:color="auto"/>
            </w:tcBorders>
            <w:shd w:val="clear" w:color="auto" w:fill="auto"/>
          </w:tcPr>
          <w:p w14:paraId="46A1E6DC"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2.88 persons</w:t>
            </w:r>
          </w:p>
        </w:tc>
        <w:tc>
          <w:tcPr>
            <w:tcW w:w="1778" w:type="dxa"/>
            <w:gridSpan w:val="2"/>
            <w:tcBorders>
              <w:top w:val="single" w:sz="4" w:space="0" w:color="auto"/>
              <w:bottom w:val="single" w:sz="4" w:space="0" w:color="auto"/>
              <w:right w:val="single" w:sz="4" w:space="0" w:color="auto"/>
            </w:tcBorders>
            <w:shd w:val="clear" w:color="auto" w:fill="auto"/>
          </w:tcPr>
          <w:p w14:paraId="4C225CB0" w14:textId="7C9C00EE" w:rsidR="00A66C1A" w:rsidRPr="004E50E7" w:rsidRDefault="00EF2AE0" w:rsidP="00A66C1A">
            <w:pPr>
              <w:rPr>
                <w:rFonts w:ascii="Calibri" w:hAnsi="Calibri" w:cs="Lucida Sans Unicode"/>
                <w:sz w:val="20"/>
              </w:rPr>
            </w:pPr>
            <w:r>
              <w:rPr>
                <w:rFonts w:ascii="Calibri" w:hAnsi="Calibri" w:cs="Lucida Sans Unicode"/>
                <w:sz w:val="20"/>
                <w:szCs w:val="22"/>
              </w:rPr>
              <w:t>3.03*</w:t>
            </w:r>
            <w:r w:rsidR="00601D22">
              <w:rPr>
                <w:rFonts w:ascii="Calibri" w:hAnsi="Calibri" w:cs="Lucida Sans Unicode"/>
                <w:sz w:val="20"/>
                <w:szCs w:val="22"/>
              </w:rPr>
              <w:t xml:space="preserve"> persons</w:t>
            </w:r>
          </w:p>
        </w:tc>
      </w:tr>
      <w:tr w:rsidR="00A66C1A" w:rsidRPr="004E50E7" w14:paraId="515FB86D" w14:textId="77777777" w:rsidTr="00594B35">
        <w:trPr>
          <w:cantSplit/>
        </w:trPr>
        <w:tc>
          <w:tcPr>
            <w:tcW w:w="2333" w:type="dxa"/>
            <w:tcBorders>
              <w:top w:val="single" w:sz="6" w:space="0" w:color="auto"/>
              <w:left w:val="single" w:sz="6" w:space="0" w:color="auto"/>
              <w:bottom w:val="single" w:sz="6" w:space="0" w:color="auto"/>
              <w:right w:val="single" w:sz="6" w:space="0" w:color="auto"/>
            </w:tcBorders>
          </w:tcPr>
          <w:p w14:paraId="15BABE77"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Average Household Size/</w:t>
            </w:r>
          </w:p>
          <w:p w14:paraId="38299A19" w14:textId="477E609D"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Renter</w:t>
            </w:r>
            <w:r w:rsidR="00EF2AE0">
              <w:rPr>
                <w:rFonts w:ascii="Calibri" w:hAnsi="Calibri" w:cs="Lucida Sans Unicode"/>
                <w:sz w:val="20"/>
                <w:szCs w:val="22"/>
              </w:rPr>
              <w:t>-o</w:t>
            </w:r>
            <w:r w:rsidRPr="004E50E7">
              <w:rPr>
                <w:rFonts w:ascii="Calibri" w:hAnsi="Calibri" w:cs="Lucida Sans Unicode"/>
                <w:sz w:val="20"/>
                <w:szCs w:val="22"/>
              </w:rPr>
              <w:t xml:space="preserve">ccupied Unit </w:t>
            </w:r>
          </w:p>
        </w:tc>
        <w:tc>
          <w:tcPr>
            <w:tcW w:w="1973" w:type="dxa"/>
            <w:gridSpan w:val="2"/>
            <w:tcBorders>
              <w:top w:val="single" w:sz="6" w:space="0" w:color="auto"/>
              <w:left w:val="single" w:sz="6" w:space="0" w:color="auto"/>
              <w:bottom w:val="single" w:sz="6" w:space="0" w:color="auto"/>
              <w:right w:val="single" w:sz="6" w:space="0" w:color="auto"/>
            </w:tcBorders>
          </w:tcPr>
          <w:p w14:paraId="2F0973C5"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2.02 persons</w:t>
            </w:r>
          </w:p>
        </w:tc>
        <w:tc>
          <w:tcPr>
            <w:tcW w:w="1794" w:type="dxa"/>
            <w:gridSpan w:val="2"/>
            <w:tcBorders>
              <w:top w:val="single" w:sz="6" w:space="0" w:color="auto"/>
              <w:left w:val="single" w:sz="6" w:space="0" w:color="auto"/>
              <w:bottom w:val="single" w:sz="6" w:space="0" w:color="auto"/>
              <w:right w:val="single" w:sz="6" w:space="0" w:color="auto"/>
            </w:tcBorders>
          </w:tcPr>
          <w:p w14:paraId="18AB195F" w14:textId="77777777" w:rsidR="00A66C1A" w:rsidRPr="004E50E7" w:rsidRDefault="00A66C1A" w:rsidP="008F2513">
            <w:pPr>
              <w:ind w:right="-720"/>
              <w:rPr>
                <w:rFonts w:ascii="Calibri" w:hAnsi="Calibri" w:cs="Lucida Sans Unicode"/>
                <w:sz w:val="20"/>
              </w:rPr>
            </w:pPr>
            <w:r w:rsidRPr="004E50E7">
              <w:rPr>
                <w:rFonts w:ascii="Calibri" w:hAnsi="Calibri" w:cs="Lucida Sans Unicode"/>
                <w:sz w:val="20"/>
                <w:szCs w:val="22"/>
              </w:rPr>
              <w:t>1.84 persons</w:t>
            </w:r>
          </w:p>
        </w:tc>
        <w:tc>
          <w:tcPr>
            <w:tcW w:w="1680" w:type="dxa"/>
            <w:gridSpan w:val="2"/>
            <w:tcBorders>
              <w:top w:val="single" w:sz="4" w:space="0" w:color="auto"/>
              <w:bottom w:val="single" w:sz="4" w:space="0" w:color="auto"/>
              <w:right w:val="single" w:sz="4" w:space="0" w:color="auto"/>
            </w:tcBorders>
            <w:shd w:val="clear" w:color="auto" w:fill="auto"/>
          </w:tcPr>
          <w:p w14:paraId="76F90BF4" w14:textId="77777777" w:rsidR="00A66C1A" w:rsidRPr="004E50E7" w:rsidRDefault="00A66C1A" w:rsidP="008F2513">
            <w:pPr>
              <w:rPr>
                <w:rFonts w:ascii="Calibri" w:hAnsi="Calibri" w:cs="Lucida Sans Unicode"/>
                <w:sz w:val="20"/>
              </w:rPr>
            </w:pPr>
            <w:r w:rsidRPr="004E50E7">
              <w:rPr>
                <w:rFonts w:ascii="Calibri" w:hAnsi="Calibri" w:cs="Lucida Sans Unicode"/>
                <w:sz w:val="20"/>
                <w:szCs w:val="22"/>
              </w:rPr>
              <w:t>1.90 persons</w:t>
            </w:r>
          </w:p>
        </w:tc>
        <w:tc>
          <w:tcPr>
            <w:tcW w:w="1778" w:type="dxa"/>
            <w:gridSpan w:val="2"/>
            <w:tcBorders>
              <w:top w:val="single" w:sz="4" w:space="0" w:color="auto"/>
              <w:bottom w:val="single" w:sz="4" w:space="0" w:color="auto"/>
              <w:right w:val="single" w:sz="4" w:space="0" w:color="auto"/>
            </w:tcBorders>
            <w:shd w:val="clear" w:color="auto" w:fill="auto"/>
          </w:tcPr>
          <w:p w14:paraId="4B4C838E" w14:textId="2D57695E" w:rsidR="00A66C1A" w:rsidRPr="004E50E7" w:rsidRDefault="00601D22" w:rsidP="00F96D69">
            <w:pPr>
              <w:rPr>
                <w:rFonts w:ascii="Calibri" w:hAnsi="Calibri" w:cs="Lucida Sans Unicode"/>
                <w:sz w:val="20"/>
              </w:rPr>
            </w:pPr>
            <w:r>
              <w:rPr>
                <w:rFonts w:ascii="Calibri" w:hAnsi="Calibri" w:cs="Lucida Sans Unicode"/>
                <w:sz w:val="20"/>
                <w:szCs w:val="22"/>
              </w:rPr>
              <w:t>1.</w:t>
            </w:r>
            <w:r w:rsidR="00EF2AE0">
              <w:rPr>
                <w:rFonts w:ascii="Calibri" w:hAnsi="Calibri" w:cs="Lucida Sans Unicode"/>
                <w:sz w:val="20"/>
                <w:szCs w:val="22"/>
              </w:rPr>
              <w:t>69*</w:t>
            </w:r>
            <w:r>
              <w:rPr>
                <w:rFonts w:ascii="Calibri" w:hAnsi="Calibri" w:cs="Lucida Sans Unicode"/>
                <w:sz w:val="20"/>
                <w:szCs w:val="22"/>
              </w:rPr>
              <w:t xml:space="preserve"> persons</w:t>
            </w:r>
          </w:p>
        </w:tc>
      </w:tr>
    </w:tbl>
    <w:p w14:paraId="1F77D375" w14:textId="52E93B98" w:rsidR="008772FC" w:rsidRPr="004E50E7" w:rsidRDefault="008772FC" w:rsidP="00CD202A">
      <w:pPr>
        <w:ind w:right="-720"/>
        <w:rPr>
          <w:rFonts w:ascii="Calibri" w:hAnsi="Calibri" w:cs="Lucida Sans Unicode"/>
          <w:sz w:val="20"/>
          <w:szCs w:val="20"/>
        </w:rPr>
      </w:pPr>
      <w:r w:rsidRPr="004E50E7">
        <w:rPr>
          <w:rFonts w:ascii="Calibri" w:hAnsi="Calibri"/>
          <w:sz w:val="20"/>
        </w:rPr>
        <w:t>Source:  U.S. Census Bureau, Census 1990, 2000</w:t>
      </w:r>
      <w:r w:rsidR="00FB5E9A">
        <w:rPr>
          <w:rFonts w:ascii="Calibri" w:hAnsi="Calibri"/>
          <w:sz w:val="20"/>
        </w:rPr>
        <w:t>,</w:t>
      </w:r>
      <w:r w:rsidRPr="004E50E7">
        <w:rPr>
          <w:rFonts w:ascii="Calibri" w:hAnsi="Calibri"/>
          <w:sz w:val="20"/>
        </w:rPr>
        <w:t xml:space="preserve"> 2010</w:t>
      </w:r>
      <w:r w:rsidR="00FB5E9A">
        <w:rPr>
          <w:rFonts w:ascii="Calibri" w:hAnsi="Calibri"/>
          <w:sz w:val="20"/>
        </w:rPr>
        <w:t>,</w:t>
      </w:r>
      <w:r w:rsidR="00594B35">
        <w:rPr>
          <w:rFonts w:ascii="Calibri" w:hAnsi="Calibri"/>
          <w:sz w:val="20"/>
        </w:rPr>
        <w:t xml:space="preserve"> and</w:t>
      </w:r>
      <w:r w:rsidR="00FB5E9A">
        <w:rPr>
          <w:rFonts w:ascii="Calibri" w:hAnsi="Calibri"/>
          <w:sz w:val="20"/>
        </w:rPr>
        <w:t xml:space="preserve"> 2020 </w:t>
      </w:r>
      <w:r w:rsidR="00EF2AE0">
        <w:rPr>
          <w:rFonts w:ascii="Calibri" w:hAnsi="Calibri"/>
          <w:sz w:val="20"/>
        </w:rPr>
        <w:t>decennial and</w:t>
      </w:r>
      <w:r w:rsidR="00594B35">
        <w:rPr>
          <w:rFonts w:ascii="Calibri" w:hAnsi="Calibri"/>
          <w:sz w:val="20"/>
        </w:rPr>
        <w:t xml:space="preserve"> American Community Survey 5-Year Estimates</w:t>
      </w:r>
      <w:r w:rsidR="00EF2AE0">
        <w:rPr>
          <w:rFonts w:ascii="Calibri" w:hAnsi="Calibri"/>
          <w:sz w:val="20"/>
        </w:rPr>
        <w:t xml:space="preserve"> </w:t>
      </w:r>
      <w:r w:rsidR="00594B35">
        <w:rPr>
          <w:rFonts w:ascii="Calibri" w:hAnsi="Calibri"/>
          <w:sz w:val="20"/>
        </w:rPr>
        <w:t>for 201</w:t>
      </w:r>
      <w:r w:rsidR="00FB5E9A">
        <w:rPr>
          <w:rFonts w:ascii="Calibri" w:hAnsi="Calibri"/>
          <w:sz w:val="20"/>
        </w:rPr>
        <w:t>6</w:t>
      </w:r>
      <w:r w:rsidR="00594B35">
        <w:rPr>
          <w:rFonts w:ascii="Calibri" w:hAnsi="Calibri"/>
          <w:sz w:val="20"/>
        </w:rPr>
        <w:t>-20</w:t>
      </w:r>
      <w:r w:rsidR="00FB5E9A">
        <w:rPr>
          <w:rFonts w:ascii="Calibri" w:hAnsi="Calibri"/>
          <w:sz w:val="20"/>
        </w:rPr>
        <w:t>20</w:t>
      </w:r>
      <w:r w:rsidR="00EF2AE0">
        <w:rPr>
          <w:rFonts w:ascii="Calibri" w:hAnsi="Calibri"/>
          <w:sz w:val="20"/>
        </w:rPr>
        <w:t xml:space="preserve"> as marked with an asterisk (*)</w:t>
      </w:r>
      <w:r w:rsidR="00594B35">
        <w:rPr>
          <w:rFonts w:ascii="Calibri" w:hAnsi="Calibri"/>
          <w:sz w:val="20"/>
        </w:rPr>
        <w:t>.</w:t>
      </w:r>
      <w:r w:rsidRPr="004E50E7">
        <w:rPr>
          <w:rFonts w:ascii="Calibri" w:hAnsi="Calibri"/>
          <w:sz w:val="20"/>
        </w:rPr>
        <w:t xml:space="preserve"> </w:t>
      </w:r>
    </w:p>
    <w:p w14:paraId="0ECDBAB0" w14:textId="753F26C8" w:rsidR="008772FC" w:rsidRPr="004E50E7" w:rsidRDefault="008772FC" w:rsidP="00B316B6">
      <w:pPr>
        <w:ind w:left="720" w:right="-720" w:hanging="720"/>
        <w:rPr>
          <w:rFonts w:ascii="Calibri" w:hAnsi="Calibri"/>
          <w:sz w:val="20"/>
        </w:rPr>
      </w:pPr>
      <w:r w:rsidRPr="004E50E7">
        <w:rPr>
          <w:rFonts w:ascii="Calibri" w:hAnsi="Calibri"/>
          <w:sz w:val="20"/>
        </w:rPr>
        <w:t>* Percentage of all housing units  ** Percentage of occupied housing units</w:t>
      </w:r>
    </w:p>
    <w:p w14:paraId="057FBDEB" w14:textId="77777777" w:rsidR="008772FC" w:rsidRDefault="008772FC" w:rsidP="008772FC">
      <w:pPr>
        <w:ind w:right="-720"/>
        <w:rPr>
          <w:rFonts w:ascii="Calibri" w:hAnsi="Calibri"/>
          <w:sz w:val="22"/>
        </w:rPr>
      </w:pPr>
    </w:p>
    <w:p w14:paraId="10A59AE5" w14:textId="52EE2A03" w:rsidR="003A7AB8" w:rsidRDefault="003A7AB8" w:rsidP="003A7AB8">
      <w:pPr>
        <w:jc w:val="both"/>
        <w:rPr>
          <w:rFonts w:ascii="Calibri" w:hAnsi="Calibri"/>
          <w:sz w:val="22"/>
          <w:szCs w:val="22"/>
        </w:rPr>
      </w:pPr>
      <w:r w:rsidRPr="004E50E7">
        <w:rPr>
          <w:rFonts w:ascii="Calibri" w:hAnsi="Calibri"/>
          <w:sz w:val="22"/>
          <w:szCs w:val="22"/>
        </w:rPr>
        <w:t>The vacancy rate was only 2.</w:t>
      </w:r>
      <w:r w:rsidR="008E680D">
        <w:rPr>
          <w:rFonts w:ascii="Calibri" w:hAnsi="Calibri"/>
          <w:sz w:val="22"/>
          <w:szCs w:val="22"/>
        </w:rPr>
        <w:t>2</w:t>
      </w:r>
      <w:r w:rsidRPr="004E50E7">
        <w:rPr>
          <w:rFonts w:ascii="Calibri" w:hAnsi="Calibri"/>
          <w:sz w:val="22"/>
          <w:szCs w:val="22"/>
        </w:rPr>
        <w:t xml:space="preserve">% for </w:t>
      </w:r>
      <w:r w:rsidR="009F1375">
        <w:rPr>
          <w:rFonts w:ascii="Calibri" w:hAnsi="Calibri"/>
          <w:sz w:val="22"/>
          <w:szCs w:val="22"/>
        </w:rPr>
        <w:t>home</w:t>
      </w:r>
      <w:r w:rsidRPr="004E50E7">
        <w:rPr>
          <w:rFonts w:ascii="Calibri" w:hAnsi="Calibri"/>
          <w:sz w:val="22"/>
          <w:szCs w:val="22"/>
        </w:rPr>
        <w:t xml:space="preserve">ownership in 2010, up somewhat from 0.3% in 2000 as shown in Table </w:t>
      </w:r>
      <w:r w:rsidR="00155889">
        <w:rPr>
          <w:rFonts w:ascii="Calibri" w:hAnsi="Calibri"/>
          <w:sz w:val="22"/>
          <w:szCs w:val="22"/>
        </w:rPr>
        <w:t>III-</w:t>
      </w:r>
      <w:r>
        <w:rPr>
          <w:rFonts w:ascii="Calibri" w:hAnsi="Calibri"/>
          <w:sz w:val="22"/>
          <w:szCs w:val="22"/>
        </w:rPr>
        <w:t>2</w:t>
      </w:r>
      <w:r w:rsidR="00F54479">
        <w:rPr>
          <w:rFonts w:ascii="Calibri" w:hAnsi="Calibri"/>
          <w:sz w:val="22"/>
          <w:szCs w:val="22"/>
        </w:rPr>
        <w:t>4</w:t>
      </w:r>
      <w:r w:rsidRPr="004E50E7">
        <w:rPr>
          <w:rFonts w:ascii="Calibri" w:hAnsi="Calibri"/>
          <w:sz w:val="22"/>
          <w:szCs w:val="22"/>
        </w:rPr>
        <w:t xml:space="preserve">.   </w:t>
      </w:r>
      <w:r>
        <w:rPr>
          <w:rFonts w:ascii="Calibri" w:hAnsi="Calibri"/>
          <w:sz w:val="22"/>
          <w:szCs w:val="22"/>
        </w:rPr>
        <w:t>Estimates for 20</w:t>
      </w:r>
      <w:r w:rsidR="00FE3F7B">
        <w:rPr>
          <w:rFonts w:ascii="Calibri" w:hAnsi="Calibri"/>
          <w:sz w:val="22"/>
          <w:szCs w:val="22"/>
        </w:rPr>
        <w:t>20</w:t>
      </w:r>
      <w:r>
        <w:rPr>
          <w:rFonts w:ascii="Calibri" w:hAnsi="Calibri"/>
          <w:sz w:val="22"/>
          <w:szCs w:val="22"/>
        </w:rPr>
        <w:t xml:space="preserve"> indicate an even tighter market with a </w:t>
      </w:r>
      <w:r w:rsidR="008E680D">
        <w:rPr>
          <w:rFonts w:ascii="Calibri" w:hAnsi="Calibri"/>
          <w:sz w:val="22"/>
          <w:szCs w:val="22"/>
        </w:rPr>
        <w:t>1.</w:t>
      </w:r>
      <w:r w:rsidR="00F54479">
        <w:rPr>
          <w:rFonts w:ascii="Calibri" w:hAnsi="Calibri"/>
          <w:sz w:val="22"/>
          <w:szCs w:val="22"/>
        </w:rPr>
        <w:t>0</w:t>
      </w:r>
      <w:r>
        <w:rPr>
          <w:rFonts w:ascii="Calibri" w:hAnsi="Calibri"/>
          <w:sz w:val="22"/>
          <w:szCs w:val="22"/>
        </w:rPr>
        <w:t>% vacancy rate</w:t>
      </w:r>
      <w:r w:rsidR="008E680D">
        <w:rPr>
          <w:rFonts w:ascii="Calibri" w:hAnsi="Calibri"/>
          <w:sz w:val="22"/>
          <w:szCs w:val="22"/>
        </w:rPr>
        <w:t>,</w:t>
      </w:r>
      <w:r w:rsidR="00030562">
        <w:rPr>
          <w:rFonts w:ascii="Calibri" w:hAnsi="Calibri"/>
          <w:sz w:val="22"/>
          <w:szCs w:val="22"/>
        </w:rPr>
        <w:t xml:space="preserve"> which was </w:t>
      </w:r>
      <w:r w:rsidR="008E680D">
        <w:rPr>
          <w:rFonts w:ascii="Calibri" w:hAnsi="Calibri"/>
          <w:sz w:val="22"/>
          <w:szCs w:val="22"/>
        </w:rPr>
        <w:t xml:space="preserve">somewhat </w:t>
      </w:r>
      <w:r w:rsidR="00030562">
        <w:rPr>
          <w:rFonts w:ascii="Calibri" w:hAnsi="Calibri"/>
          <w:sz w:val="22"/>
          <w:szCs w:val="22"/>
        </w:rPr>
        <w:t>highe</w:t>
      </w:r>
      <w:r w:rsidR="008E680D">
        <w:rPr>
          <w:rFonts w:ascii="Calibri" w:hAnsi="Calibri"/>
          <w:sz w:val="22"/>
          <w:szCs w:val="22"/>
        </w:rPr>
        <w:t>r than</w:t>
      </w:r>
      <w:r w:rsidR="00F2124C">
        <w:rPr>
          <w:rFonts w:ascii="Calibri" w:hAnsi="Calibri"/>
          <w:sz w:val="22"/>
          <w:szCs w:val="22"/>
        </w:rPr>
        <w:t xml:space="preserve"> the</w:t>
      </w:r>
      <w:r w:rsidR="008E680D">
        <w:rPr>
          <w:rFonts w:ascii="Calibri" w:hAnsi="Calibri"/>
          <w:sz w:val="22"/>
          <w:szCs w:val="22"/>
        </w:rPr>
        <w:t xml:space="preserve"> county</w:t>
      </w:r>
      <w:r w:rsidR="003921BF">
        <w:rPr>
          <w:rFonts w:ascii="Calibri" w:hAnsi="Calibri"/>
          <w:sz w:val="22"/>
          <w:szCs w:val="22"/>
        </w:rPr>
        <w:t xml:space="preserve"> </w:t>
      </w:r>
      <w:r w:rsidR="0023709A">
        <w:rPr>
          <w:rFonts w:ascii="Calibri" w:hAnsi="Calibri"/>
          <w:sz w:val="22"/>
          <w:szCs w:val="22"/>
        </w:rPr>
        <w:t xml:space="preserve">and state </w:t>
      </w:r>
      <w:r w:rsidR="003921BF">
        <w:rPr>
          <w:rFonts w:ascii="Calibri" w:hAnsi="Calibri"/>
          <w:sz w:val="22"/>
          <w:szCs w:val="22"/>
        </w:rPr>
        <w:t>at 0.8%</w:t>
      </w:r>
      <w:r w:rsidR="0023709A">
        <w:rPr>
          <w:rFonts w:ascii="Calibri" w:hAnsi="Calibri"/>
          <w:sz w:val="22"/>
          <w:szCs w:val="22"/>
        </w:rPr>
        <w:t xml:space="preserve"> and 0.9%, respectively.</w:t>
      </w:r>
      <w:r w:rsidR="00F54479" w:rsidRPr="00F54479">
        <w:rPr>
          <w:rFonts w:ascii="Calibri" w:hAnsi="Calibri"/>
          <w:sz w:val="22"/>
          <w:szCs w:val="22"/>
        </w:rPr>
        <w:t xml:space="preserve"> </w:t>
      </w:r>
    </w:p>
    <w:p w14:paraId="3C33F159" w14:textId="77777777" w:rsidR="003A7AB8" w:rsidRDefault="003A7AB8" w:rsidP="003A7AB8">
      <w:pPr>
        <w:jc w:val="both"/>
        <w:rPr>
          <w:rFonts w:ascii="Calibri" w:hAnsi="Calibri"/>
          <w:sz w:val="22"/>
          <w:szCs w:val="22"/>
        </w:rPr>
      </w:pPr>
    </w:p>
    <w:p w14:paraId="2FBEB8FA" w14:textId="25D1C2C7" w:rsidR="003A7AB8" w:rsidRPr="004E50E7" w:rsidRDefault="003A7AB8" w:rsidP="003A7AB8">
      <w:pPr>
        <w:jc w:val="both"/>
        <w:rPr>
          <w:rFonts w:ascii="Calibri" w:hAnsi="Calibri"/>
          <w:sz w:val="22"/>
          <w:szCs w:val="22"/>
        </w:rPr>
      </w:pPr>
      <w:r w:rsidRPr="004E50E7">
        <w:rPr>
          <w:rFonts w:ascii="Calibri" w:hAnsi="Calibri"/>
          <w:sz w:val="22"/>
          <w:szCs w:val="22"/>
        </w:rPr>
        <w:t xml:space="preserve">On the other hand, the rental vacancy rate was </w:t>
      </w:r>
      <w:r w:rsidR="008E680D">
        <w:rPr>
          <w:rFonts w:ascii="Calibri" w:hAnsi="Calibri"/>
          <w:sz w:val="22"/>
          <w:szCs w:val="22"/>
        </w:rPr>
        <w:t>estimated to be zero in 2010, which does not even reflect normal turnover rates.  By 20</w:t>
      </w:r>
      <w:r w:rsidR="00FE3F7B">
        <w:rPr>
          <w:rFonts w:ascii="Calibri" w:hAnsi="Calibri"/>
          <w:sz w:val="22"/>
          <w:szCs w:val="22"/>
        </w:rPr>
        <w:t>20</w:t>
      </w:r>
      <w:r w:rsidR="008E680D">
        <w:rPr>
          <w:rFonts w:ascii="Calibri" w:hAnsi="Calibri"/>
          <w:sz w:val="22"/>
          <w:szCs w:val="22"/>
        </w:rPr>
        <w:t xml:space="preserve"> this rate had increased to </w:t>
      </w:r>
      <w:r w:rsidR="00FE3F7B">
        <w:rPr>
          <w:rFonts w:ascii="Calibri" w:hAnsi="Calibri"/>
          <w:sz w:val="22"/>
          <w:szCs w:val="22"/>
        </w:rPr>
        <w:t>2</w:t>
      </w:r>
      <w:r w:rsidR="00F54479">
        <w:rPr>
          <w:rFonts w:ascii="Calibri" w:hAnsi="Calibri"/>
          <w:sz w:val="22"/>
          <w:szCs w:val="22"/>
        </w:rPr>
        <w:t>.3</w:t>
      </w:r>
      <w:r w:rsidR="008E680D">
        <w:rPr>
          <w:rFonts w:ascii="Calibri" w:hAnsi="Calibri"/>
          <w:sz w:val="22"/>
          <w:szCs w:val="22"/>
        </w:rPr>
        <w:t xml:space="preserve">%, lower than county and state levels of </w:t>
      </w:r>
      <w:r w:rsidR="0023709A">
        <w:rPr>
          <w:rFonts w:ascii="Calibri" w:hAnsi="Calibri"/>
          <w:sz w:val="22"/>
          <w:szCs w:val="22"/>
        </w:rPr>
        <w:t>3.1</w:t>
      </w:r>
      <w:r w:rsidR="008E680D">
        <w:rPr>
          <w:rFonts w:ascii="Calibri" w:hAnsi="Calibri"/>
          <w:sz w:val="22"/>
          <w:szCs w:val="22"/>
        </w:rPr>
        <w:t>%</w:t>
      </w:r>
      <w:r w:rsidR="003921BF">
        <w:rPr>
          <w:rFonts w:ascii="Calibri" w:hAnsi="Calibri"/>
          <w:sz w:val="22"/>
          <w:szCs w:val="22"/>
        </w:rPr>
        <w:t xml:space="preserve"> and 3.</w:t>
      </w:r>
      <w:r w:rsidR="0023709A">
        <w:rPr>
          <w:rFonts w:ascii="Calibri" w:hAnsi="Calibri"/>
          <w:sz w:val="22"/>
          <w:szCs w:val="22"/>
        </w:rPr>
        <w:t>3</w:t>
      </w:r>
      <w:r w:rsidR="003921BF">
        <w:rPr>
          <w:rFonts w:ascii="Calibri" w:hAnsi="Calibri"/>
          <w:sz w:val="22"/>
          <w:szCs w:val="22"/>
        </w:rPr>
        <w:t>%, respectively</w:t>
      </w:r>
      <w:r w:rsidR="008E680D">
        <w:rPr>
          <w:rFonts w:ascii="Calibri" w:hAnsi="Calibri"/>
          <w:sz w:val="22"/>
          <w:szCs w:val="22"/>
        </w:rPr>
        <w:t xml:space="preserve">. </w:t>
      </w:r>
      <w:r w:rsidR="0023709A">
        <w:rPr>
          <w:rFonts w:ascii="Calibri" w:hAnsi="Calibri"/>
          <w:sz w:val="22"/>
          <w:szCs w:val="22"/>
        </w:rPr>
        <w:t xml:space="preserve"> </w:t>
      </w:r>
      <w:r w:rsidR="00F54479" w:rsidRPr="004E50E7">
        <w:rPr>
          <w:rFonts w:ascii="Calibri" w:hAnsi="Calibri"/>
          <w:sz w:val="22"/>
          <w:szCs w:val="22"/>
        </w:rPr>
        <w:t>As any rate below 5%</w:t>
      </w:r>
      <w:r w:rsidR="002E2F60">
        <w:rPr>
          <w:rFonts w:ascii="Calibri" w:hAnsi="Calibri"/>
          <w:sz w:val="22"/>
          <w:szCs w:val="22"/>
        </w:rPr>
        <w:t xml:space="preserve"> is considered to</w:t>
      </w:r>
      <w:r w:rsidR="00F54479" w:rsidRPr="004E50E7">
        <w:rPr>
          <w:rFonts w:ascii="Calibri" w:hAnsi="Calibri"/>
          <w:sz w:val="22"/>
          <w:szCs w:val="22"/>
        </w:rPr>
        <w:t xml:space="preserve"> reflect extremely tight housing market conditions, this information confirms </w:t>
      </w:r>
      <w:r w:rsidR="00F54479">
        <w:rPr>
          <w:rFonts w:ascii="Calibri" w:hAnsi="Calibri"/>
          <w:sz w:val="22"/>
          <w:szCs w:val="22"/>
        </w:rPr>
        <w:t xml:space="preserve">very </w:t>
      </w:r>
      <w:r w:rsidR="00F54479" w:rsidRPr="004E50E7">
        <w:rPr>
          <w:rFonts w:ascii="Calibri" w:hAnsi="Calibri"/>
          <w:sz w:val="22"/>
          <w:szCs w:val="22"/>
        </w:rPr>
        <w:t>strong homeownership</w:t>
      </w:r>
      <w:r w:rsidR="00F54479">
        <w:rPr>
          <w:rFonts w:ascii="Calibri" w:hAnsi="Calibri"/>
          <w:sz w:val="22"/>
          <w:szCs w:val="22"/>
        </w:rPr>
        <w:t xml:space="preserve"> and rental</w:t>
      </w:r>
      <w:r w:rsidR="00F54479" w:rsidRPr="004E50E7">
        <w:rPr>
          <w:rFonts w:ascii="Calibri" w:hAnsi="Calibri"/>
          <w:sz w:val="22"/>
          <w:szCs w:val="22"/>
        </w:rPr>
        <w:t xml:space="preserve"> market</w:t>
      </w:r>
      <w:r w:rsidR="00F54479">
        <w:rPr>
          <w:rFonts w:ascii="Calibri" w:hAnsi="Calibri"/>
          <w:sz w:val="22"/>
          <w:szCs w:val="22"/>
        </w:rPr>
        <w:t>s</w:t>
      </w:r>
      <w:r w:rsidR="00F54479" w:rsidRPr="004E50E7">
        <w:rPr>
          <w:rFonts w:ascii="Calibri" w:hAnsi="Calibri"/>
          <w:sz w:val="22"/>
          <w:szCs w:val="22"/>
        </w:rPr>
        <w:t xml:space="preserve">.  </w:t>
      </w:r>
    </w:p>
    <w:p w14:paraId="467336FD" w14:textId="77777777" w:rsidR="00F54479" w:rsidRDefault="00F54479" w:rsidP="003A7AB8">
      <w:pPr>
        <w:ind w:left="2880" w:right="-720" w:hanging="2880"/>
        <w:jc w:val="center"/>
        <w:rPr>
          <w:rFonts w:ascii="Calibri" w:hAnsi="Calibri"/>
          <w:b/>
          <w:bCs/>
          <w:sz w:val="22"/>
          <w:szCs w:val="22"/>
        </w:rPr>
      </w:pPr>
    </w:p>
    <w:p w14:paraId="417A56F5" w14:textId="358AEF1F" w:rsidR="003A7AB8" w:rsidRPr="004E50E7" w:rsidRDefault="003A7AB8" w:rsidP="003A7AB8">
      <w:pPr>
        <w:ind w:left="2880" w:right="-720" w:hanging="2880"/>
        <w:jc w:val="center"/>
        <w:rPr>
          <w:rFonts w:ascii="Calibri" w:hAnsi="Calibri"/>
          <w:b/>
          <w:bCs/>
          <w:sz w:val="22"/>
          <w:szCs w:val="22"/>
        </w:rPr>
      </w:pPr>
      <w:r>
        <w:rPr>
          <w:rFonts w:ascii="Calibri" w:hAnsi="Calibri"/>
          <w:b/>
          <w:bCs/>
          <w:sz w:val="22"/>
          <w:szCs w:val="22"/>
        </w:rPr>
        <w:t xml:space="preserve">Table </w:t>
      </w:r>
      <w:r w:rsidR="00A166AA">
        <w:rPr>
          <w:rFonts w:ascii="Calibri" w:hAnsi="Calibri"/>
          <w:b/>
          <w:bCs/>
          <w:sz w:val="22"/>
          <w:szCs w:val="22"/>
        </w:rPr>
        <w:t>III-2</w:t>
      </w:r>
      <w:r w:rsidR="00F54479">
        <w:rPr>
          <w:rFonts w:ascii="Calibri" w:hAnsi="Calibri"/>
          <w:b/>
          <w:bCs/>
          <w:sz w:val="22"/>
          <w:szCs w:val="22"/>
        </w:rPr>
        <w:t>4</w:t>
      </w:r>
      <w:r>
        <w:rPr>
          <w:rFonts w:ascii="Calibri" w:hAnsi="Calibri"/>
          <w:b/>
          <w:bCs/>
          <w:sz w:val="22"/>
          <w:szCs w:val="22"/>
        </w:rPr>
        <w:t xml:space="preserve">: </w:t>
      </w:r>
      <w:r w:rsidRPr="004E50E7">
        <w:rPr>
          <w:rFonts w:ascii="Calibri" w:hAnsi="Calibri"/>
          <w:b/>
          <w:bCs/>
          <w:sz w:val="22"/>
          <w:szCs w:val="22"/>
        </w:rPr>
        <w:t>Vacancy Rates by Tenure</w:t>
      </w:r>
      <w:r>
        <w:rPr>
          <w:rFonts w:ascii="Calibri" w:hAnsi="Calibri"/>
          <w:b/>
          <w:bCs/>
          <w:sz w:val="22"/>
          <w:szCs w:val="22"/>
        </w:rPr>
        <w:t>,</w:t>
      </w:r>
      <w:r w:rsidR="00F2124C">
        <w:rPr>
          <w:rStyle w:val="FootnoteReference"/>
          <w:rFonts w:ascii="Calibri" w:hAnsi="Calibri"/>
          <w:b/>
          <w:bCs/>
          <w:sz w:val="22"/>
          <w:szCs w:val="22"/>
        </w:rPr>
        <w:footnoteReference w:id="21"/>
      </w:r>
      <w:r>
        <w:rPr>
          <w:rFonts w:ascii="Calibri" w:hAnsi="Calibri"/>
          <w:b/>
          <w:bCs/>
          <w:sz w:val="22"/>
          <w:szCs w:val="22"/>
        </w:rPr>
        <w:t xml:space="preserve"> </w:t>
      </w:r>
      <w:r w:rsidRPr="004E50E7">
        <w:rPr>
          <w:rFonts w:ascii="Calibri" w:hAnsi="Calibri"/>
          <w:b/>
          <w:bCs/>
          <w:sz w:val="22"/>
          <w:szCs w:val="22"/>
        </w:rPr>
        <w:t>2000</w:t>
      </w:r>
      <w:r w:rsidR="007926A1">
        <w:rPr>
          <w:rFonts w:ascii="Calibri" w:hAnsi="Calibri"/>
          <w:b/>
          <w:bCs/>
          <w:sz w:val="22"/>
          <w:szCs w:val="22"/>
        </w:rPr>
        <w:t xml:space="preserve"> to 20</w:t>
      </w:r>
      <w:r w:rsidR="00D0367A">
        <w:rPr>
          <w:rFonts w:ascii="Calibri" w:hAnsi="Calibri"/>
          <w:b/>
          <w:bCs/>
          <w:sz w:val="22"/>
          <w:szCs w:val="22"/>
        </w:rPr>
        <w:t>20</w:t>
      </w:r>
    </w:p>
    <w:tbl>
      <w:tblPr>
        <w:tblW w:w="0" w:type="auto"/>
        <w:jc w:val="center"/>
        <w:tblLook w:val="0000" w:firstRow="0" w:lastRow="0" w:firstColumn="0" w:lastColumn="0" w:noHBand="0" w:noVBand="0"/>
      </w:tblPr>
      <w:tblGrid>
        <w:gridCol w:w="273"/>
        <w:gridCol w:w="1707"/>
        <w:gridCol w:w="1255"/>
        <w:gridCol w:w="1265"/>
        <w:gridCol w:w="1265"/>
        <w:gridCol w:w="1260"/>
        <w:gridCol w:w="1335"/>
      </w:tblGrid>
      <w:tr w:rsidR="003A7AB8" w:rsidRPr="004E50E7" w14:paraId="11EAC337" w14:textId="77777777" w:rsidTr="00D0367A">
        <w:trPr>
          <w:trHeight w:val="358"/>
          <w:jc w:val="center"/>
        </w:trPr>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0D66C3FB" w14:textId="77777777" w:rsidR="003A7AB8" w:rsidRPr="003A7AB8" w:rsidRDefault="003A7AB8" w:rsidP="00EF0B39">
            <w:pPr>
              <w:jc w:val="center"/>
              <w:rPr>
                <w:rFonts w:ascii="Calibri" w:hAnsi="Calibri" w:cs="Lucida Sans Unicode"/>
                <w:b/>
              </w:rPr>
            </w:pPr>
            <w:r w:rsidRPr="003A7AB8">
              <w:rPr>
                <w:rFonts w:ascii="Calibri" w:hAnsi="Calibri" w:cs="Lucida Sans Unicode"/>
                <w:b/>
                <w:sz w:val="22"/>
                <w:szCs w:val="22"/>
              </w:rPr>
              <w:t>Tenure</w:t>
            </w:r>
          </w:p>
        </w:tc>
        <w:tc>
          <w:tcPr>
            <w:tcW w:w="1255" w:type="dxa"/>
            <w:tcBorders>
              <w:top w:val="single" w:sz="8" w:space="0" w:color="000000"/>
              <w:left w:val="nil"/>
              <w:bottom w:val="single" w:sz="8" w:space="0" w:color="000000"/>
              <w:right w:val="single" w:sz="8" w:space="0" w:color="000000"/>
            </w:tcBorders>
            <w:vAlign w:val="bottom"/>
          </w:tcPr>
          <w:p w14:paraId="3A7938E5" w14:textId="77777777" w:rsidR="003A7AB8" w:rsidRDefault="003A7AB8" w:rsidP="003A7AB8">
            <w:pPr>
              <w:jc w:val="center"/>
              <w:rPr>
                <w:rFonts w:ascii="Calibri" w:hAnsi="Calibri" w:cs="Lucida Sans Unicode"/>
                <w:b/>
                <w:bCs/>
              </w:rPr>
            </w:pPr>
            <w:r>
              <w:rPr>
                <w:rFonts w:ascii="Calibri" w:hAnsi="Calibri" w:cs="Lucida Sans Unicode"/>
                <w:b/>
                <w:bCs/>
                <w:sz w:val="22"/>
                <w:szCs w:val="22"/>
              </w:rPr>
              <w:t>Needham</w:t>
            </w:r>
          </w:p>
          <w:p w14:paraId="57887252" w14:textId="77777777" w:rsidR="003A7AB8" w:rsidRPr="004E50E7" w:rsidRDefault="003A7AB8" w:rsidP="003A7AB8">
            <w:pPr>
              <w:jc w:val="center"/>
              <w:rPr>
                <w:rFonts w:ascii="Calibri" w:hAnsi="Calibri" w:cs="Lucida Sans Unicode"/>
                <w:b/>
                <w:bCs/>
              </w:rPr>
            </w:pPr>
            <w:r>
              <w:rPr>
                <w:rFonts w:ascii="Calibri" w:hAnsi="Calibri" w:cs="Lucida Sans Unicode"/>
                <w:b/>
                <w:bCs/>
                <w:sz w:val="22"/>
                <w:szCs w:val="22"/>
              </w:rPr>
              <w:t>2000</w:t>
            </w:r>
          </w:p>
        </w:tc>
        <w:tc>
          <w:tcPr>
            <w:tcW w:w="1265" w:type="dxa"/>
            <w:tcBorders>
              <w:top w:val="single" w:sz="8" w:space="0" w:color="000000"/>
              <w:left w:val="nil"/>
              <w:bottom w:val="single" w:sz="8" w:space="0" w:color="000000"/>
              <w:right w:val="single" w:sz="4" w:space="0" w:color="auto"/>
            </w:tcBorders>
          </w:tcPr>
          <w:p w14:paraId="2896986B" w14:textId="77777777" w:rsidR="003A7AB8" w:rsidRDefault="003A7AB8" w:rsidP="00EF0B39">
            <w:pPr>
              <w:jc w:val="center"/>
              <w:rPr>
                <w:rFonts w:ascii="Calibri" w:hAnsi="Calibri" w:cs="Lucida Sans Unicode"/>
                <w:b/>
                <w:bCs/>
              </w:rPr>
            </w:pPr>
            <w:r>
              <w:rPr>
                <w:rFonts w:ascii="Calibri" w:hAnsi="Calibri" w:cs="Lucida Sans Unicode"/>
                <w:b/>
                <w:bCs/>
                <w:sz w:val="22"/>
                <w:szCs w:val="22"/>
              </w:rPr>
              <w:t>Needham</w:t>
            </w:r>
          </w:p>
          <w:p w14:paraId="3462188A" w14:textId="77777777" w:rsidR="003A7AB8" w:rsidRPr="004E50E7" w:rsidRDefault="003A7AB8" w:rsidP="00EF0B39">
            <w:pPr>
              <w:jc w:val="center"/>
              <w:rPr>
                <w:rFonts w:ascii="Calibri" w:hAnsi="Calibri" w:cs="Lucida Sans Unicode"/>
                <w:b/>
                <w:bCs/>
              </w:rPr>
            </w:pPr>
            <w:r>
              <w:rPr>
                <w:rFonts w:ascii="Calibri" w:hAnsi="Calibri" w:cs="Lucida Sans Unicode"/>
                <w:b/>
                <w:bCs/>
                <w:sz w:val="22"/>
                <w:szCs w:val="22"/>
              </w:rPr>
              <w:t>2010</w:t>
            </w:r>
          </w:p>
        </w:tc>
        <w:tc>
          <w:tcPr>
            <w:tcW w:w="1265" w:type="dxa"/>
            <w:tcBorders>
              <w:top w:val="single" w:sz="8" w:space="0" w:color="000000"/>
              <w:left w:val="single" w:sz="4" w:space="0" w:color="auto"/>
              <w:bottom w:val="single" w:sz="8" w:space="0" w:color="000000"/>
              <w:right w:val="single" w:sz="8" w:space="0" w:color="000000"/>
            </w:tcBorders>
            <w:shd w:val="clear" w:color="auto" w:fill="auto"/>
            <w:vAlign w:val="bottom"/>
          </w:tcPr>
          <w:p w14:paraId="32542D8A" w14:textId="77777777" w:rsidR="003A7AB8" w:rsidRDefault="003A7AB8" w:rsidP="003A7AB8">
            <w:pPr>
              <w:jc w:val="center"/>
              <w:rPr>
                <w:rFonts w:ascii="Calibri" w:hAnsi="Calibri" w:cs="Lucida Sans Unicode"/>
                <w:b/>
                <w:bCs/>
              </w:rPr>
            </w:pPr>
            <w:r>
              <w:rPr>
                <w:rFonts w:ascii="Calibri" w:hAnsi="Calibri" w:cs="Lucida Sans Unicode"/>
                <w:b/>
                <w:bCs/>
                <w:sz w:val="22"/>
                <w:szCs w:val="22"/>
              </w:rPr>
              <w:t>Needham</w:t>
            </w:r>
          </w:p>
          <w:p w14:paraId="6263E4F1" w14:textId="2F0243E4" w:rsidR="003A7AB8" w:rsidRPr="004E50E7" w:rsidRDefault="003A7AB8" w:rsidP="003A7AB8">
            <w:pPr>
              <w:jc w:val="center"/>
              <w:rPr>
                <w:rFonts w:ascii="Calibri" w:hAnsi="Calibri" w:cs="Lucida Sans Unicode"/>
                <w:b/>
                <w:bCs/>
              </w:rPr>
            </w:pPr>
            <w:r>
              <w:rPr>
                <w:rFonts w:ascii="Calibri" w:hAnsi="Calibri" w:cs="Lucida Sans Unicode"/>
                <w:b/>
                <w:bCs/>
                <w:sz w:val="22"/>
                <w:szCs w:val="22"/>
              </w:rPr>
              <w:t>20</w:t>
            </w:r>
            <w:r w:rsidR="00D0367A">
              <w:rPr>
                <w:rFonts w:ascii="Calibri" w:hAnsi="Calibri" w:cs="Lucida Sans Unicode"/>
                <w:b/>
                <w:bCs/>
                <w:sz w:val="22"/>
                <w:szCs w:val="22"/>
              </w:rPr>
              <w:t>20</w:t>
            </w:r>
          </w:p>
        </w:tc>
        <w:tc>
          <w:tcPr>
            <w:tcW w:w="1260" w:type="dxa"/>
            <w:tcBorders>
              <w:top w:val="single" w:sz="8" w:space="0" w:color="000000"/>
              <w:left w:val="nil"/>
              <w:bottom w:val="single" w:sz="8" w:space="0" w:color="000000"/>
              <w:right w:val="single" w:sz="8" w:space="0" w:color="000000"/>
            </w:tcBorders>
            <w:vAlign w:val="bottom"/>
          </w:tcPr>
          <w:p w14:paraId="2D52DB47" w14:textId="62B84D50" w:rsidR="003A7AB8" w:rsidRPr="004E50E7" w:rsidRDefault="003A7AB8" w:rsidP="003A7AB8">
            <w:pPr>
              <w:jc w:val="center"/>
              <w:rPr>
                <w:rFonts w:ascii="Calibri" w:hAnsi="Calibri" w:cs="Lucida Sans Unicode"/>
                <w:b/>
                <w:bCs/>
              </w:rPr>
            </w:pPr>
            <w:r>
              <w:rPr>
                <w:rFonts w:ascii="Calibri" w:hAnsi="Calibri" w:cs="Lucida Sans Unicode"/>
                <w:b/>
                <w:bCs/>
                <w:sz w:val="22"/>
                <w:szCs w:val="22"/>
              </w:rPr>
              <w:t xml:space="preserve">County </w:t>
            </w:r>
            <w:r w:rsidR="00155889">
              <w:rPr>
                <w:rFonts w:ascii="Calibri" w:hAnsi="Calibri" w:cs="Lucida Sans Unicode"/>
                <w:b/>
                <w:bCs/>
                <w:sz w:val="22"/>
                <w:szCs w:val="22"/>
              </w:rPr>
              <w:t>20</w:t>
            </w:r>
            <w:r w:rsidR="00D0367A">
              <w:rPr>
                <w:rFonts w:ascii="Calibri" w:hAnsi="Calibri" w:cs="Lucida Sans Unicode"/>
                <w:b/>
                <w:bCs/>
                <w:sz w:val="22"/>
                <w:szCs w:val="22"/>
              </w:rPr>
              <w:t>20</w:t>
            </w:r>
          </w:p>
        </w:tc>
        <w:tc>
          <w:tcPr>
            <w:tcW w:w="1335" w:type="dxa"/>
            <w:tcBorders>
              <w:top w:val="single" w:sz="2" w:space="0" w:color="auto"/>
              <w:left w:val="nil"/>
              <w:bottom w:val="single" w:sz="8" w:space="0" w:color="000000"/>
              <w:right w:val="single" w:sz="8" w:space="0" w:color="000000"/>
            </w:tcBorders>
            <w:vAlign w:val="bottom"/>
          </w:tcPr>
          <w:p w14:paraId="5EB2F195" w14:textId="65DFB08A" w:rsidR="003A7AB8" w:rsidRPr="004E50E7" w:rsidRDefault="003A7AB8" w:rsidP="003A7AB8">
            <w:pPr>
              <w:jc w:val="center"/>
              <w:rPr>
                <w:rFonts w:ascii="Calibri" w:hAnsi="Calibri" w:cs="Lucida Sans Unicode"/>
                <w:b/>
                <w:bCs/>
              </w:rPr>
            </w:pPr>
            <w:r>
              <w:rPr>
                <w:rFonts w:ascii="Calibri" w:hAnsi="Calibri" w:cs="Lucida Sans Unicode"/>
                <w:b/>
                <w:bCs/>
                <w:sz w:val="22"/>
                <w:szCs w:val="22"/>
              </w:rPr>
              <w:t xml:space="preserve">MA </w:t>
            </w:r>
            <w:r w:rsidRPr="004E50E7">
              <w:rPr>
                <w:rFonts w:ascii="Calibri" w:hAnsi="Calibri" w:cs="Lucida Sans Unicode"/>
                <w:b/>
                <w:bCs/>
                <w:sz w:val="22"/>
                <w:szCs w:val="22"/>
              </w:rPr>
              <w:t>20</w:t>
            </w:r>
            <w:r w:rsidR="00D0367A">
              <w:rPr>
                <w:rFonts w:ascii="Calibri" w:hAnsi="Calibri" w:cs="Lucida Sans Unicode"/>
                <w:b/>
                <w:bCs/>
                <w:sz w:val="22"/>
                <w:szCs w:val="22"/>
              </w:rPr>
              <w:t>20</w:t>
            </w:r>
          </w:p>
        </w:tc>
      </w:tr>
      <w:tr w:rsidR="003A7AB8" w:rsidRPr="004E50E7" w14:paraId="408D80F0" w14:textId="77777777" w:rsidTr="00D0367A">
        <w:trPr>
          <w:trHeight w:val="439"/>
          <w:jc w:val="center"/>
        </w:trPr>
        <w:tc>
          <w:tcPr>
            <w:tcW w:w="1980" w:type="dxa"/>
            <w:gridSpan w:val="2"/>
            <w:tcBorders>
              <w:top w:val="nil"/>
              <w:left w:val="single" w:sz="8" w:space="0" w:color="000000"/>
              <w:bottom w:val="single" w:sz="8" w:space="0" w:color="000000"/>
              <w:right w:val="single" w:sz="8" w:space="0" w:color="000000"/>
            </w:tcBorders>
            <w:vAlign w:val="center"/>
          </w:tcPr>
          <w:p w14:paraId="764FBF89" w14:textId="77777777" w:rsidR="003A7AB8" w:rsidRPr="004E50E7" w:rsidRDefault="003A7AB8" w:rsidP="00EF0B39">
            <w:pPr>
              <w:pStyle w:val="HeaderEven"/>
              <w:keepLines w:val="0"/>
              <w:pBdr>
                <w:bottom w:val="none" w:sz="0" w:space="0" w:color="auto"/>
              </w:pBdr>
              <w:tabs>
                <w:tab w:val="clear" w:pos="4320"/>
                <w:tab w:val="clear" w:pos="8640"/>
              </w:tabs>
              <w:spacing w:after="0" w:line="240" w:lineRule="auto"/>
              <w:rPr>
                <w:rFonts w:ascii="Calibri" w:hAnsi="Calibri" w:cs="Lucida Sans Unicode"/>
                <w:spacing w:val="0"/>
                <w:szCs w:val="22"/>
              </w:rPr>
            </w:pPr>
            <w:r w:rsidRPr="004E50E7">
              <w:rPr>
                <w:rFonts w:ascii="Calibri" w:hAnsi="Calibri" w:cs="Lucida Sans Unicode"/>
                <w:spacing w:val="0"/>
                <w:szCs w:val="22"/>
              </w:rPr>
              <w:t xml:space="preserve">Rental </w:t>
            </w:r>
          </w:p>
        </w:tc>
        <w:tc>
          <w:tcPr>
            <w:tcW w:w="1255" w:type="dxa"/>
            <w:tcBorders>
              <w:top w:val="nil"/>
              <w:left w:val="nil"/>
              <w:bottom w:val="single" w:sz="8" w:space="0" w:color="000000"/>
              <w:right w:val="single" w:sz="8" w:space="0" w:color="000000"/>
            </w:tcBorders>
            <w:vAlign w:val="center"/>
          </w:tcPr>
          <w:p w14:paraId="6C73F190" w14:textId="77777777" w:rsidR="003A7AB8" w:rsidRPr="004E50E7" w:rsidRDefault="003A7AB8" w:rsidP="00EF0B39">
            <w:pPr>
              <w:jc w:val="center"/>
              <w:rPr>
                <w:rFonts w:ascii="Calibri" w:hAnsi="Calibri" w:cs="Lucida Sans Unicode"/>
                <w:sz w:val="20"/>
              </w:rPr>
            </w:pPr>
            <w:r w:rsidRPr="004E50E7">
              <w:rPr>
                <w:rFonts w:ascii="Calibri" w:hAnsi="Calibri" w:cs="Lucida Sans Unicode"/>
                <w:sz w:val="20"/>
                <w:szCs w:val="22"/>
              </w:rPr>
              <w:t>2.2%</w:t>
            </w:r>
          </w:p>
        </w:tc>
        <w:tc>
          <w:tcPr>
            <w:tcW w:w="1265" w:type="dxa"/>
            <w:tcBorders>
              <w:top w:val="nil"/>
              <w:left w:val="nil"/>
              <w:bottom w:val="single" w:sz="8" w:space="0" w:color="000000"/>
              <w:right w:val="single" w:sz="4" w:space="0" w:color="auto"/>
            </w:tcBorders>
            <w:vAlign w:val="center"/>
          </w:tcPr>
          <w:p w14:paraId="370718D3" w14:textId="77777777" w:rsidR="003A7AB8" w:rsidRPr="004E50E7" w:rsidRDefault="008E680D" w:rsidP="008E680D">
            <w:pPr>
              <w:jc w:val="center"/>
              <w:rPr>
                <w:rFonts w:ascii="Calibri" w:hAnsi="Calibri" w:cs="Lucida Sans Unicode"/>
                <w:sz w:val="20"/>
              </w:rPr>
            </w:pPr>
            <w:r>
              <w:rPr>
                <w:rFonts w:ascii="Calibri" w:hAnsi="Calibri" w:cs="Lucida Sans Unicode"/>
                <w:sz w:val="20"/>
                <w:szCs w:val="22"/>
              </w:rPr>
              <w:t>0.0%</w:t>
            </w:r>
          </w:p>
        </w:tc>
        <w:tc>
          <w:tcPr>
            <w:tcW w:w="1265" w:type="dxa"/>
            <w:tcBorders>
              <w:top w:val="nil"/>
              <w:left w:val="single" w:sz="4" w:space="0" w:color="auto"/>
              <w:bottom w:val="single" w:sz="8" w:space="0" w:color="000000"/>
              <w:right w:val="single" w:sz="8" w:space="0" w:color="000000"/>
            </w:tcBorders>
            <w:shd w:val="clear" w:color="auto" w:fill="auto"/>
            <w:vAlign w:val="center"/>
          </w:tcPr>
          <w:p w14:paraId="265025B4" w14:textId="6F176F92" w:rsidR="003A7AB8" w:rsidRPr="004E50E7" w:rsidRDefault="00D0367A" w:rsidP="00EF0B39">
            <w:pPr>
              <w:jc w:val="center"/>
              <w:rPr>
                <w:rFonts w:ascii="Calibri" w:hAnsi="Calibri" w:cs="Lucida Sans Unicode"/>
                <w:sz w:val="20"/>
              </w:rPr>
            </w:pPr>
            <w:r>
              <w:rPr>
                <w:rFonts w:ascii="Calibri" w:hAnsi="Calibri" w:cs="Lucida Sans Unicode"/>
                <w:sz w:val="20"/>
                <w:szCs w:val="22"/>
              </w:rPr>
              <w:t>2.6</w:t>
            </w:r>
            <w:r w:rsidR="00155889">
              <w:rPr>
                <w:rFonts w:ascii="Calibri" w:hAnsi="Calibri" w:cs="Lucida Sans Unicode"/>
                <w:sz w:val="20"/>
                <w:szCs w:val="22"/>
              </w:rPr>
              <w:t>%</w:t>
            </w:r>
          </w:p>
        </w:tc>
        <w:tc>
          <w:tcPr>
            <w:tcW w:w="1260" w:type="dxa"/>
            <w:tcBorders>
              <w:top w:val="nil"/>
              <w:left w:val="nil"/>
              <w:bottom w:val="single" w:sz="8" w:space="0" w:color="000000"/>
              <w:right w:val="single" w:sz="8" w:space="0" w:color="000000"/>
            </w:tcBorders>
            <w:vAlign w:val="center"/>
          </w:tcPr>
          <w:p w14:paraId="6BC33611" w14:textId="3C995E02" w:rsidR="003A7AB8" w:rsidRPr="004E50E7" w:rsidRDefault="002B2C25" w:rsidP="00EF0B39">
            <w:pPr>
              <w:jc w:val="center"/>
              <w:rPr>
                <w:rFonts w:ascii="Calibri" w:hAnsi="Calibri" w:cs="Lucida Sans Unicode"/>
                <w:sz w:val="20"/>
              </w:rPr>
            </w:pPr>
            <w:r>
              <w:rPr>
                <w:rFonts w:ascii="Calibri" w:hAnsi="Calibri" w:cs="Lucida Sans Unicode"/>
                <w:sz w:val="20"/>
                <w:szCs w:val="22"/>
              </w:rPr>
              <w:t>3.1</w:t>
            </w:r>
            <w:r w:rsidR="00030562">
              <w:rPr>
                <w:rFonts w:ascii="Calibri" w:hAnsi="Calibri" w:cs="Lucida Sans Unicode"/>
                <w:sz w:val="20"/>
                <w:szCs w:val="22"/>
              </w:rPr>
              <w:t>%</w:t>
            </w:r>
          </w:p>
        </w:tc>
        <w:tc>
          <w:tcPr>
            <w:tcW w:w="1335" w:type="dxa"/>
            <w:tcBorders>
              <w:top w:val="nil"/>
              <w:left w:val="nil"/>
              <w:bottom w:val="single" w:sz="8" w:space="0" w:color="000000"/>
              <w:right w:val="single" w:sz="8" w:space="0" w:color="000000"/>
            </w:tcBorders>
            <w:vAlign w:val="center"/>
          </w:tcPr>
          <w:p w14:paraId="3AFE158C" w14:textId="29E4D63D" w:rsidR="003A7AB8" w:rsidRPr="004E50E7" w:rsidRDefault="003921BF" w:rsidP="00EF0B39">
            <w:pPr>
              <w:jc w:val="center"/>
              <w:rPr>
                <w:rFonts w:ascii="Calibri" w:hAnsi="Calibri" w:cs="Lucida Sans Unicode"/>
                <w:sz w:val="20"/>
              </w:rPr>
            </w:pPr>
            <w:r>
              <w:rPr>
                <w:rFonts w:ascii="Calibri" w:hAnsi="Calibri" w:cs="Lucida Sans Unicode"/>
                <w:sz w:val="20"/>
                <w:szCs w:val="22"/>
              </w:rPr>
              <w:t>3.</w:t>
            </w:r>
            <w:r w:rsidR="002B2C25">
              <w:rPr>
                <w:rFonts w:ascii="Calibri" w:hAnsi="Calibri" w:cs="Lucida Sans Unicode"/>
                <w:sz w:val="20"/>
                <w:szCs w:val="22"/>
              </w:rPr>
              <w:t>3</w:t>
            </w:r>
            <w:r>
              <w:rPr>
                <w:rFonts w:ascii="Calibri" w:hAnsi="Calibri" w:cs="Lucida Sans Unicode"/>
                <w:sz w:val="20"/>
                <w:szCs w:val="22"/>
              </w:rPr>
              <w:t>%</w:t>
            </w:r>
          </w:p>
        </w:tc>
      </w:tr>
      <w:tr w:rsidR="003A7AB8" w:rsidRPr="004E50E7" w14:paraId="3AD5AE51" w14:textId="77777777" w:rsidTr="00D0367A">
        <w:trPr>
          <w:trHeight w:val="421"/>
          <w:jc w:val="center"/>
        </w:trPr>
        <w:tc>
          <w:tcPr>
            <w:tcW w:w="1980" w:type="dxa"/>
            <w:gridSpan w:val="2"/>
            <w:tcBorders>
              <w:top w:val="nil"/>
              <w:left w:val="single" w:sz="8" w:space="0" w:color="000000"/>
              <w:bottom w:val="single" w:sz="8" w:space="0" w:color="000000"/>
              <w:right w:val="single" w:sz="8" w:space="0" w:color="000000"/>
            </w:tcBorders>
            <w:vAlign w:val="center"/>
          </w:tcPr>
          <w:p w14:paraId="0F98524E" w14:textId="77777777" w:rsidR="003A7AB8" w:rsidRPr="004E50E7" w:rsidRDefault="003A7AB8" w:rsidP="00EF0B39">
            <w:pPr>
              <w:jc w:val="center"/>
              <w:rPr>
                <w:rFonts w:ascii="Calibri" w:hAnsi="Calibri" w:cs="Lucida Sans Unicode"/>
                <w:sz w:val="20"/>
              </w:rPr>
            </w:pPr>
            <w:r w:rsidRPr="004E50E7">
              <w:rPr>
                <w:rFonts w:ascii="Calibri" w:hAnsi="Calibri" w:cs="Lucida Sans Unicode"/>
                <w:sz w:val="20"/>
                <w:szCs w:val="22"/>
              </w:rPr>
              <w:t>Homeowner</w:t>
            </w:r>
          </w:p>
        </w:tc>
        <w:tc>
          <w:tcPr>
            <w:tcW w:w="1255" w:type="dxa"/>
            <w:tcBorders>
              <w:top w:val="nil"/>
              <w:left w:val="nil"/>
              <w:bottom w:val="single" w:sz="8" w:space="0" w:color="000000"/>
              <w:right w:val="single" w:sz="8" w:space="0" w:color="000000"/>
            </w:tcBorders>
            <w:vAlign w:val="center"/>
          </w:tcPr>
          <w:p w14:paraId="619A2904" w14:textId="77777777" w:rsidR="003A7AB8" w:rsidRPr="004E50E7" w:rsidRDefault="003A7AB8" w:rsidP="00EF0B39">
            <w:pPr>
              <w:jc w:val="center"/>
              <w:rPr>
                <w:rFonts w:ascii="Calibri" w:hAnsi="Calibri" w:cs="Lucida Sans Unicode"/>
                <w:sz w:val="20"/>
              </w:rPr>
            </w:pPr>
            <w:r w:rsidRPr="004E50E7">
              <w:rPr>
                <w:rFonts w:ascii="Calibri" w:hAnsi="Calibri" w:cs="Lucida Sans Unicode"/>
                <w:sz w:val="20"/>
                <w:szCs w:val="22"/>
              </w:rPr>
              <w:t>0.3%</w:t>
            </w:r>
          </w:p>
        </w:tc>
        <w:tc>
          <w:tcPr>
            <w:tcW w:w="1265" w:type="dxa"/>
            <w:tcBorders>
              <w:top w:val="nil"/>
              <w:left w:val="nil"/>
              <w:bottom w:val="single" w:sz="8" w:space="0" w:color="000000"/>
              <w:right w:val="single" w:sz="4" w:space="0" w:color="auto"/>
            </w:tcBorders>
            <w:vAlign w:val="center"/>
          </w:tcPr>
          <w:p w14:paraId="72245E82" w14:textId="77777777" w:rsidR="003A7AB8" w:rsidRPr="004E50E7" w:rsidRDefault="008E680D" w:rsidP="008E680D">
            <w:pPr>
              <w:jc w:val="center"/>
              <w:rPr>
                <w:rFonts w:ascii="Calibri" w:hAnsi="Calibri" w:cs="Lucida Sans Unicode"/>
                <w:sz w:val="20"/>
              </w:rPr>
            </w:pPr>
            <w:r>
              <w:rPr>
                <w:rFonts w:ascii="Calibri" w:hAnsi="Calibri" w:cs="Lucida Sans Unicode"/>
                <w:sz w:val="20"/>
                <w:szCs w:val="22"/>
              </w:rPr>
              <w:t>2.2%</w:t>
            </w:r>
          </w:p>
        </w:tc>
        <w:tc>
          <w:tcPr>
            <w:tcW w:w="1265" w:type="dxa"/>
            <w:tcBorders>
              <w:top w:val="nil"/>
              <w:left w:val="single" w:sz="4" w:space="0" w:color="auto"/>
              <w:bottom w:val="single" w:sz="8" w:space="0" w:color="000000"/>
              <w:right w:val="single" w:sz="8" w:space="0" w:color="000000"/>
            </w:tcBorders>
            <w:shd w:val="clear" w:color="auto" w:fill="auto"/>
            <w:vAlign w:val="center"/>
          </w:tcPr>
          <w:p w14:paraId="784A9C2E" w14:textId="6ED74BB7" w:rsidR="003A7AB8" w:rsidRPr="004E50E7" w:rsidRDefault="00155889" w:rsidP="00EF0B39">
            <w:pPr>
              <w:jc w:val="center"/>
              <w:rPr>
                <w:rFonts w:ascii="Calibri" w:hAnsi="Calibri" w:cs="Lucida Sans Unicode"/>
                <w:sz w:val="20"/>
              </w:rPr>
            </w:pPr>
            <w:r>
              <w:rPr>
                <w:rFonts w:ascii="Calibri" w:hAnsi="Calibri" w:cs="Lucida Sans Unicode"/>
                <w:sz w:val="20"/>
                <w:szCs w:val="22"/>
              </w:rPr>
              <w:t>1.0%</w:t>
            </w:r>
          </w:p>
        </w:tc>
        <w:tc>
          <w:tcPr>
            <w:tcW w:w="1260" w:type="dxa"/>
            <w:tcBorders>
              <w:top w:val="nil"/>
              <w:left w:val="nil"/>
              <w:bottom w:val="single" w:sz="8" w:space="0" w:color="000000"/>
              <w:right w:val="single" w:sz="8" w:space="0" w:color="000000"/>
            </w:tcBorders>
            <w:vAlign w:val="center"/>
          </w:tcPr>
          <w:p w14:paraId="615693C2" w14:textId="3DE2E120" w:rsidR="003A7AB8" w:rsidRPr="004E50E7" w:rsidRDefault="00030562" w:rsidP="00EF0B39">
            <w:pPr>
              <w:jc w:val="center"/>
              <w:rPr>
                <w:rFonts w:ascii="Calibri" w:hAnsi="Calibri" w:cs="Lucida Sans Unicode"/>
                <w:sz w:val="20"/>
              </w:rPr>
            </w:pPr>
            <w:r>
              <w:rPr>
                <w:rFonts w:ascii="Calibri" w:hAnsi="Calibri" w:cs="Lucida Sans Unicode"/>
                <w:sz w:val="20"/>
                <w:szCs w:val="22"/>
              </w:rPr>
              <w:t>0.8%</w:t>
            </w:r>
          </w:p>
        </w:tc>
        <w:tc>
          <w:tcPr>
            <w:tcW w:w="1335" w:type="dxa"/>
            <w:tcBorders>
              <w:top w:val="nil"/>
              <w:left w:val="nil"/>
              <w:bottom w:val="single" w:sz="8" w:space="0" w:color="000000"/>
              <w:right w:val="single" w:sz="8" w:space="0" w:color="000000"/>
            </w:tcBorders>
            <w:vAlign w:val="center"/>
          </w:tcPr>
          <w:p w14:paraId="516F6DD7" w14:textId="15EDFBC0" w:rsidR="003A7AB8" w:rsidRPr="004E50E7" w:rsidRDefault="002B2C25" w:rsidP="00EF0B39">
            <w:pPr>
              <w:jc w:val="center"/>
              <w:rPr>
                <w:rFonts w:ascii="Calibri" w:hAnsi="Calibri" w:cs="Lucida Sans Unicode"/>
                <w:sz w:val="20"/>
              </w:rPr>
            </w:pPr>
            <w:r>
              <w:rPr>
                <w:rFonts w:ascii="Calibri" w:hAnsi="Calibri" w:cs="Lucida Sans Unicode"/>
                <w:sz w:val="20"/>
                <w:szCs w:val="22"/>
              </w:rPr>
              <w:t>0.9</w:t>
            </w:r>
            <w:r w:rsidR="003921BF">
              <w:rPr>
                <w:rFonts w:ascii="Calibri" w:hAnsi="Calibri" w:cs="Lucida Sans Unicode"/>
                <w:sz w:val="20"/>
                <w:szCs w:val="22"/>
              </w:rPr>
              <w:t>%</w:t>
            </w:r>
          </w:p>
        </w:tc>
      </w:tr>
      <w:tr w:rsidR="003A7AB8" w:rsidRPr="004E50E7" w14:paraId="521217F2" w14:textId="77777777" w:rsidTr="00D0367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05"/>
          <w:jc w:val="center"/>
        </w:trPr>
        <w:tc>
          <w:tcPr>
            <w:tcW w:w="273" w:type="dxa"/>
            <w:tcBorders>
              <w:left w:val="nil"/>
              <w:bottom w:val="nil"/>
              <w:right w:val="nil"/>
            </w:tcBorders>
          </w:tcPr>
          <w:p w14:paraId="328D31C4" w14:textId="77777777" w:rsidR="003A7AB8" w:rsidRPr="004E50E7" w:rsidRDefault="003A7AB8" w:rsidP="00EF0B39">
            <w:pPr>
              <w:ind w:left="180" w:right="-720" w:firstLine="72"/>
              <w:rPr>
                <w:rFonts w:ascii="Calibri" w:hAnsi="Calibri" w:cs="Lucida Sans Unicode"/>
                <w:sz w:val="20"/>
                <w:szCs w:val="20"/>
              </w:rPr>
            </w:pPr>
          </w:p>
        </w:tc>
        <w:tc>
          <w:tcPr>
            <w:tcW w:w="8087" w:type="dxa"/>
            <w:gridSpan w:val="6"/>
            <w:tcBorders>
              <w:left w:val="nil"/>
              <w:bottom w:val="nil"/>
              <w:right w:val="nil"/>
            </w:tcBorders>
          </w:tcPr>
          <w:p w14:paraId="3E96162B" w14:textId="11312635" w:rsidR="00023CD7" w:rsidRDefault="003A7AB8" w:rsidP="00D0367A">
            <w:pPr>
              <w:ind w:right="-906"/>
              <w:rPr>
                <w:rFonts w:ascii="Calibri" w:hAnsi="Calibri" w:cs="Lucida Sans Unicode"/>
                <w:sz w:val="20"/>
                <w:szCs w:val="20"/>
              </w:rPr>
            </w:pPr>
            <w:r w:rsidRPr="004E50E7">
              <w:rPr>
                <w:rFonts w:ascii="Calibri" w:hAnsi="Calibri" w:cs="Lucida Sans Unicode"/>
                <w:sz w:val="20"/>
                <w:szCs w:val="20"/>
              </w:rPr>
              <w:t>Source:  U.S. Census Bureau, 2000 and 2010</w:t>
            </w:r>
            <w:r>
              <w:rPr>
                <w:rFonts w:ascii="Calibri" w:hAnsi="Calibri" w:cs="Lucida Sans Unicode"/>
                <w:sz w:val="20"/>
                <w:szCs w:val="20"/>
              </w:rPr>
              <w:t>, Summary File 1; American Community Survey 5-Year Estimates, 20</w:t>
            </w:r>
            <w:r w:rsidR="00FB5E9A">
              <w:rPr>
                <w:rFonts w:ascii="Calibri" w:hAnsi="Calibri" w:cs="Lucida Sans Unicode"/>
                <w:sz w:val="20"/>
                <w:szCs w:val="20"/>
              </w:rPr>
              <w:t>1</w:t>
            </w:r>
            <w:r w:rsidR="00D0367A">
              <w:rPr>
                <w:rFonts w:ascii="Calibri" w:hAnsi="Calibri" w:cs="Lucida Sans Unicode"/>
                <w:sz w:val="20"/>
                <w:szCs w:val="20"/>
              </w:rPr>
              <w:t>6</w:t>
            </w:r>
            <w:r>
              <w:rPr>
                <w:rFonts w:ascii="Calibri" w:hAnsi="Calibri" w:cs="Lucida Sans Unicode"/>
                <w:sz w:val="20"/>
                <w:szCs w:val="20"/>
              </w:rPr>
              <w:t>-20</w:t>
            </w:r>
            <w:r w:rsidR="00D0367A">
              <w:rPr>
                <w:rFonts w:ascii="Calibri" w:hAnsi="Calibri" w:cs="Lucida Sans Unicode"/>
                <w:sz w:val="20"/>
                <w:szCs w:val="20"/>
              </w:rPr>
              <w:t>20</w:t>
            </w:r>
            <w:r w:rsidR="00DC75FD">
              <w:rPr>
                <w:rFonts w:ascii="Calibri" w:hAnsi="Calibri" w:cs="Lucida Sans Unicode"/>
                <w:sz w:val="20"/>
                <w:szCs w:val="20"/>
              </w:rPr>
              <w:t>.</w:t>
            </w:r>
          </w:p>
          <w:p w14:paraId="3BC6BB74" w14:textId="18BBD324" w:rsidR="003A7AB8" w:rsidRPr="004E50E7" w:rsidRDefault="003A7AB8" w:rsidP="008E680D">
            <w:pPr>
              <w:ind w:left="180" w:right="-720" w:firstLine="72"/>
              <w:rPr>
                <w:rFonts w:ascii="Calibri" w:hAnsi="Calibri" w:cs="Lucida Sans Unicode"/>
                <w:sz w:val="20"/>
                <w:szCs w:val="20"/>
              </w:rPr>
            </w:pPr>
          </w:p>
        </w:tc>
      </w:tr>
    </w:tbl>
    <w:p w14:paraId="3E3B8AB8" w14:textId="77777777" w:rsidR="003A7AB8" w:rsidRPr="004E50E7" w:rsidRDefault="003A7AB8" w:rsidP="008772FC">
      <w:pPr>
        <w:ind w:right="-720"/>
        <w:rPr>
          <w:rFonts w:ascii="Calibri" w:hAnsi="Calibri"/>
          <w:sz w:val="22"/>
        </w:rPr>
      </w:pPr>
      <w:r>
        <w:rPr>
          <w:rFonts w:ascii="Calibri" w:hAnsi="Calibri"/>
          <w:b/>
          <w:bCs/>
          <w:color w:val="1F497D" w:themeColor="text2"/>
        </w:rPr>
        <w:t>3.</w:t>
      </w:r>
      <w:r>
        <w:rPr>
          <w:rFonts w:ascii="Calibri" w:hAnsi="Calibri"/>
          <w:b/>
          <w:bCs/>
          <w:color w:val="1F497D" w:themeColor="text2"/>
        </w:rPr>
        <w:tab/>
      </w:r>
      <w:r w:rsidRPr="00F728B6">
        <w:rPr>
          <w:rFonts w:ascii="Calibri" w:hAnsi="Calibri"/>
          <w:b/>
          <w:bCs/>
          <w:color w:val="1F497D" w:themeColor="text2"/>
        </w:rPr>
        <w:t xml:space="preserve">Types of Structures and Units – Predominance of single-family homes </w:t>
      </w:r>
    </w:p>
    <w:p w14:paraId="0D459701" w14:textId="088536D9" w:rsidR="007C3949" w:rsidRDefault="008772FC" w:rsidP="00456374">
      <w:pPr>
        <w:jc w:val="both"/>
        <w:rPr>
          <w:rFonts w:ascii="Calibri" w:hAnsi="Calibri"/>
          <w:sz w:val="22"/>
        </w:rPr>
      </w:pPr>
      <w:r>
        <w:rPr>
          <w:rFonts w:ascii="Calibri" w:hAnsi="Calibri"/>
          <w:sz w:val="22"/>
        </w:rPr>
        <w:t xml:space="preserve">Table </w:t>
      </w:r>
      <w:r w:rsidR="0028014C">
        <w:rPr>
          <w:rFonts w:ascii="Calibri" w:hAnsi="Calibri"/>
          <w:sz w:val="22"/>
        </w:rPr>
        <w:t>III-25</w:t>
      </w:r>
      <w:r>
        <w:rPr>
          <w:rFonts w:ascii="Calibri" w:hAnsi="Calibri"/>
          <w:sz w:val="22"/>
        </w:rPr>
        <w:t xml:space="preserve"> and Figure </w:t>
      </w:r>
      <w:r w:rsidR="0028014C">
        <w:rPr>
          <w:rFonts w:ascii="Calibri" w:hAnsi="Calibri"/>
          <w:sz w:val="22"/>
        </w:rPr>
        <w:t>III-9</w:t>
      </w:r>
      <w:r>
        <w:rPr>
          <w:rFonts w:ascii="Calibri" w:hAnsi="Calibri"/>
          <w:sz w:val="22"/>
        </w:rPr>
        <w:t xml:space="preserve"> demonstrate that </w:t>
      </w:r>
      <w:r w:rsidRPr="004E50E7">
        <w:rPr>
          <w:rFonts w:ascii="Calibri" w:hAnsi="Calibri"/>
          <w:sz w:val="22"/>
        </w:rPr>
        <w:t>Needham’s housing stock is dominated by single-family homes</w:t>
      </w:r>
      <w:r w:rsidR="00FE7D3A">
        <w:rPr>
          <w:rFonts w:ascii="Calibri" w:hAnsi="Calibri"/>
          <w:sz w:val="22"/>
        </w:rPr>
        <w:t xml:space="preserve"> </w:t>
      </w:r>
      <w:r w:rsidR="007C3949">
        <w:rPr>
          <w:rFonts w:ascii="Calibri" w:hAnsi="Calibri"/>
          <w:sz w:val="22"/>
        </w:rPr>
        <w:t>with the following changes in housing types:</w:t>
      </w:r>
    </w:p>
    <w:p w14:paraId="41BEB2E4" w14:textId="10F13208" w:rsidR="007C3949" w:rsidRDefault="007C3949" w:rsidP="00456374">
      <w:pPr>
        <w:jc w:val="both"/>
        <w:rPr>
          <w:rFonts w:ascii="Calibri" w:hAnsi="Calibri"/>
          <w:sz w:val="22"/>
        </w:rPr>
      </w:pPr>
    </w:p>
    <w:p w14:paraId="4BE1B124" w14:textId="16A695EC" w:rsidR="007C3949" w:rsidRDefault="007C3949" w:rsidP="005D3FC9">
      <w:pPr>
        <w:pStyle w:val="ListParagraph"/>
        <w:numPr>
          <w:ilvl w:val="0"/>
          <w:numId w:val="13"/>
        </w:numPr>
        <w:jc w:val="both"/>
        <w:rPr>
          <w:rFonts w:ascii="Calibri" w:hAnsi="Calibri"/>
          <w:sz w:val="22"/>
          <w:szCs w:val="22"/>
        </w:rPr>
      </w:pPr>
      <w:r>
        <w:rPr>
          <w:rFonts w:ascii="Calibri" w:hAnsi="Calibri"/>
          <w:sz w:val="22"/>
        </w:rPr>
        <w:t xml:space="preserve">The number of </w:t>
      </w:r>
      <w:r w:rsidR="00FE7D3A" w:rsidRPr="007C3949">
        <w:rPr>
          <w:rFonts w:ascii="Calibri" w:hAnsi="Calibri"/>
          <w:sz w:val="22"/>
        </w:rPr>
        <w:t xml:space="preserve">detached and </w:t>
      </w:r>
      <w:r w:rsidR="00C92CE8">
        <w:rPr>
          <w:rFonts w:ascii="Calibri" w:hAnsi="Calibri"/>
          <w:sz w:val="22"/>
        </w:rPr>
        <w:t xml:space="preserve">1-unit </w:t>
      </w:r>
      <w:r w:rsidR="008772FC" w:rsidRPr="007C3949">
        <w:rPr>
          <w:rFonts w:ascii="Calibri" w:hAnsi="Calibri"/>
          <w:sz w:val="22"/>
          <w:szCs w:val="22"/>
        </w:rPr>
        <w:t>attached</w:t>
      </w:r>
      <w:r w:rsidR="00FE7D3A" w:rsidRPr="007C3949">
        <w:rPr>
          <w:rFonts w:ascii="Calibri" w:hAnsi="Calibri"/>
          <w:sz w:val="22"/>
          <w:szCs w:val="22"/>
        </w:rPr>
        <w:t xml:space="preserve"> dwellings</w:t>
      </w:r>
      <w:r w:rsidR="00C92CE8">
        <w:rPr>
          <w:rFonts w:ascii="Calibri" w:hAnsi="Calibri"/>
          <w:sz w:val="22"/>
          <w:szCs w:val="22"/>
        </w:rPr>
        <w:t xml:space="preserve"> (e.g., townhouses)</w:t>
      </w:r>
      <w:r w:rsidR="008772FC" w:rsidRPr="007C3949">
        <w:rPr>
          <w:rFonts w:ascii="Calibri" w:hAnsi="Calibri"/>
          <w:sz w:val="22"/>
          <w:szCs w:val="22"/>
        </w:rPr>
        <w:t xml:space="preserve"> </w:t>
      </w:r>
      <w:r>
        <w:rPr>
          <w:rFonts w:ascii="Calibri" w:hAnsi="Calibri"/>
          <w:sz w:val="22"/>
          <w:szCs w:val="22"/>
        </w:rPr>
        <w:t xml:space="preserve">combined </w:t>
      </w:r>
      <w:r w:rsidR="006E63DD">
        <w:rPr>
          <w:rFonts w:ascii="Calibri" w:hAnsi="Calibri"/>
          <w:sz w:val="22"/>
          <w:szCs w:val="22"/>
        </w:rPr>
        <w:t xml:space="preserve">continues to </w:t>
      </w:r>
      <w:r w:rsidR="008772FC" w:rsidRPr="007C3949">
        <w:rPr>
          <w:rFonts w:ascii="Calibri" w:hAnsi="Calibri"/>
          <w:sz w:val="22"/>
          <w:szCs w:val="22"/>
        </w:rPr>
        <w:t>compris</w:t>
      </w:r>
      <w:r>
        <w:rPr>
          <w:rFonts w:ascii="Calibri" w:hAnsi="Calibri"/>
          <w:sz w:val="22"/>
          <w:szCs w:val="22"/>
        </w:rPr>
        <w:t>e</w:t>
      </w:r>
      <w:r w:rsidR="006E63DD">
        <w:rPr>
          <w:rFonts w:ascii="Calibri" w:hAnsi="Calibri"/>
          <w:sz w:val="22"/>
          <w:szCs w:val="22"/>
        </w:rPr>
        <w:t xml:space="preserve"> about</w:t>
      </w:r>
      <w:r w:rsidR="00FE7D3A" w:rsidRPr="007C3949">
        <w:rPr>
          <w:rFonts w:ascii="Calibri" w:hAnsi="Calibri"/>
          <w:sz w:val="22"/>
          <w:szCs w:val="22"/>
        </w:rPr>
        <w:t xml:space="preserve"> 8</w:t>
      </w:r>
      <w:r w:rsidR="006E63DD">
        <w:rPr>
          <w:rFonts w:ascii="Calibri" w:hAnsi="Calibri"/>
          <w:sz w:val="22"/>
          <w:szCs w:val="22"/>
        </w:rPr>
        <w:t>2</w:t>
      </w:r>
      <w:r w:rsidR="00FE7D3A" w:rsidRPr="007C3949">
        <w:rPr>
          <w:rFonts w:ascii="Calibri" w:hAnsi="Calibri"/>
          <w:sz w:val="22"/>
          <w:szCs w:val="22"/>
        </w:rPr>
        <w:t xml:space="preserve">% of </w:t>
      </w:r>
      <w:r w:rsidR="008772FC" w:rsidRPr="007C3949">
        <w:rPr>
          <w:rFonts w:ascii="Calibri" w:hAnsi="Calibri"/>
          <w:sz w:val="22"/>
          <w:szCs w:val="22"/>
        </w:rPr>
        <w:t>all units</w:t>
      </w:r>
      <w:r w:rsidR="00FE7D3A" w:rsidRPr="007C3949">
        <w:rPr>
          <w:rFonts w:ascii="Calibri" w:hAnsi="Calibri"/>
          <w:sz w:val="22"/>
          <w:szCs w:val="22"/>
        </w:rPr>
        <w:t>. Th</w:t>
      </w:r>
      <w:r w:rsidR="006E63DD">
        <w:rPr>
          <w:rFonts w:ascii="Calibri" w:hAnsi="Calibri"/>
          <w:sz w:val="22"/>
          <w:szCs w:val="22"/>
        </w:rPr>
        <w:t>e</w:t>
      </w:r>
      <w:r w:rsidR="00284CDE">
        <w:rPr>
          <w:rFonts w:ascii="Calibri" w:hAnsi="Calibri"/>
          <w:sz w:val="22"/>
          <w:szCs w:val="22"/>
        </w:rPr>
        <w:t xml:space="preserve"> </w:t>
      </w:r>
      <w:r w:rsidR="00C92CE8">
        <w:rPr>
          <w:rFonts w:ascii="Calibri" w:hAnsi="Calibri"/>
          <w:sz w:val="22"/>
          <w:szCs w:val="22"/>
        </w:rPr>
        <w:t xml:space="preserve">census </w:t>
      </w:r>
      <w:r w:rsidR="00284CDE">
        <w:rPr>
          <w:rFonts w:ascii="Calibri" w:hAnsi="Calibri"/>
          <w:sz w:val="22"/>
          <w:szCs w:val="22"/>
        </w:rPr>
        <w:t>data</w:t>
      </w:r>
      <w:r>
        <w:rPr>
          <w:rFonts w:ascii="Calibri" w:hAnsi="Calibri"/>
          <w:sz w:val="22"/>
          <w:szCs w:val="22"/>
        </w:rPr>
        <w:t xml:space="preserve"> suggests </w:t>
      </w:r>
      <w:r w:rsidR="00FE7D3A" w:rsidRPr="007C3949">
        <w:rPr>
          <w:rFonts w:ascii="Calibri" w:hAnsi="Calibri"/>
          <w:sz w:val="22"/>
          <w:szCs w:val="22"/>
        </w:rPr>
        <w:t xml:space="preserve">a gain of </w:t>
      </w:r>
      <w:r w:rsidR="006E63DD">
        <w:rPr>
          <w:rFonts w:ascii="Calibri" w:hAnsi="Calibri"/>
          <w:sz w:val="22"/>
          <w:szCs w:val="22"/>
        </w:rPr>
        <w:t>3</w:t>
      </w:r>
      <w:r w:rsidR="006E026E">
        <w:rPr>
          <w:rFonts w:ascii="Calibri" w:hAnsi="Calibri"/>
          <w:sz w:val="22"/>
          <w:szCs w:val="22"/>
        </w:rPr>
        <w:t>7</w:t>
      </w:r>
      <w:r w:rsidR="00FE7D3A" w:rsidRPr="007C3949">
        <w:rPr>
          <w:rFonts w:ascii="Calibri" w:hAnsi="Calibri"/>
          <w:sz w:val="22"/>
          <w:szCs w:val="22"/>
        </w:rPr>
        <w:t>1 single-family detached units between 2010 and 20</w:t>
      </w:r>
      <w:r w:rsidR="006E026E">
        <w:rPr>
          <w:rFonts w:ascii="Calibri" w:hAnsi="Calibri"/>
          <w:sz w:val="22"/>
          <w:szCs w:val="22"/>
        </w:rPr>
        <w:t>20</w:t>
      </w:r>
      <w:r w:rsidR="00FE7D3A" w:rsidRPr="007C3949">
        <w:rPr>
          <w:rFonts w:ascii="Calibri" w:hAnsi="Calibri"/>
          <w:sz w:val="22"/>
          <w:szCs w:val="22"/>
        </w:rPr>
        <w:t xml:space="preserve"> and a loss of </w:t>
      </w:r>
      <w:r w:rsidR="006E026E">
        <w:rPr>
          <w:rFonts w:ascii="Calibri" w:hAnsi="Calibri"/>
          <w:sz w:val="22"/>
          <w:szCs w:val="22"/>
        </w:rPr>
        <w:t>44</w:t>
      </w:r>
      <w:r w:rsidR="006E63DD">
        <w:rPr>
          <w:rFonts w:ascii="Calibri" w:hAnsi="Calibri"/>
          <w:sz w:val="22"/>
          <w:szCs w:val="22"/>
        </w:rPr>
        <w:t xml:space="preserve"> </w:t>
      </w:r>
      <w:r w:rsidR="00FE7D3A" w:rsidRPr="007C3949">
        <w:rPr>
          <w:rFonts w:ascii="Calibri" w:hAnsi="Calibri"/>
          <w:sz w:val="22"/>
          <w:szCs w:val="22"/>
        </w:rPr>
        <w:t xml:space="preserve">attached units. </w:t>
      </w:r>
      <w:r w:rsidR="007926A1">
        <w:rPr>
          <w:rFonts w:ascii="Calibri" w:hAnsi="Calibri"/>
          <w:sz w:val="22"/>
          <w:szCs w:val="22"/>
        </w:rPr>
        <w:t xml:space="preserve">The total number of </w:t>
      </w:r>
      <w:r w:rsidR="00387EA5">
        <w:rPr>
          <w:rFonts w:ascii="Calibri" w:hAnsi="Calibri"/>
          <w:sz w:val="22"/>
          <w:szCs w:val="22"/>
        </w:rPr>
        <w:t xml:space="preserve">identified </w:t>
      </w:r>
      <w:r w:rsidR="007926A1">
        <w:rPr>
          <w:rFonts w:ascii="Calibri" w:hAnsi="Calibri"/>
          <w:sz w:val="22"/>
          <w:szCs w:val="22"/>
        </w:rPr>
        <w:t xml:space="preserve">single-family </w:t>
      </w:r>
      <w:r w:rsidR="00387EA5">
        <w:rPr>
          <w:rFonts w:ascii="Calibri" w:hAnsi="Calibri"/>
          <w:sz w:val="22"/>
          <w:szCs w:val="22"/>
        </w:rPr>
        <w:t xml:space="preserve">detached </w:t>
      </w:r>
      <w:r w:rsidR="007926A1">
        <w:rPr>
          <w:rFonts w:ascii="Calibri" w:hAnsi="Calibri"/>
          <w:sz w:val="22"/>
          <w:szCs w:val="22"/>
        </w:rPr>
        <w:t>units</w:t>
      </w:r>
      <w:r w:rsidR="006E63DD">
        <w:rPr>
          <w:rFonts w:ascii="Calibri" w:hAnsi="Calibri"/>
          <w:sz w:val="22"/>
          <w:szCs w:val="22"/>
        </w:rPr>
        <w:t>,</w:t>
      </w:r>
      <w:r w:rsidR="007926A1">
        <w:rPr>
          <w:rFonts w:ascii="Calibri" w:hAnsi="Calibri"/>
          <w:sz w:val="22"/>
          <w:szCs w:val="22"/>
        </w:rPr>
        <w:t xml:space="preserve"> of </w:t>
      </w:r>
      <w:r w:rsidR="006E63DD">
        <w:rPr>
          <w:rFonts w:ascii="Calibri" w:hAnsi="Calibri"/>
          <w:sz w:val="22"/>
          <w:szCs w:val="22"/>
        </w:rPr>
        <w:t>8,</w:t>
      </w:r>
      <w:r w:rsidR="006E026E">
        <w:rPr>
          <w:rFonts w:ascii="Calibri" w:hAnsi="Calibri"/>
          <w:sz w:val="22"/>
          <w:szCs w:val="22"/>
        </w:rPr>
        <w:t>700</w:t>
      </w:r>
      <w:r w:rsidR="006E63DD">
        <w:rPr>
          <w:rFonts w:ascii="Calibri" w:hAnsi="Calibri"/>
          <w:sz w:val="22"/>
          <w:szCs w:val="22"/>
        </w:rPr>
        <w:t xml:space="preserve"> units,</w:t>
      </w:r>
      <w:r w:rsidR="007926A1">
        <w:rPr>
          <w:rFonts w:ascii="Calibri" w:hAnsi="Calibri"/>
          <w:sz w:val="22"/>
          <w:szCs w:val="22"/>
        </w:rPr>
        <w:t xml:space="preserve"> is </w:t>
      </w:r>
      <w:r w:rsidR="00387EA5">
        <w:rPr>
          <w:rFonts w:ascii="Calibri" w:hAnsi="Calibri"/>
          <w:sz w:val="22"/>
          <w:szCs w:val="22"/>
        </w:rPr>
        <w:t xml:space="preserve">higher than the 8,412 units included in </w:t>
      </w:r>
      <w:r w:rsidR="007926A1">
        <w:rPr>
          <w:rFonts w:ascii="Calibri" w:hAnsi="Calibri"/>
          <w:sz w:val="22"/>
          <w:szCs w:val="22"/>
        </w:rPr>
        <w:t>Assessor’s</w:t>
      </w:r>
      <w:r w:rsidR="00387EA5">
        <w:rPr>
          <w:rFonts w:ascii="Calibri" w:hAnsi="Calibri"/>
          <w:sz w:val="22"/>
          <w:szCs w:val="22"/>
        </w:rPr>
        <w:t xml:space="preserve"> records</w:t>
      </w:r>
      <w:r w:rsidR="0046491E">
        <w:rPr>
          <w:rFonts w:ascii="Calibri" w:hAnsi="Calibri"/>
          <w:sz w:val="22"/>
          <w:szCs w:val="22"/>
        </w:rPr>
        <w:t xml:space="preserve"> although some of multiple units on one lot might be included in the census data</w:t>
      </w:r>
      <w:r w:rsidR="008B555C">
        <w:rPr>
          <w:rFonts w:ascii="Calibri" w:hAnsi="Calibri"/>
          <w:sz w:val="22"/>
          <w:szCs w:val="22"/>
        </w:rPr>
        <w:t xml:space="preserve">.  </w:t>
      </w:r>
      <w:r w:rsidR="00F12C0A">
        <w:rPr>
          <w:rFonts w:ascii="Calibri" w:hAnsi="Calibri"/>
          <w:sz w:val="22"/>
          <w:szCs w:val="22"/>
        </w:rPr>
        <w:t xml:space="preserve">Moreover, Table III-22 shows that because teardown activity was so high, only </w:t>
      </w:r>
      <w:r w:rsidR="006E026E">
        <w:rPr>
          <w:rFonts w:ascii="Calibri" w:hAnsi="Calibri"/>
          <w:sz w:val="22"/>
          <w:szCs w:val="22"/>
        </w:rPr>
        <w:t>19</w:t>
      </w:r>
      <w:r w:rsidR="00690D5C">
        <w:rPr>
          <w:rFonts w:ascii="Calibri" w:hAnsi="Calibri"/>
          <w:sz w:val="22"/>
          <w:szCs w:val="22"/>
        </w:rPr>
        <w:t xml:space="preserve"> net new single-family homes were built between 2010 and 20</w:t>
      </w:r>
      <w:r w:rsidR="006E026E">
        <w:rPr>
          <w:rFonts w:ascii="Calibri" w:hAnsi="Calibri"/>
          <w:sz w:val="22"/>
          <w:szCs w:val="22"/>
        </w:rPr>
        <w:t>20</w:t>
      </w:r>
      <w:r w:rsidR="00690D5C">
        <w:rPr>
          <w:rFonts w:ascii="Calibri" w:hAnsi="Calibri"/>
          <w:sz w:val="22"/>
          <w:szCs w:val="22"/>
        </w:rPr>
        <w:t xml:space="preserve">.  </w:t>
      </w:r>
      <w:r w:rsidR="008B555C">
        <w:rPr>
          <w:rFonts w:ascii="Calibri" w:hAnsi="Calibri"/>
          <w:sz w:val="22"/>
          <w:szCs w:val="22"/>
        </w:rPr>
        <w:t>This</w:t>
      </w:r>
      <w:r w:rsidR="00387EA5">
        <w:rPr>
          <w:rFonts w:ascii="Calibri" w:hAnsi="Calibri"/>
          <w:sz w:val="22"/>
          <w:szCs w:val="22"/>
        </w:rPr>
        <w:t xml:space="preserve"> once again point</w:t>
      </w:r>
      <w:r w:rsidR="008B555C">
        <w:rPr>
          <w:rFonts w:ascii="Calibri" w:hAnsi="Calibri"/>
          <w:sz w:val="22"/>
          <w:szCs w:val="22"/>
        </w:rPr>
        <w:t>s</w:t>
      </w:r>
      <w:r w:rsidR="00387EA5">
        <w:rPr>
          <w:rFonts w:ascii="Calibri" w:hAnsi="Calibri"/>
          <w:sz w:val="22"/>
          <w:szCs w:val="22"/>
        </w:rPr>
        <w:t xml:space="preserve"> to an overestimation of housing growth in the census figures, likely </w:t>
      </w:r>
      <w:r w:rsidR="00AF0EA8">
        <w:rPr>
          <w:rFonts w:ascii="Calibri" w:hAnsi="Calibri"/>
          <w:sz w:val="22"/>
          <w:szCs w:val="22"/>
        </w:rPr>
        <w:t xml:space="preserve">at least somewhat </w:t>
      </w:r>
      <w:r w:rsidR="00387EA5">
        <w:rPr>
          <w:rFonts w:ascii="Calibri" w:hAnsi="Calibri"/>
          <w:sz w:val="22"/>
          <w:szCs w:val="22"/>
        </w:rPr>
        <w:t>related to counting new building permits instead of net new units</w:t>
      </w:r>
      <w:r w:rsidR="008B555C">
        <w:rPr>
          <w:rFonts w:ascii="Calibri" w:hAnsi="Calibri"/>
          <w:sz w:val="22"/>
          <w:szCs w:val="22"/>
        </w:rPr>
        <w:t xml:space="preserve"> given teardown activity</w:t>
      </w:r>
      <w:r w:rsidR="00387EA5">
        <w:rPr>
          <w:rFonts w:ascii="Calibri" w:hAnsi="Calibri"/>
          <w:sz w:val="22"/>
          <w:szCs w:val="22"/>
        </w:rPr>
        <w:t>.</w:t>
      </w:r>
      <w:r w:rsidR="006E63DD">
        <w:rPr>
          <w:rFonts w:ascii="Calibri" w:hAnsi="Calibri"/>
          <w:sz w:val="22"/>
          <w:szCs w:val="22"/>
        </w:rPr>
        <w:t xml:space="preserve">  </w:t>
      </w:r>
    </w:p>
    <w:p w14:paraId="2C558387" w14:textId="363E9FF4" w:rsidR="007C3949" w:rsidRDefault="00FE7D3A" w:rsidP="005D3FC9">
      <w:pPr>
        <w:pStyle w:val="ListParagraph"/>
        <w:numPr>
          <w:ilvl w:val="0"/>
          <w:numId w:val="13"/>
        </w:numPr>
        <w:jc w:val="both"/>
        <w:rPr>
          <w:rFonts w:ascii="Calibri" w:hAnsi="Calibri"/>
          <w:sz w:val="22"/>
          <w:szCs w:val="22"/>
        </w:rPr>
      </w:pPr>
      <w:r w:rsidRPr="007C3949">
        <w:rPr>
          <w:rFonts w:ascii="Calibri" w:hAnsi="Calibri"/>
          <w:sz w:val="22"/>
          <w:szCs w:val="22"/>
        </w:rPr>
        <w:t>There was a</w:t>
      </w:r>
      <w:r w:rsidR="006E026E">
        <w:rPr>
          <w:rFonts w:ascii="Calibri" w:hAnsi="Calibri"/>
          <w:sz w:val="22"/>
          <w:szCs w:val="22"/>
        </w:rPr>
        <w:t xml:space="preserve"> loss of 135</w:t>
      </w:r>
      <w:r w:rsidRPr="007C3949">
        <w:rPr>
          <w:rFonts w:ascii="Calibri" w:hAnsi="Calibri"/>
          <w:sz w:val="22"/>
          <w:szCs w:val="22"/>
        </w:rPr>
        <w:t xml:space="preserve"> units in two to four-unit properties between 2010 and 20</w:t>
      </w:r>
      <w:r w:rsidR="006E026E">
        <w:rPr>
          <w:rFonts w:ascii="Calibri" w:hAnsi="Calibri"/>
          <w:sz w:val="22"/>
          <w:szCs w:val="22"/>
        </w:rPr>
        <w:t>20</w:t>
      </w:r>
      <w:r w:rsidRPr="007C3949">
        <w:rPr>
          <w:rFonts w:ascii="Calibri" w:hAnsi="Calibri"/>
          <w:sz w:val="22"/>
          <w:szCs w:val="22"/>
        </w:rPr>
        <w:t xml:space="preserve"> but a net loss of </w:t>
      </w:r>
      <w:r w:rsidR="006E026E">
        <w:rPr>
          <w:rFonts w:ascii="Calibri" w:hAnsi="Calibri"/>
          <w:sz w:val="22"/>
          <w:szCs w:val="22"/>
        </w:rPr>
        <w:t>408</w:t>
      </w:r>
      <w:r w:rsidRPr="007C3949">
        <w:rPr>
          <w:rFonts w:ascii="Calibri" w:hAnsi="Calibri"/>
          <w:sz w:val="22"/>
          <w:szCs w:val="22"/>
        </w:rPr>
        <w:t xml:space="preserve"> units since 1990. </w:t>
      </w:r>
      <w:r w:rsidR="006E026E">
        <w:rPr>
          <w:rFonts w:ascii="Calibri" w:hAnsi="Calibri"/>
          <w:sz w:val="22"/>
          <w:szCs w:val="22"/>
        </w:rPr>
        <w:t>These losses are of particular concern as such properties</w:t>
      </w:r>
      <w:r w:rsidR="00242B0B">
        <w:rPr>
          <w:rFonts w:ascii="Calibri" w:hAnsi="Calibri"/>
          <w:sz w:val="22"/>
          <w:szCs w:val="22"/>
        </w:rPr>
        <w:t xml:space="preserve"> </w:t>
      </w:r>
      <w:r w:rsidR="006E026E">
        <w:rPr>
          <w:rFonts w:ascii="Calibri" w:hAnsi="Calibri"/>
          <w:sz w:val="22"/>
          <w:szCs w:val="22"/>
        </w:rPr>
        <w:t>are typically among the most affordable in the private housing stock as they</w:t>
      </w:r>
      <w:r w:rsidR="00242B0B">
        <w:rPr>
          <w:rFonts w:ascii="Calibri" w:hAnsi="Calibri"/>
          <w:sz w:val="22"/>
          <w:szCs w:val="22"/>
        </w:rPr>
        <w:t xml:space="preserve"> can provide rental income to purchasers who choose to occupy them. </w:t>
      </w:r>
    </w:p>
    <w:p w14:paraId="67A39686" w14:textId="0BE5D77A" w:rsidR="007C3949" w:rsidRDefault="00FE7D3A" w:rsidP="005D3FC9">
      <w:pPr>
        <w:pStyle w:val="ListParagraph"/>
        <w:numPr>
          <w:ilvl w:val="0"/>
          <w:numId w:val="13"/>
        </w:numPr>
        <w:jc w:val="both"/>
        <w:rPr>
          <w:rFonts w:ascii="Calibri" w:hAnsi="Calibri"/>
          <w:sz w:val="22"/>
          <w:szCs w:val="22"/>
        </w:rPr>
      </w:pPr>
      <w:r w:rsidRPr="007C3949">
        <w:rPr>
          <w:rFonts w:ascii="Calibri" w:hAnsi="Calibri"/>
          <w:sz w:val="22"/>
          <w:szCs w:val="22"/>
        </w:rPr>
        <w:t>There w</w:t>
      </w:r>
      <w:r w:rsidR="007C3949">
        <w:rPr>
          <w:rFonts w:ascii="Calibri" w:hAnsi="Calibri"/>
          <w:sz w:val="22"/>
          <w:szCs w:val="22"/>
        </w:rPr>
        <w:t>as</w:t>
      </w:r>
      <w:r w:rsidRPr="007C3949">
        <w:rPr>
          <w:rFonts w:ascii="Calibri" w:hAnsi="Calibri"/>
          <w:sz w:val="22"/>
          <w:szCs w:val="22"/>
        </w:rPr>
        <w:t xml:space="preserve"> </w:t>
      </w:r>
      <w:r w:rsidR="008B555C">
        <w:rPr>
          <w:rFonts w:ascii="Calibri" w:hAnsi="Calibri"/>
          <w:sz w:val="22"/>
          <w:szCs w:val="22"/>
        </w:rPr>
        <w:t xml:space="preserve">a net increase of </w:t>
      </w:r>
      <w:r w:rsidR="00242B0B">
        <w:rPr>
          <w:rFonts w:ascii="Calibri" w:hAnsi="Calibri"/>
          <w:sz w:val="22"/>
          <w:szCs w:val="22"/>
        </w:rPr>
        <w:t>57</w:t>
      </w:r>
      <w:r w:rsidR="008B555C">
        <w:rPr>
          <w:rFonts w:ascii="Calibri" w:hAnsi="Calibri"/>
          <w:sz w:val="22"/>
          <w:szCs w:val="22"/>
        </w:rPr>
        <w:t xml:space="preserve"> units </w:t>
      </w:r>
      <w:r w:rsidRPr="007C3949">
        <w:rPr>
          <w:rFonts w:ascii="Calibri" w:hAnsi="Calibri"/>
          <w:sz w:val="22"/>
          <w:szCs w:val="22"/>
        </w:rPr>
        <w:t>in five to nine</w:t>
      </w:r>
      <w:r w:rsidR="007C3949">
        <w:rPr>
          <w:rFonts w:ascii="Calibri" w:hAnsi="Calibri"/>
          <w:sz w:val="22"/>
          <w:szCs w:val="22"/>
        </w:rPr>
        <w:t>-</w:t>
      </w:r>
      <w:r w:rsidRPr="007C3949">
        <w:rPr>
          <w:rFonts w:ascii="Calibri" w:hAnsi="Calibri"/>
          <w:sz w:val="22"/>
          <w:szCs w:val="22"/>
        </w:rPr>
        <w:t xml:space="preserve">unit properties </w:t>
      </w:r>
      <w:r w:rsidR="008B555C">
        <w:rPr>
          <w:rFonts w:ascii="Calibri" w:hAnsi="Calibri"/>
          <w:sz w:val="22"/>
          <w:szCs w:val="22"/>
        </w:rPr>
        <w:t>between 1990 and 20</w:t>
      </w:r>
      <w:r w:rsidR="00242B0B">
        <w:rPr>
          <w:rFonts w:ascii="Calibri" w:hAnsi="Calibri"/>
          <w:sz w:val="22"/>
          <w:szCs w:val="22"/>
        </w:rPr>
        <w:t>20</w:t>
      </w:r>
      <w:r w:rsidRPr="007C3949">
        <w:rPr>
          <w:rFonts w:ascii="Calibri" w:hAnsi="Calibri"/>
          <w:sz w:val="22"/>
          <w:szCs w:val="22"/>
        </w:rPr>
        <w:t xml:space="preserve">.  </w:t>
      </w:r>
    </w:p>
    <w:p w14:paraId="09D293A3" w14:textId="0FD23403" w:rsidR="007C3949" w:rsidRDefault="00FE7D3A" w:rsidP="005D3FC9">
      <w:pPr>
        <w:pStyle w:val="ListParagraph"/>
        <w:numPr>
          <w:ilvl w:val="0"/>
          <w:numId w:val="13"/>
        </w:numPr>
        <w:jc w:val="both"/>
        <w:rPr>
          <w:rFonts w:ascii="Calibri" w:hAnsi="Calibri"/>
          <w:sz w:val="22"/>
          <w:szCs w:val="22"/>
        </w:rPr>
      </w:pPr>
      <w:r w:rsidRPr="007C3949">
        <w:rPr>
          <w:rFonts w:ascii="Calibri" w:hAnsi="Calibri"/>
          <w:sz w:val="22"/>
          <w:szCs w:val="22"/>
        </w:rPr>
        <w:t>The 20</w:t>
      </w:r>
      <w:r w:rsidR="00242B0B">
        <w:rPr>
          <w:rFonts w:ascii="Calibri" w:hAnsi="Calibri"/>
          <w:sz w:val="22"/>
          <w:szCs w:val="22"/>
        </w:rPr>
        <w:t>20</w:t>
      </w:r>
      <w:r w:rsidRPr="007C3949">
        <w:rPr>
          <w:rFonts w:ascii="Calibri" w:hAnsi="Calibri"/>
          <w:sz w:val="22"/>
          <w:szCs w:val="22"/>
        </w:rPr>
        <w:t xml:space="preserve"> census estimates also suggest </w:t>
      </w:r>
      <w:r w:rsidR="007C3949">
        <w:rPr>
          <w:rFonts w:ascii="Calibri" w:hAnsi="Calibri"/>
          <w:sz w:val="22"/>
          <w:szCs w:val="22"/>
        </w:rPr>
        <w:t xml:space="preserve">an increase of </w:t>
      </w:r>
      <w:r w:rsidR="008B555C">
        <w:rPr>
          <w:rFonts w:ascii="Calibri" w:hAnsi="Calibri"/>
          <w:sz w:val="22"/>
          <w:szCs w:val="22"/>
        </w:rPr>
        <w:t>2</w:t>
      </w:r>
      <w:r w:rsidR="00C24F9B">
        <w:rPr>
          <w:rFonts w:ascii="Calibri" w:hAnsi="Calibri"/>
          <w:sz w:val="22"/>
          <w:szCs w:val="22"/>
        </w:rPr>
        <w:t>11</w:t>
      </w:r>
      <w:r w:rsidR="007C3949">
        <w:rPr>
          <w:rFonts w:ascii="Calibri" w:hAnsi="Calibri"/>
          <w:sz w:val="22"/>
          <w:szCs w:val="22"/>
        </w:rPr>
        <w:t xml:space="preserve"> units in properties of ten or more units since 2010 which undercounts the units created as part of </w:t>
      </w:r>
      <w:r w:rsidR="008B555C">
        <w:rPr>
          <w:rFonts w:ascii="Calibri" w:hAnsi="Calibri"/>
          <w:sz w:val="22"/>
          <w:szCs w:val="22"/>
        </w:rPr>
        <w:t>the large multi-family properties that have been permitted under Chapter 40B</w:t>
      </w:r>
      <w:r w:rsidR="007C3949">
        <w:rPr>
          <w:rFonts w:ascii="Calibri" w:hAnsi="Calibri"/>
          <w:sz w:val="22"/>
          <w:szCs w:val="22"/>
        </w:rPr>
        <w:t>.</w:t>
      </w:r>
      <w:r w:rsidR="008B555C">
        <w:rPr>
          <w:rFonts w:ascii="Calibri" w:hAnsi="Calibri"/>
          <w:sz w:val="22"/>
          <w:szCs w:val="22"/>
        </w:rPr>
        <w:t xml:space="preserve">  </w:t>
      </w:r>
      <w:r w:rsidR="006B1217">
        <w:rPr>
          <w:rFonts w:ascii="Calibri" w:hAnsi="Calibri"/>
          <w:sz w:val="22"/>
          <w:szCs w:val="22"/>
        </w:rPr>
        <w:t xml:space="preserve">It is clear that the </w:t>
      </w:r>
      <w:r w:rsidR="00504966">
        <w:rPr>
          <w:rFonts w:ascii="Calibri" w:hAnsi="Calibri"/>
          <w:sz w:val="22"/>
          <w:szCs w:val="22"/>
        </w:rPr>
        <w:t>20</w:t>
      </w:r>
      <w:r w:rsidR="00C24F9B">
        <w:rPr>
          <w:rFonts w:ascii="Calibri" w:hAnsi="Calibri"/>
          <w:sz w:val="22"/>
          <w:szCs w:val="22"/>
        </w:rPr>
        <w:t>20</w:t>
      </w:r>
      <w:r w:rsidR="00504966">
        <w:rPr>
          <w:rFonts w:ascii="Calibri" w:hAnsi="Calibri"/>
          <w:sz w:val="22"/>
          <w:szCs w:val="22"/>
        </w:rPr>
        <w:t xml:space="preserve"> </w:t>
      </w:r>
      <w:r w:rsidR="006B1217">
        <w:rPr>
          <w:rFonts w:ascii="Calibri" w:hAnsi="Calibri"/>
          <w:sz w:val="22"/>
          <w:szCs w:val="22"/>
        </w:rPr>
        <w:t xml:space="preserve">census overestimates the increase in single-family units while underestimating the growth of units in large rental developments. </w:t>
      </w:r>
      <w:r w:rsidR="0046491E">
        <w:rPr>
          <w:rFonts w:ascii="Calibri" w:hAnsi="Calibri"/>
          <w:sz w:val="22"/>
          <w:szCs w:val="22"/>
        </w:rPr>
        <w:t xml:space="preserve"> </w:t>
      </w:r>
      <w:r w:rsidR="006B1217">
        <w:rPr>
          <w:rFonts w:ascii="Calibri" w:hAnsi="Calibri"/>
          <w:sz w:val="22"/>
          <w:szCs w:val="22"/>
        </w:rPr>
        <w:t>Table III-22 indicates</w:t>
      </w:r>
      <w:r w:rsidR="00F12C0A">
        <w:rPr>
          <w:rFonts w:ascii="Calibri" w:hAnsi="Calibri"/>
          <w:sz w:val="22"/>
          <w:szCs w:val="22"/>
        </w:rPr>
        <w:t xml:space="preserve"> that 666 units were built as part of multi-family development.  For example, 526 units were produced as part of The Kendrick and Modera Needham projects alone.</w:t>
      </w:r>
    </w:p>
    <w:p w14:paraId="6E76787A" w14:textId="0E221030" w:rsidR="008772FC" w:rsidRDefault="008772FC" w:rsidP="005D3FC9">
      <w:pPr>
        <w:pStyle w:val="ListParagraph"/>
        <w:numPr>
          <w:ilvl w:val="0"/>
          <w:numId w:val="13"/>
        </w:numPr>
        <w:jc w:val="both"/>
        <w:rPr>
          <w:rFonts w:ascii="Calibri" w:hAnsi="Calibri"/>
          <w:sz w:val="22"/>
          <w:szCs w:val="22"/>
        </w:rPr>
      </w:pPr>
      <w:r w:rsidRPr="007C3949">
        <w:rPr>
          <w:rFonts w:ascii="Calibri" w:hAnsi="Calibri"/>
          <w:sz w:val="22"/>
          <w:szCs w:val="22"/>
        </w:rPr>
        <w:lastRenderedPageBreak/>
        <w:t>The number of units in the “other</w:t>
      </w:r>
      <w:r w:rsidR="009C2942">
        <w:rPr>
          <w:rFonts w:ascii="Calibri" w:hAnsi="Calibri"/>
          <w:sz w:val="22"/>
          <w:szCs w:val="22"/>
        </w:rPr>
        <w:t xml:space="preserve">” </w:t>
      </w:r>
      <w:r w:rsidRPr="007C3949">
        <w:rPr>
          <w:rFonts w:ascii="Calibri" w:hAnsi="Calibri"/>
          <w:sz w:val="22"/>
          <w:szCs w:val="22"/>
        </w:rPr>
        <w:t>category</w:t>
      </w:r>
      <w:r w:rsidR="00EF343F">
        <w:rPr>
          <w:rFonts w:ascii="Calibri" w:hAnsi="Calibri"/>
          <w:sz w:val="22"/>
          <w:szCs w:val="22"/>
        </w:rPr>
        <w:t>,</w:t>
      </w:r>
      <w:r w:rsidRPr="007C3949">
        <w:rPr>
          <w:rFonts w:ascii="Calibri" w:hAnsi="Calibri"/>
          <w:sz w:val="22"/>
          <w:szCs w:val="22"/>
        </w:rPr>
        <w:t xml:space="preserve"> which includes mobile homes, RV’s, houseboats, etc., decreased to </w:t>
      </w:r>
      <w:r w:rsidR="00EF343F">
        <w:rPr>
          <w:rFonts w:ascii="Calibri" w:hAnsi="Calibri"/>
          <w:sz w:val="22"/>
          <w:szCs w:val="22"/>
        </w:rPr>
        <w:t>ten units according to census estimates</w:t>
      </w:r>
      <w:r w:rsidRPr="007C3949">
        <w:rPr>
          <w:rFonts w:ascii="Calibri" w:hAnsi="Calibri"/>
          <w:sz w:val="22"/>
          <w:szCs w:val="22"/>
        </w:rPr>
        <w:t>.</w:t>
      </w:r>
      <w:r w:rsidR="00EF343F">
        <w:rPr>
          <w:rFonts w:ascii="Calibri" w:hAnsi="Calibri"/>
          <w:sz w:val="22"/>
          <w:szCs w:val="22"/>
        </w:rPr>
        <w:t xml:space="preserve">  This is incorrect as Assessor’s data indicates that there are no such units remaining in Needham.</w:t>
      </w:r>
    </w:p>
    <w:p w14:paraId="0E4AB076" w14:textId="77777777" w:rsidR="00EF343F" w:rsidRDefault="00EF343F" w:rsidP="00EF343F">
      <w:pPr>
        <w:pStyle w:val="ListParagraph"/>
        <w:jc w:val="both"/>
        <w:rPr>
          <w:rFonts w:ascii="Calibri" w:hAnsi="Calibri"/>
          <w:sz w:val="22"/>
          <w:szCs w:val="22"/>
        </w:rPr>
      </w:pPr>
    </w:p>
    <w:p w14:paraId="534BCC1E" w14:textId="7E8B2467" w:rsidR="008772FC" w:rsidRPr="00ED5DBF" w:rsidRDefault="008772FC" w:rsidP="008772FC">
      <w:pPr>
        <w:ind w:left="1440" w:right="-720" w:firstLine="720"/>
        <w:rPr>
          <w:rFonts w:asciiTheme="minorHAnsi" w:hAnsiTheme="minorHAnsi"/>
          <w:b/>
          <w:sz w:val="22"/>
          <w:szCs w:val="22"/>
        </w:rPr>
      </w:pPr>
      <w:r w:rsidRPr="00ED5DBF">
        <w:rPr>
          <w:rFonts w:asciiTheme="minorHAnsi" w:hAnsiTheme="minorHAnsi"/>
          <w:b/>
          <w:bCs/>
          <w:sz w:val="22"/>
          <w:szCs w:val="22"/>
        </w:rPr>
        <w:t xml:space="preserve">Table </w:t>
      </w:r>
      <w:r w:rsidR="00A166AA">
        <w:rPr>
          <w:rFonts w:asciiTheme="minorHAnsi" w:hAnsiTheme="minorHAnsi"/>
          <w:b/>
          <w:bCs/>
          <w:sz w:val="22"/>
          <w:szCs w:val="22"/>
        </w:rPr>
        <w:t>III-2</w:t>
      </w:r>
      <w:r w:rsidR="00F54479">
        <w:rPr>
          <w:rFonts w:asciiTheme="minorHAnsi" w:hAnsiTheme="minorHAnsi"/>
          <w:b/>
          <w:bCs/>
          <w:sz w:val="22"/>
          <w:szCs w:val="22"/>
        </w:rPr>
        <w:t>5</w:t>
      </w:r>
      <w:r w:rsidRPr="00ED5DBF">
        <w:rPr>
          <w:rFonts w:asciiTheme="minorHAnsi" w:hAnsiTheme="minorHAnsi"/>
          <w:b/>
          <w:bCs/>
          <w:sz w:val="22"/>
          <w:szCs w:val="22"/>
        </w:rPr>
        <w:t xml:space="preserve">: </w:t>
      </w:r>
      <w:r w:rsidRPr="00ED5DBF">
        <w:rPr>
          <w:rFonts w:asciiTheme="minorHAnsi" w:hAnsiTheme="minorHAnsi"/>
          <w:b/>
          <w:sz w:val="22"/>
          <w:szCs w:val="22"/>
        </w:rPr>
        <w:t>Units by Type of Structure, 1990 to 20</w:t>
      </w:r>
      <w:r w:rsidR="00D0367A">
        <w:rPr>
          <w:rFonts w:asciiTheme="minorHAnsi" w:hAnsiTheme="minorHAnsi"/>
          <w:b/>
          <w:sz w:val="22"/>
          <w:szCs w:val="22"/>
        </w:rPr>
        <w:t>20</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7"/>
        <w:gridCol w:w="990"/>
        <w:gridCol w:w="900"/>
        <w:gridCol w:w="1260"/>
        <w:gridCol w:w="1080"/>
        <w:gridCol w:w="1050"/>
        <w:gridCol w:w="931"/>
        <w:gridCol w:w="960"/>
        <w:gridCol w:w="840"/>
      </w:tblGrid>
      <w:tr w:rsidR="00A526D8" w:rsidRPr="004E50E7" w14:paraId="4AF5A08E" w14:textId="77777777" w:rsidTr="00A526D8">
        <w:trPr>
          <w:cantSplit/>
        </w:trPr>
        <w:tc>
          <w:tcPr>
            <w:tcW w:w="1727" w:type="dxa"/>
            <w:vMerge w:val="restart"/>
            <w:tcBorders>
              <w:top w:val="single" w:sz="4" w:space="0" w:color="auto"/>
              <w:left w:val="single" w:sz="4" w:space="0" w:color="auto"/>
            </w:tcBorders>
          </w:tcPr>
          <w:p w14:paraId="1DE270C5" w14:textId="77777777" w:rsidR="00A526D8" w:rsidRPr="004E50E7" w:rsidRDefault="00A526D8" w:rsidP="008F2513">
            <w:pPr>
              <w:rPr>
                <w:rFonts w:ascii="Calibri" w:hAnsi="Calibri"/>
                <w:b/>
                <w:bCs/>
              </w:rPr>
            </w:pPr>
            <w:r w:rsidRPr="004E50E7">
              <w:rPr>
                <w:rFonts w:ascii="Calibri" w:hAnsi="Calibri"/>
                <w:b/>
                <w:bCs/>
                <w:sz w:val="22"/>
              </w:rPr>
              <w:t xml:space="preserve">Type of </w:t>
            </w:r>
          </w:p>
          <w:p w14:paraId="130CEF30" w14:textId="77777777" w:rsidR="00A526D8" w:rsidRPr="004E50E7" w:rsidRDefault="00A526D8" w:rsidP="008F2513">
            <w:pPr>
              <w:rPr>
                <w:rFonts w:ascii="Calibri" w:hAnsi="Calibri"/>
                <w:b/>
                <w:bCs/>
              </w:rPr>
            </w:pPr>
            <w:r w:rsidRPr="004E50E7">
              <w:rPr>
                <w:rFonts w:ascii="Calibri" w:hAnsi="Calibri"/>
                <w:b/>
                <w:bCs/>
                <w:sz w:val="22"/>
              </w:rPr>
              <w:t>Structure</w:t>
            </w:r>
          </w:p>
        </w:tc>
        <w:tc>
          <w:tcPr>
            <w:tcW w:w="1890" w:type="dxa"/>
            <w:gridSpan w:val="2"/>
          </w:tcPr>
          <w:p w14:paraId="7240D20F" w14:textId="77777777" w:rsidR="00A526D8" w:rsidRPr="004E50E7" w:rsidRDefault="00A526D8" w:rsidP="00DB4213">
            <w:pPr>
              <w:jc w:val="center"/>
              <w:rPr>
                <w:rFonts w:ascii="Calibri" w:hAnsi="Calibri"/>
                <w:b/>
                <w:bCs/>
              </w:rPr>
            </w:pPr>
            <w:r w:rsidRPr="004E50E7">
              <w:rPr>
                <w:rFonts w:ascii="Calibri" w:hAnsi="Calibri"/>
                <w:b/>
                <w:bCs/>
                <w:sz w:val="22"/>
              </w:rPr>
              <w:t>1990</w:t>
            </w:r>
          </w:p>
        </w:tc>
        <w:tc>
          <w:tcPr>
            <w:tcW w:w="2340" w:type="dxa"/>
            <w:gridSpan w:val="2"/>
          </w:tcPr>
          <w:p w14:paraId="3BC7908C" w14:textId="77777777" w:rsidR="00A526D8" w:rsidRPr="004E50E7" w:rsidRDefault="00A526D8" w:rsidP="00DB4213">
            <w:pPr>
              <w:jc w:val="center"/>
              <w:rPr>
                <w:rFonts w:ascii="Calibri" w:hAnsi="Calibri"/>
                <w:b/>
                <w:bCs/>
              </w:rPr>
            </w:pPr>
            <w:r w:rsidRPr="004E50E7">
              <w:rPr>
                <w:rFonts w:ascii="Calibri" w:hAnsi="Calibri"/>
                <w:b/>
                <w:bCs/>
                <w:sz w:val="22"/>
              </w:rPr>
              <w:t>2000</w:t>
            </w:r>
          </w:p>
        </w:tc>
        <w:tc>
          <w:tcPr>
            <w:tcW w:w="1981" w:type="dxa"/>
            <w:gridSpan w:val="2"/>
            <w:shd w:val="clear" w:color="auto" w:fill="auto"/>
          </w:tcPr>
          <w:p w14:paraId="72011184" w14:textId="77777777" w:rsidR="00A526D8" w:rsidRPr="004E50E7" w:rsidRDefault="00A526D8" w:rsidP="00DB4213">
            <w:pPr>
              <w:jc w:val="center"/>
              <w:rPr>
                <w:rFonts w:ascii="Calibri" w:hAnsi="Calibri"/>
                <w:b/>
                <w:bCs/>
              </w:rPr>
            </w:pPr>
            <w:r w:rsidRPr="004E50E7">
              <w:rPr>
                <w:rFonts w:ascii="Calibri" w:hAnsi="Calibri"/>
                <w:b/>
                <w:bCs/>
                <w:sz w:val="22"/>
              </w:rPr>
              <w:t>201</w:t>
            </w:r>
            <w:r>
              <w:rPr>
                <w:rFonts w:ascii="Calibri" w:hAnsi="Calibri"/>
                <w:b/>
                <w:bCs/>
                <w:sz w:val="22"/>
              </w:rPr>
              <w:t>0</w:t>
            </w:r>
          </w:p>
        </w:tc>
        <w:tc>
          <w:tcPr>
            <w:tcW w:w="1800" w:type="dxa"/>
            <w:gridSpan w:val="2"/>
            <w:shd w:val="clear" w:color="auto" w:fill="auto"/>
          </w:tcPr>
          <w:p w14:paraId="2E09D9CF" w14:textId="083EA67C" w:rsidR="00A526D8" w:rsidRPr="00A526D8" w:rsidRDefault="00A526D8" w:rsidP="00DB4213">
            <w:pPr>
              <w:jc w:val="center"/>
              <w:rPr>
                <w:rFonts w:asciiTheme="minorHAnsi" w:hAnsiTheme="minorHAnsi" w:cs="Lucida Sans Unicode"/>
                <w:b/>
              </w:rPr>
            </w:pPr>
            <w:r w:rsidRPr="00A526D8">
              <w:rPr>
                <w:rFonts w:asciiTheme="minorHAnsi" w:hAnsiTheme="minorHAnsi" w:cs="Lucida Sans Unicode"/>
                <w:b/>
                <w:sz w:val="22"/>
                <w:szCs w:val="22"/>
              </w:rPr>
              <w:t>20</w:t>
            </w:r>
            <w:r w:rsidR="00D0367A">
              <w:rPr>
                <w:rFonts w:asciiTheme="minorHAnsi" w:hAnsiTheme="minorHAnsi" w:cs="Lucida Sans Unicode"/>
                <w:b/>
                <w:sz w:val="22"/>
                <w:szCs w:val="22"/>
              </w:rPr>
              <w:t>20</w:t>
            </w:r>
          </w:p>
        </w:tc>
      </w:tr>
      <w:tr w:rsidR="00A526D8" w:rsidRPr="004E50E7" w14:paraId="11193B7F" w14:textId="77777777" w:rsidTr="00A526D8">
        <w:trPr>
          <w:cantSplit/>
        </w:trPr>
        <w:tc>
          <w:tcPr>
            <w:tcW w:w="1727" w:type="dxa"/>
            <w:vMerge/>
            <w:tcBorders>
              <w:left w:val="single" w:sz="4" w:space="0" w:color="auto"/>
            </w:tcBorders>
          </w:tcPr>
          <w:p w14:paraId="4C1D56EE" w14:textId="77777777" w:rsidR="00A526D8" w:rsidRPr="004E50E7" w:rsidRDefault="00A526D8" w:rsidP="008F2513">
            <w:pPr>
              <w:rPr>
                <w:rFonts w:ascii="Calibri" w:hAnsi="Calibri"/>
              </w:rPr>
            </w:pPr>
          </w:p>
        </w:tc>
        <w:tc>
          <w:tcPr>
            <w:tcW w:w="990" w:type="dxa"/>
          </w:tcPr>
          <w:p w14:paraId="1C9CBF28" w14:textId="77777777" w:rsidR="00A526D8" w:rsidRPr="004E50E7" w:rsidRDefault="00A526D8" w:rsidP="008F2513">
            <w:pPr>
              <w:pStyle w:val="Footer"/>
              <w:jc w:val="center"/>
              <w:rPr>
                <w:rFonts w:ascii="Calibri" w:hAnsi="Calibri"/>
                <w:b/>
                <w:bCs/>
              </w:rPr>
            </w:pPr>
            <w:r w:rsidRPr="004E50E7">
              <w:rPr>
                <w:rFonts w:ascii="Calibri" w:hAnsi="Calibri"/>
                <w:b/>
                <w:bCs/>
                <w:sz w:val="22"/>
              </w:rPr>
              <w:t>#</w:t>
            </w:r>
          </w:p>
        </w:tc>
        <w:tc>
          <w:tcPr>
            <w:tcW w:w="900" w:type="dxa"/>
          </w:tcPr>
          <w:p w14:paraId="445E1B14" w14:textId="77777777" w:rsidR="00A526D8" w:rsidRPr="004E50E7" w:rsidRDefault="00A526D8" w:rsidP="008F2513">
            <w:pPr>
              <w:jc w:val="center"/>
              <w:rPr>
                <w:rFonts w:ascii="Calibri" w:hAnsi="Calibri"/>
                <w:b/>
                <w:bCs/>
              </w:rPr>
            </w:pPr>
            <w:r w:rsidRPr="004E50E7">
              <w:rPr>
                <w:rFonts w:ascii="Calibri" w:hAnsi="Calibri"/>
                <w:b/>
                <w:bCs/>
                <w:sz w:val="22"/>
              </w:rPr>
              <w:t>%</w:t>
            </w:r>
          </w:p>
        </w:tc>
        <w:tc>
          <w:tcPr>
            <w:tcW w:w="1260" w:type="dxa"/>
          </w:tcPr>
          <w:p w14:paraId="694194EC" w14:textId="77777777" w:rsidR="00A526D8" w:rsidRPr="004E50E7" w:rsidRDefault="00A526D8" w:rsidP="008F2513">
            <w:pPr>
              <w:jc w:val="center"/>
              <w:rPr>
                <w:rFonts w:ascii="Calibri" w:hAnsi="Calibri"/>
                <w:b/>
                <w:bCs/>
              </w:rPr>
            </w:pPr>
            <w:r w:rsidRPr="004E50E7">
              <w:rPr>
                <w:rFonts w:ascii="Calibri" w:hAnsi="Calibri"/>
                <w:b/>
                <w:bCs/>
                <w:sz w:val="22"/>
              </w:rPr>
              <w:t>#</w:t>
            </w:r>
          </w:p>
        </w:tc>
        <w:tc>
          <w:tcPr>
            <w:tcW w:w="1080" w:type="dxa"/>
          </w:tcPr>
          <w:p w14:paraId="13FB0697" w14:textId="77777777" w:rsidR="00A526D8" w:rsidRPr="004E50E7" w:rsidRDefault="00A526D8" w:rsidP="008F2513">
            <w:pPr>
              <w:jc w:val="center"/>
              <w:rPr>
                <w:rFonts w:ascii="Calibri" w:hAnsi="Calibri"/>
                <w:b/>
                <w:bCs/>
              </w:rPr>
            </w:pPr>
            <w:r w:rsidRPr="004E50E7">
              <w:rPr>
                <w:rFonts w:ascii="Calibri" w:hAnsi="Calibri"/>
                <w:b/>
                <w:bCs/>
                <w:sz w:val="22"/>
              </w:rPr>
              <w:t>%</w:t>
            </w:r>
          </w:p>
        </w:tc>
        <w:tc>
          <w:tcPr>
            <w:tcW w:w="1050" w:type="dxa"/>
            <w:shd w:val="clear" w:color="auto" w:fill="auto"/>
          </w:tcPr>
          <w:p w14:paraId="20389511" w14:textId="77777777" w:rsidR="00A526D8" w:rsidRPr="004E50E7" w:rsidRDefault="00A526D8" w:rsidP="00EF0B39">
            <w:pPr>
              <w:jc w:val="center"/>
              <w:rPr>
                <w:rFonts w:ascii="Calibri" w:hAnsi="Calibri"/>
                <w:b/>
                <w:bCs/>
              </w:rPr>
            </w:pPr>
            <w:r w:rsidRPr="004E50E7">
              <w:rPr>
                <w:rFonts w:ascii="Calibri" w:hAnsi="Calibri"/>
                <w:b/>
                <w:bCs/>
                <w:sz w:val="22"/>
              </w:rPr>
              <w:t>#</w:t>
            </w:r>
          </w:p>
        </w:tc>
        <w:tc>
          <w:tcPr>
            <w:tcW w:w="931" w:type="dxa"/>
            <w:shd w:val="clear" w:color="auto" w:fill="auto"/>
          </w:tcPr>
          <w:p w14:paraId="35BB6838" w14:textId="77777777" w:rsidR="00A526D8" w:rsidRPr="004E50E7" w:rsidRDefault="00A526D8" w:rsidP="00EF0B39">
            <w:pPr>
              <w:jc w:val="center"/>
              <w:rPr>
                <w:rFonts w:ascii="Calibri" w:hAnsi="Calibri"/>
                <w:b/>
                <w:bCs/>
              </w:rPr>
            </w:pPr>
            <w:r w:rsidRPr="004E50E7">
              <w:rPr>
                <w:rFonts w:ascii="Calibri" w:hAnsi="Calibri"/>
                <w:b/>
                <w:bCs/>
                <w:sz w:val="22"/>
              </w:rPr>
              <w:t>%</w:t>
            </w:r>
          </w:p>
        </w:tc>
        <w:tc>
          <w:tcPr>
            <w:tcW w:w="960" w:type="dxa"/>
            <w:shd w:val="clear" w:color="auto" w:fill="auto"/>
          </w:tcPr>
          <w:p w14:paraId="719A0B46" w14:textId="77777777" w:rsidR="00A526D8" w:rsidRPr="004E50E7" w:rsidRDefault="00A526D8" w:rsidP="00EF0B39">
            <w:pPr>
              <w:jc w:val="center"/>
              <w:rPr>
                <w:rFonts w:ascii="Calibri" w:hAnsi="Calibri"/>
                <w:b/>
                <w:bCs/>
              </w:rPr>
            </w:pPr>
            <w:r w:rsidRPr="004E50E7">
              <w:rPr>
                <w:rFonts w:ascii="Calibri" w:hAnsi="Calibri"/>
                <w:b/>
                <w:bCs/>
                <w:sz w:val="22"/>
              </w:rPr>
              <w:t>#</w:t>
            </w:r>
          </w:p>
        </w:tc>
        <w:tc>
          <w:tcPr>
            <w:tcW w:w="840" w:type="dxa"/>
            <w:shd w:val="clear" w:color="auto" w:fill="auto"/>
          </w:tcPr>
          <w:p w14:paraId="3DAF81F4" w14:textId="77777777" w:rsidR="00A526D8" w:rsidRPr="004E50E7" w:rsidRDefault="00A526D8" w:rsidP="00EF0B39">
            <w:pPr>
              <w:jc w:val="center"/>
              <w:rPr>
                <w:rFonts w:ascii="Calibri" w:hAnsi="Calibri"/>
                <w:b/>
                <w:bCs/>
              </w:rPr>
            </w:pPr>
            <w:r w:rsidRPr="004E50E7">
              <w:rPr>
                <w:rFonts w:ascii="Calibri" w:hAnsi="Calibri"/>
                <w:b/>
                <w:bCs/>
                <w:sz w:val="22"/>
              </w:rPr>
              <w:t>%</w:t>
            </w:r>
          </w:p>
        </w:tc>
      </w:tr>
      <w:tr w:rsidR="00A526D8" w:rsidRPr="004E50E7" w14:paraId="3CCBBC4E" w14:textId="77777777" w:rsidTr="00A526D8">
        <w:trPr>
          <w:cantSplit/>
        </w:trPr>
        <w:tc>
          <w:tcPr>
            <w:tcW w:w="1727" w:type="dxa"/>
          </w:tcPr>
          <w:p w14:paraId="100C200D" w14:textId="77777777" w:rsidR="00A526D8" w:rsidRPr="004E50E7" w:rsidRDefault="00A526D8" w:rsidP="008F2513">
            <w:pPr>
              <w:pStyle w:val="BodyTextIndent"/>
              <w:spacing w:after="0"/>
              <w:ind w:left="0" w:right="-720"/>
              <w:rPr>
                <w:rFonts w:ascii="Calibri" w:hAnsi="Calibri"/>
                <w:sz w:val="20"/>
              </w:rPr>
            </w:pPr>
            <w:r w:rsidRPr="004E50E7">
              <w:rPr>
                <w:rFonts w:ascii="Calibri" w:hAnsi="Calibri"/>
                <w:sz w:val="20"/>
              </w:rPr>
              <w:t>1-unit detached</w:t>
            </w:r>
          </w:p>
        </w:tc>
        <w:tc>
          <w:tcPr>
            <w:tcW w:w="990" w:type="dxa"/>
          </w:tcPr>
          <w:p w14:paraId="3C364CF1"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8,185</w:t>
            </w:r>
          </w:p>
        </w:tc>
        <w:tc>
          <w:tcPr>
            <w:tcW w:w="900" w:type="dxa"/>
          </w:tcPr>
          <w:p w14:paraId="0A329890"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78.7</w:t>
            </w:r>
          </w:p>
        </w:tc>
        <w:tc>
          <w:tcPr>
            <w:tcW w:w="1260" w:type="dxa"/>
          </w:tcPr>
          <w:p w14:paraId="52138C13"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8,333</w:t>
            </w:r>
          </w:p>
        </w:tc>
        <w:tc>
          <w:tcPr>
            <w:tcW w:w="1080" w:type="dxa"/>
          </w:tcPr>
          <w:p w14:paraId="52F1A4D8"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76.8</w:t>
            </w:r>
          </w:p>
        </w:tc>
        <w:tc>
          <w:tcPr>
            <w:tcW w:w="1050" w:type="dxa"/>
            <w:shd w:val="clear" w:color="auto" w:fill="auto"/>
          </w:tcPr>
          <w:p w14:paraId="1B4DDA8C"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8,329</w:t>
            </w:r>
          </w:p>
        </w:tc>
        <w:tc>
          <w:tcPr>
            <w:tcW w:w="931" w:type="dxa"/>
            <w:shd w:val="clear" w:color="auto" w:fill="auto"/>
          </w:tcPr>
          <w:p w14:paraId="14C5EBCD"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77.3</w:t>
            </w:r>
          </w:p>
        </w:tc>
        <w:tc>
          <w:tcPr>
            <w:tcW w:w="960" w:type="dxa"/>
            <w:shd w:val="clear" w:color="auto" w:fill="auto"/>
          </w:tcPr>
          <w:p w14:paraId="07F3E122" w14:textId="1F02E045" w:rsidR="00A526D8" w:rsidRPr="0000453F" w:rsidRDefault="00806B9E" w:rsidP="008F2513">
            <w:pPr>
              <w:jc w:val="center"/>
              <w:rPr>
                <w:rFonts w:asciiTheme="minorHAnsi" w:hAnsiTheme="minorHAnsi" w:cs="Lucida Sans Unicode"/>
                <w:sz w:val="20"/>
                <w:szCs w:val="20"/>
              </w:rPr>
            </w:pPr>
            <w:r>
              <w:rPr>
                <w:rFonts w:asciiTheme="minorHAnsi" w:hAnsiTheme="minorHAnsi" w:cs="Lucida Sans Unicode"/>
                <w:sz w:val="20"/>
                <w:szCs w:val="20"/>
              </w:rPr>
              <w:t>8,700</w:t>
            </w:r>
          </w:p>
        </w:tc>
        <w:tc>
          <w:tcPr>
            <w:tcW w:w="840" w:type="dxa"/>
            <w:shd w:val="clear" w:color="auto" w:fill="auto"/>
          </w:tcPr>
          <w:p w14:paraId="321077AB" w14:textId="7D49FF19" w:rsidR="00A526D8" w:rsidRPr="0000453F" w:rsidRDefault="00806B9E" w:rsidP="0000453F">
            <w:pPr>
              <w:jc w:val="center"/>
              <w:rPr>
                <w:rFonts w:asciiTheme="minorHAnsi" w:hAnsiTheme="minorHAnsi" w:cs="Lucida Sans Unicode"/>
                <w:sz w:val="20"/>
                <w:szCs w:val="20"/>
              </w:rPr>
            </w:pPr>
            <w:r>
              <w:rPr>
                <w:rFonts w:asciiTheme="minorHAnsi" w:hAnsiTheme="minorHAnsi" w:cs="Lucida Sans Unicode"/>
                <w:sz w:val="20"/>
                <w:szCs w:val="20"/>
              </w:rPr>
              <w:t>77.6</w:t>
            </w:r>
          </w:p>
        </w:tc>
      </w:tr>
      <w:tr w:rsidR="00A526D8" w:rsidRPr="004E50E7" w14:paraId="4A143427" w14:textId="77777777" w:rsidTr="0000453F">
        <w:trPr>
          <w:cantSplit/>
          <w:trHeight w:val="260"/>
        </w:trPr>
        <w:tc>
          <w:tcPr>
            <w:tcW w:w="1727" w:type="dxa"/>
          </w:tcPr>
          <w:p w14:paraId="6F03C65D" w14:textId="77777777" w:rsidR="00A526D8" w:rsidRPr="004E50E7" w:rsidRDefault="00A526D8" w:rsidP="008F2513">
            <w:pPr>
              <w:pStyle w:val="BodyText"/>
              <w:spacing w:after="0"/>
              <w:ind w:right="-720"/>
              <w:rPr>
                <w:rFonts w:ascii="Calibri" w:hAnsi="Calibri"/>
                <w:sz w:val="20"/>
              </w:rPr>
            </w:pPr>
            <w:r w:rsidRPr="004E50E7">
              <w:rPr>
                <w:rFonts w:ascii="Calibri" w:hAnsi="Calibri"/>
                <w:sz w:val="20"/>
              </w:rPr>
              <w:t>1-unit attached</w:t>
            </w:r>
          </w:p>
        </w:tc>
        <w:tc>
          <w:tcPr>
            <w:tcW w:w="990" w:type="dxa"/>
          </w:tcPr>
          <w:p w14:paraId="7EDDC94E"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237</w:t>
            </w:r>
          </w:p>
        </w:tc>
        <w:tc>
          <w:tcPr>
            <w:tcW w:w="900" w:type="dxa"/>
          </w:tcPr>
          <w:p w14:paraId="1D80A85A" w14:textId="77777777" w:rsidR="0000453F" w:rsidRPr="0000453F" w:rsidRDefault="00A526D8" w:rsidP="0000453F">
            <w:pPr>
              <w:jc w:val="center"/>
              <w:rPr>
                <w:rFonts w:asciiTheme="minorHAnsi" w:hAnsiTheme="minorHAnsi"/>
                <w:sz w:val="20"/>
                <w:szCs w:val="20"/>
              </w:rPr>
            </w:pPr>
            <w:r w:rsidRPr="0000453F">
              <w:rPr>
                <w:rFonts w:asciiTheme="minorHAnsi" w:hAnsiTheme="minorHAnsi"/>
                <w:sz w:val="20"/>
                <w:szCs w:val="20"/>
              </w:rPr>
              <w:t>2.3</w:t>
            </w:r>
          </w:p>
        </w:tc>
        <w:tc>
          <w:tcPr>
            <w:tcW w:w="1260" w:type="dxa"/>
          </w:tcPr>
          <w:p w14:paraId="6BC757A3" w14:textId="77777777" w:rsidR="00A526D8" w:rsidRPr="0000453F" w:rsidRDefault="00A526D8" w:rsidP="008F2513">
            <w:pPr>
              <w:pStyle w:val="HeaderEven"/>
              <w:keepLines w:val="0"/>
              <w:pBdr>
                <w:bottom w:val="none" w:sz="0" w:space="0" w:color="auto"/>
              </w:pBdr>
              <w:tabs>
                <w:tab w:val="clear" w:pos="4320"/>
                <w:tab w:val="clear" w:pos="8640"/>
              </w:tabs>
              <w:spacing w:after="0" w:line="240" w:lineRule="auto"/>
              <w:rPr>
                <w:rFonts w:asciiTheme="minorHAnsi" w:hAnsiTheme="minorHAnsi"/>
                <w:spacing w:val="0"/>
                <w:szCs w:val="20"/>
              </w:rPr>
            </w:pPr>
            <w:r w:rsidRPr="0000453F">
              <w:rPr>
                <w:rFonts w:asciiTheme="minorHAnsi" w:hAnsiTheme="minorHAnsi"/>
                <w:spacing w:val="0"/>
                <w:szCs w:val="20"/>
              </w:rPr>
              <w:t>317</w:t>
            </w:r>
          </w:p>
        </w:tc>
        <w:tc>
          <w:tcPr>
            <w:tcW w:w="1080" w:type="dxa"/>
          </w:tcPr>
          <w:p w14:paraId="597A0B57"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2.9</w:t>
            </w:r>
          </w:p>
        </w:tc>
        <w:tc>
          <w:tcPr>
            <w:tcW w:w="1050" w:type="dxa"/>
            <w:shd w:val="clear" w:color="auto" w:fill="auto"/>
          </w:tcPr>
          <w:p w14:paraId="3A11DDA6" w14:textId="77777777" w:rsidR="00A526D8" w:rsidRPr="0000453F" w:rsidRDefault="0000453F" w:rsidP="008F2513">
            <w:pPr>
              <w:pStyle w:val="HeaderEven"/>
              <w:keepLines w:val="0"/>
              <w:pBdr>
                <w:bottom w:val="none" w:sz="0" w:space="0" w:color="auto"/>
              </w:pBdr>
              <w:tabs>
                <w:tab w:val="clear" w:pos="4320"/>
                <w:tab w:val="clear" w:pos="8640"/>
              </w:tabs>
              <w:spacing w:after="0" w:line="240" w:lineRule="auto"/>
              <w:rPr>
                <w:rFonts w:asciiTheme="minorHAnsi" w:hAnsiTheme="minorHAnsi"/>
                <w:spacing w:val="0"/>
                <w:szCs w:val="20"/>
              </w:rPr>
            </w:pPr>
            <w:r>
              <w:rPr>
                <w:rFonts w:asciiTheme="minorHAnsi" w:hAnsiTheme="minorHAnsi"/>
                <w:spacing w:val="0"/>
                <w:szCs w:val="20"/>
              </w:rPr>
              <w:t>619</w:t>
            </w:r>
          </w:p>
        </w:tc>
        <w:tc>
          <w:tcPr>
            <w:tcW w:w="931" w:type="dxa"/>
            <w:shd w:val="clear" w:color="auto" w:fill="auto"/>
          </w:tcPr>
          <w:p w14:paraId="5A71095D" w14:textId="77777777" w:rsidR="00A526D8" w:rsidRPr="0000453F" w:rsidRDefault="0000453F" w:rsidP="008F2513">
            <w:pPr>
              <w:pStyle w:val="HeaderEven"/>
              <w:keepLines w:val="0"/>
              <w:pBdr>
                <w:bottom w:val="none" w:sz="0" w:space="0" w:color="auto"/>
              </w:pBdr>
              <w:tabs>
                <w:tab w:val="clear" w:pos="4320"/>
                <w:tab w:val="clear" w:pos="8640"/>
              </w:tabs>
              <w:spacing w:after="0" w:line="240" w:lineRule="auto"/>
              <w:rPr>
                <w:rFonts w:asciiTheme="minorHAnsi" w:hAnsiTheme="minorHAnsi"/>
                <w:spacing w:val="0"/>
                <w:szCs w:val="20"/>
              </w:rPr>
            </w:pPr>
            <w:r>
              <w:rPr>
                <w:rFonts w:asciiTheme="minorHAnsi" w:hAnsiTheme="minorHAnsi"/>
                <w:spacing w:val="0"/>
                <w:szCs w:val="20"/>
              </w:rPr>
              <w:t>5.7</w:t>
            </w:r>
          </w:p>
        </w:tc>
        <w:tc>
          <w:tcPr>
            <w:tcW w:w="960" w:type="dxa"/>
            <w:shd w:val="clear" w:color="auto" w:fill="auto"/>
          </w:tcPr>
          <w:p w14:paraId="3D810961" w14:textId="00E10B16" w:rsidR="00A526D8" w:rsidRPr="0000453F" w:rsidRDefault="00806B9E" w:rsidP="008F2513">
            <w:pPr>
              <w:jc w:val="center"/>
              <w:rPr>
                <w:rFonts w:asciiTheme="minorHAnsi" w:hAnsiTheme="minorHAnsi" w:cs="Lucida Sans Unicode"/>
                <w:sz w:val="20"/>
                <w:szCs w:val="20"/>
              </w:rPr>
            </w:pPr>
            <w:r>
              <w:rPr>
                <w:rFonts w:asciiTheme="minorHAnsi" w:hAnsiTheme="minorHAnsi" w:cs="Lucida Sans Unicode"/>
                <w:sz w:val="20"/>
                <w:szCs w:val="20"/>
              </w:rPr>
              <w:t>575</w:t>
            </w:r>
          </w:p>
        </w:tc>
        <w:tc>
          <w:tcPr>
            <w:tcW w:w="840" w:type="dxa"/>
            <w:shd w:val="clear" w:color="auto" w:fill="auto"/>
          </w:tcPr>
          <w:p w14:paraId="1A51AADA" w14:textId="52ED3DB0" w:rsidR="00A526D8" w:rsidRPr="0000453F" w:rsidRDefault="00806B9E" w:rsidP="0000453F">
            <w:pPr>
              <w:jc w:val="center"/>
              <w:rPr>
                <w:rFonts w:asciiTheme="minorHAnsi" w:hAnsiTheme="minorHAnsi" w:cs="Lucida Sans Unicode"/>
                <w:sz w:val="20"/>
                <w:szCs w:val="20"/>
              </w:rPr>
            </w:pPr>
            <w:r>
              <w:rPr>
                <w:rFonts w:asciiTheme="minorHAnsi" w:hAnsiTheme="minorHAnsi" w:cs="Lucida Sans Unicode"/>
                <w:sz w:val="20"/>
                <w:szCs w:val="20"/>
              </w:rPr>
              <w:t>5.1</w:t>
            </w:r>
          </w:p>
        </w:tc>
      </w:tr>
      <w:tr w:rsidR="00A526D8" w:rsidRPr="004E50E7" w14:paraId="117009B9" w14:textId="77777777" w:rsidTr="00A526D8">
        <w:trPr>
          <w:cantSplit/>
          <w:trHeight w:val="188"/>
        </w:trPr>
        <w:tc>
          <w:tcPr>
            <w:tcW w:w="1727" w:type="dxa"/>
            <w:tcBorders>
              <w:bottom w:val="single" w:sz="4" w:space="0" w:color="auto"/>
            </w:tcBorders>
          </w:tcPr>
          <w:p w14:paraId="04219689" w14:textId="77777777" w:rsidR="00A526D8" w:rsidRPr="004E50E7" w:rsidRDefault="00A526D8" w:rsidP="008F2513">
            <w:pPr>
              <w:pStyle w:val="BodyText"/>
              <w:spacing w:after="0"/>
              <w:ind w:right="-720"/>
              <w:rPr>
                <w:rFonts w:ascii="Calibri" w:hAnsi="Calibri"/>
                <w:sz w:val="20"/>
              </w:rPr>
            </w:pPr>
            <w:r w:rsidRPr="004E50E7">
              <w:rPr>
                <w:rFonts w:ascii="Calibri" w:hAnsi="Calibri"/>
                <w:sz w:val="20"/>
              </w:rPr>
              <w:t>2 to 4 units</w:t>
            </w:r>
          </w:p>
        </w:tc>
        <w:tc>
          <w:tcPr>
            <w:tcW w:w="990" w:type="dxa"/>
            <w:tcBorders>
              <w:bottom w:val="single" w:sz="4" w:space="0" w:color="auto"/>
            </w:tcBorders>
          </w:tcPr>
          <w:p w14:paraId="1798BB7F"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800</w:t>
            </w:r>
          </w:p>
        </w:tc>
        <w:tc>
          <w:tcPr>
            <w:tcW w:w="900" w:type="dxa"/>
            <w:tcBorders>
              <w:bottom w:val="single" w:sz="4" w:space="0" w:color="auto"/>
            </w:tcBorders>
          </w:tcPr>
          <w:p w14:paraId="595DB3AD"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7.7</w:t>
            </w:r>
          </w:p>
        </w:tc>
        <w:tc>
          <w:tcPr>
            <w:tcW w:w="1260" w:type="dxa"/>
            <w:tcBorders>
              <w:bottom w:val="single" w:sz="4" w:space="0" w:color="auto"/>
            </w:tcBorders>
          </w:tcPr>
          <w:p w14:paraId="7AC2EB0E"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813</w:t>
            </w:r>
          </w:p>
        </w:tc>
        <w:tc>
          <w:tcPr>
            <w:tcW w:w="1080" w:type="dxa"/>
            <w:tcBorders>
              <w:bottom w:val="single" w:sz="4" w:space="0" w:color="auto"/>
            </w:tcBorders>
          </w:tcPr>
          <w:p w14:paraId="22C077EA"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7.5</w:t>
            </w:r>
          </w:p>
        </w:tc>
        <w:tc>
          <w:tcPr>
            <w:tcW w:w="1050" w:type="dxa"/>
            <w:tcBorders>
              <w:bottom w:val="single" w:sz="4" w:space="0" w:color="auto"/>
            </w:tcBorders>
            <w:shd w:val="clear" w:color="auto" w:fill="auto"/>
          </w:tcPr>
          <w:p w14:paraId="4CC5215A"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527</w:t>
            </w:r>
          </w:p>
        </w:tc>
        <w:tc>
          <w:tcPr>
            <w:tcW w:w="931" w:type="dxa"/>
            <w:tcBorders>
              <w:bottom w:val="single" w:sz="4" w:space="0" w:color="auto"/>
            </w:tcBorders>
            <w:shd w:val="clear" w:color="auto" w:fill="auto"/>
          </w:tcPr>
          <w:p w14:paraId="419D4F43"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4.9</w:t>
            </w:r>
          </w:p>
        </w:tc>
        <w:tc>
          <w:tcPr>
            <w:tcW w:w="960" w:type="dxa"/>
            <w:tcBorders>
              <w:bottom w:val="single" w:sz="4" w:space="0" w:color="auto"/>
            </w:tcBorders>
            <w:shd w:val="clear" w:color="auto" w:fill="auto"/>
          </w:tcPr>
          <w:p w14:paraId="4AF6A7D0" w14:textId="5B312465" w:rsidR="00A526D8" w:rsidRPr="0000453F" w:rsidRDefault="00806B9E" w:rsidP="008F2513">
            <w:pPr>
              <w:jc w:val="center"/>
              <w:rPr>
                <w:rFonts w:asciiTheme="minorHAnsi" w:hAnsiTheme="minorHAnsi" w:cs="Lucida Sans Unicode"/>
                <w:sz w:val="20"/>
                <w:szCs w:val="20"/>
              </w:rPr>
            </w:pPr>
            <w:r>
              <w:rPr>
                <w:rFonts w:asciiTheme="minorHAnsi" w:hAnsiTheme="minorHAnsi" w:cs="Lucida Sans Unicode"/>
                <w:sz w:val="20"/>
                <w:szCs w:val="20"/>
              </w:rPr>
              <w:t>392</w:t>
            </w:r>
          </w:p>
        </w:tc>
        <w:tc>
          <w:tcPr>
            <w:tcW w:w="840" w:type="dxa"/>
            <w:tcBorders>
              <w:bottom w:val="single" w:sz="4" w:space="0" w:color="auto"/>
            </w:tcBorders>
            <w:shd w:val="clear" w:color="auto" w:fill="auto"/>
          </w:tcPr>
          <w:p w14:paraId="7390B4AB" w14:textId="118AFA08" w:rsidR="00A526D8" w:rsidRPr="0000453F" w:rsidRDefault="00806B9E" w:rsidP="0000453F">
            <w:pPr>
              <w:jc w:val="center"/>
              <w:rPr>
                <w:rFonts w:asciiTheme="minorHAnsi" w:hAnsiTheme="minorHAnsi" w:cs="Lucida Sans Unicode"/>
                <w:sz w:val="20"/>
                <w:szCs w:val="20"/>
              </w:rPr>
            </w:pPr>
            <w:r>
              <w:rPr>
                <w:rFonts w:asciiTheme="minorHAnsi" w:hAnsiTheme="minorHAnsi" w:cs="Lucida Sans Unicode"/>
                <w:sz w:val="20"/>
                <w:szCs w:val="20"/>
              </w:rPr>
              <w:t>3.5</w:t>
            </w:r>
          </w:p>
        </w:tc>
      </w:tr>
      <w:tr w:rsidR="00A526D8" w:rsidRPr="004E50E7" w14:paraId="5E656640" w14:textId="77777777" w:rsidTr="00A526D8">
        <w:tc>
          <w:tcPr>
            <w:tcW w:w="1727" w:type="dxa"/>
          </w:tcPr>
          <w:p w14:paraId="1231AC97" w14:textId="77777777" w:rsidR="00A526D8" w:rsidRPr="004E50E7" w:rsidRDefault="00A526D8" w:rsidP="008F2513">
            <w:pPr>
              <w:pStyle w:val="BodyText"/>
              <w:spacing w:after="0"/>
              <w:ind w:right="-720"/>
              <w:rPr>
                <w:rFonts w:ascii="Calibri" w:hAnsi="Calibri"/>
                <w:sz w:val="20"/>
              </w:rPr>
            </w:pPr>
            <w:r w:rsidRPr="004E50E7">
              <w:rPr>
                <w:rFonts w:ascii="Calibri" w:hAnsi="Calibri"/>
                <w:sz w:val="20"/>
              </w:rPr>
              <w:t>5 to 9 units</w:t>
            </w:r>
          </w:p>
        </w:tc>
        <w:tc>
          <w:tcPr>
            <w:tcW w:w="990" w:type="dxa"/>
          </w:tcPr>
          <w:p w14:paraId="16B6E10B"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225</w:t>
            </w:r>
          </w:p>
        </w:tc>
        <w:tc>
          <w:tcPr>
            <w:tcW w:w="900" w:type="dxa"/>
          </w:tcPr>
          <w:p w14:paraId="00E421B7"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2.2</w:t>
            </w:r>
          </w:p>
        </w:tc>
        <w:tc>
          <w:tcPr>
            <w:tcW w:w="1260" w:type="dxa"/>
          </w:tcPr>
          <w:p w14:paraId="4AEE1E3B"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187</w:t>
            </w:r>
          </w:p>
        </w:tc>
        <w:tc>
          <w:tcPr>
            <w:tcW w:w="1080" w:type="dxa"/>
          </w:tcPr>
          <w:p w14:paraId="2C0A927B"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1.7</w:t>
            </w:r>
          </w:p>
        </w:tc>
        <w:tc>
          <w:tcPr>
            <w:tcW w:w="1050" w:type="dxa"/>
            <w:shd w:val="clear" w:color="auto" w:fill="auto"/>
          </w:tcPr>
          <w:p w14:paraId="2CA23DD8"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256</w:t>
            </w:r>
          </w:p>
        </w:tc>
        <w:tc>
          <w:tcPr>
            <w:tcW w:w="931" w:type="dxa"/>
            <w:shd w:val="clear" w:color="auto" w:fill="auto"/>
          </w:tcPr>
          <w:p w14:paraId="672B540B"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2.4</w:t>
            </w:r>
          </w:p>
        </w:tc>
        <w:tc>
          <w:tcPr>
            <w:tcW w:w="960" w:type="dxa"/>
            <w:shd w:val="clear" w:color="auto" w:fill="auto"/>
          </w:tcPr>
          <w:p w14:paraId="04441C44" w14:textId="10976A95" w:rsidR="00A526D8" w:rsidRPr="0000453F" w:rsidRDefault="00806B9E" w:rsidP="008F2513">
            <w:pPr>
              <w:jc w:val="center"/>
              <w:rPr>
                <w:rFonts w:asciiTheme="minorHAnsi" w:hAnsiTheme="minorHAnsi" w:cs="Lucida Sans Unicode"/>
                <w:sz w:val="20"/>
                <w:szCs w:val="20"/>
              </w:rPr>
            </w:pPr>
            <w:r>
              <w:rPr>
                <w:rFonts w:asciiTheme="minorHAnsi" w:hAnsiTheme="minorHAnsi" w:cs="Lucida Sans Unicode"/>
                <w:sz w:val="20"/>
                <w:szCs w:val="20"/>
              </w:rPr>
              <w:t>282</w:t>
            </w:r>
          </w:p>
        </w:tc>
        <w:tc>
          <w:tcPr>
            <w:tcW w:w="840" w:type="dxa"/>
            <w:shd w:val="clear" w:color="auto" w:fill="auto"/>
          </w:tcPr>
          <w:p w14:paraId="43FD1041" w14:textId="1428134B" w:rsidR="00A526D8" w:rsidRPr="0000453F" w:rsidRDefault="00806B9E" w:rsidP="008F2513">
            <w:pPr>
              <w:jc w:val="center"/>
              <w:rPr>
                <w:rFonts w:asciiTheme="minorHAnsi" w:hAnsiTheme="minorHAnsi" w:cs="Lucida Sans Unicode"/>
                <w:sz w:val="20"/>
                <w:szCs w:val="20"/>
              </w:rPr>
            </w:pPr>
            <w:r>
              <w:rPr>
                <w:rFonts w:asciiTheme="minorHAnsi" w:hAnsiTheme="minorHAnsi" w:cs="Lucida Sans Unicode"/>
                <w:sz w:val="20"/>
                <w:szCs w:val="20"/>
              </w:rPr>
              <w:t>2.5</w:t>
            </w:r>
          </w:p>
        </w:tc>
      </w:tr>
      <w:tr w:rsidR="00A526D8" w:rsidRPr="004E50E7" w14:paraId="0627F23E" w14:textId="77777777" w:rsidTr="00A526D8">
        <w:tc>
          <w:tcPr>
            <w:tcW w:w="1727" w:type="dxa"/>
          </w:tcPr>
          <w:p w14:paraId="7310A0E1" w14:textId="77777777" w:rsidR="00A526D8" w:rsidRPr="004E50E7" w:rsidRDefault="00A526D8" w:rsidP="008F2513">
            <w:pPr>
              <w:pStyle w:val="BodyTextIndent"/>
              <w:spacing w:after="0"/>
              <w:ind w:left="0" w:right="-720"/>
              <w:rPr>
                <w:rFonts w:ascii="Calibri" w:hAnsi="Calibri"/>
                <w:sz w:val="20"/>
              </w:rPr>
            </w:pPr>
            <w:r w:rsidRPr="004E50E7">
              <w:rPr>
                <w:rFonts w:ascii="Calibri" w:hAnsi="Calibri"/>
                <w:sz w:val="20"/>
              </w:rPr>
              <w:t>10+ units</w:t>
            </w:r>
          </w:p>
        </w:tc>
        <w:tc>
          <w:tcPr>
            <w:tcW w:w="990" w:type="dxa"/>
          </w:tcPr>
          <w:p w14:paraId="5FF8CCB3"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901</w:t>
            </w:r>
          </w:p>
        </w:tc>
        <w:tc>
          <w:tcPr>
            <w:tcW w:w="900" w:type="dxa"/>
          </w:tcPr>
          <w:p w14:paraId="66D1DDB2"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8.7</w:t>
            </w:r>
          </w:p>
        </w:tc>
        <w:tc>
          <w:tcPr>
            <w:tcW w:w="1260" w:type="dxa"/>
          </w:tcPr>
          <w:p w14:paraId="1C32DA5F"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1,177</w:t>
            </w:r>
          </w:p>
        </w:tc>
        <w:tc>
          <w:tcPr>
            <w:tcW w:w="1080" w:type="dxa"/>
          </w:tcPr>
          <w:p w14:paraId="65F026C8"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10.9</w:t>
            </w:r>
          </w:p>
        </w:tc>
        <w:tc>
          <w:tcPr>
            <w:tcW w:w="1050" w:type="dxa"/>
            <w:shd w:val="clear" w:color="auto" w:fill="auto"/>
          </w:tcPr>
          <w:p w14:paraId="490CB04E"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1,041</w:t>
            </w:r>
          </w:p>
        </w:tc>
        <w:tc>
          <w:tcPr>
            <w:tcW w:w="931" w:type="dxa"/>
            <w:shd w:val="clear" w:color="auto" w:fill="auto"/>
          </w:tcPr>
          <w:p w14:paraId="06D47E86"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9.7</w:t>
            </w:r>
          </w:p>
        </w:tc>
        <w:tc>
          <w:tcPr>
            <w:tcW w:w="960" w:type="dxa"/>
            <w:shd w:val="clear" w:color="auto" w:fill="auto"/>
          </w:tcPr>
          <w:p w14:paraId="21069A85" w14:textId="39A86CD0"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1,252</w:t>
            </w:r>
          </w:p>
        </w:tc>
        <w:tc>
          <w:tcPr>
            <w:tcW w:w="840" w:type="dxa"/>
            <w:shd w:val="clear" w:color="auto" w:fill="auto"/>
          </w:tcPr>
          <w:p w14:paraId="1562B0DE" w14:textId="6F2CE325"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11.1</w:t>
            </w:r>
          </w:p>
        </w:tc>
      </w:tr>
      <w:tr w:rsidR="00A526D8" w:rsidRPr="004E50E7" w14:paraId="23718F89" w14:textId="77777777" w:rsidTr="00A526D8">
        <w:tc>
          <w:tcPr>
            <w:tcW w:w="1727" w:type="dxa"/>
          </w:tcPr>
          <w:p w14:paraId="4584F3D6" w14:textId="77777777" w:rsidR="00A526D8" w:rsidRPr="004E50E7" w:rsidRDefault="00A526D8" w:rsidP="008F2513">
            <w:pPr>
              <w:pStyle w:val="BodyTextIndent"/>
              <w:spacing w:after="0"/>
              <w:ind w:left="0" w:right="-720"/>
              <w:rPr>
                <w:rFonts w:ascii="Calibri" w:hAnsi="Calibri"/>
                <w:sz w:val="20"/>
              </w:rPr>
            </w:pPr>
            <w:r w:rsidRPr="004E50E7">
              <w:rPr>
                <w:rFonts w:ascii="Calibri" w:hAnsi="Calibri"/>
                <w:sz w:val="20"/>
              </w:rPr>
              <w:t>Other</w:t>
            </w:r>
          </w:p>
        </w:tc>
        <w:tc>
          <w:tcPr>
            <w:tcW w:w="990" w:type="dxa"/>
          </w:tcPr>
          <w:p w14:paraId="188B453E"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57</w:t>
            </w:r>
          </w:p>
        </w:tc>
        <w:tc>
          <w:tcPr>
            <w:tcW w:w="900" w:type="dxa"/>
          </w:tcPr>
          <w:p w14:paraId="31EC0F9A"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0.5</w:t>
            </w:r>
          </w:p>
        </w:tc>
        <w:tc>
          <w:tcPr>
            <w:tcW w:w="1260" w:type="dxa"/>
          </w:tcPr>
          <w:p w14:paraId="481F43A3"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19</w:t>
            </w:r>
          </w:p>
        </w:tc>
        <w:tc>
          <w:tcPr>
            <w:tcW w:w="1080" w:type="dxa"/>
          </w:tcPr>
          <w:p w14:paraId="7272A2FF"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0.2</w:t>
            </w:r>
          </w:p>
        </w:tc>
        <w:tc>
          <w:tcPr>
            <w:tcW w:w="1050" w:type="dxa"/>
            <w:shd w:val="clear" w:color="auto" w:fill="auto"/>
          </w:tcPr>
          <w:p w14:paraId="32E40839"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9</w:t>
            </w:r>
          </w:p>
        </w:tc>
        <w:tc>
          <w:tcPr>
            <w:tcW w:w="931" w:type="dxa"/>
            <w:shd w:val="clear" w:color="auto" w:fill="auto"/>
          </w:tcPr>
          <w:p w14:paraId="711C48A6"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0.1</w:t>
            </w:r>
          </w:p>
        </w:tc>
        <w:tc>
          <w:tcPr>
            <w:tcW w:w="960" w:type="dxa"/>
            <w:shd w:val="clear" w:color="auto" w:fill="auto"/>
          </w:tcPr>
          <w:p w14:paraId="651BEF41" w14:textId="799EC509"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10</w:t>
            </w:r>
          </w:p>
        </w:tc>
        <w:tc>
          <w:tcPr>
            <w:tcW w:w="840" w:type="dxa"/>
            <w:shd w:val="clear" w:color="auto" w:fill="auto"/>
          </w:tcPr>
          <w:p w14:paraId="7BB680A1" w14:textId="52632B7B"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0.1</w:t>
            </w:r>
          </w:p>
        </w:tc>
      </w:tr>
      <w:tr w:rsidR="00A526D8" w:rsidRPr="004E50E7" w14:paraId="56ED9ADE" w14:textId="77777777" w:rsidTr="00A526D8">
        <w:tc>
          <w:tcPr>
            <w:tcW w:w="1727" w:type="dxa"/>
          </w:tcPr>
          <w:p w14:paraId="569C35BD" w14:textId="77777777" w:rsidR="00A526D8" w:rsidRPr="004E50E7" w:rsidRDefault="00A526D8" w:rsidP="008F2513">
            <w:pPr>
              <w:pStyle w:val="BodyTextIndent"/>
              <w:spacing w:after="0"/>
              <w:ind w:left="0" w:right="-720"/>
              <w:rPr>
                <w:rFonts w:ascii="Calibri" w:hAnsi="Calibri"/>
                <w:sz w:val="20"/>
              </w:rPr>
            </w:pPr>
            <w:r w:rsidRPr="004E50E7">
              <w:rPr>
                <w:rFonts w:ascii="Calibri" w:hAnsi="Calibri"/>
                <w:sz w:val="20"/>
              </w:rPr>
              <w:t>Total</w:t>
            </w:r>
          </w:p>
        </w:tc>
        <w:tc>
          <w:tcPr>
            <w:tcW w:w="990" w:type="dxa"/>
          </w:tcPr>
          <w:p w14:paraId="41C66BA0"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10,405</w:t>
            </w:r>
          </w:p>
        </w:tc>
        <w:tc>
          <w:tcPr>
            <w:tcW w:w="900" w:type="dxa"/>
          </w:tcPr>
          <w:p w14:paraId="741BBC67"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100.0</w:t>
            </w:r>
          </w:p>
        </w:tc>
        <w:tc>
          <w:tcPr>
            <w:tcW w:w="1260" w:type="dxa"/>
          </w:tcPr>
          <w:p w14:paraId="6717AF1B"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10,846</w:t>
            </w:r>
          </w:p>
        </w:tc>
        <w:tc>
          <w:tcPr>
            <w:tcW w:w="1080" w:type="dxa"/>
          </w:tcPr>
          <w:p w14:paraId="12A58A09" w14:textId="77777777" w:rsidR="00A526D8" w:rsidRPr="0000453F" w:rsidRDefault="00A526D8" w:rsidP="008F2513">
            <w:pPr>
              <w:jc w:val="center"/>
              <w:rPr>
                <w:rFonts w:asciiTheme="minorHAnsi" w:hAnsiTheme="minorHAnsi"/>
                <w:sz w:val="20"/>
                <w:szCs w:val="20"/>
              </w:rPr>
            </w:pPr>
            <w:r w:rsidRPr="0000453F">
              <w:rPr>
                <w:rFonts w:asciiTheme="minorHAnsi" w:hAnsiTheme="minorHAnsi"/>
                <w:sz w:val="20"/>
                <w:szCs w:val="20"/>
              </w:rPr>
              <w:t>100.0</w:t>
            </w:r>
          </w:p>
        </w:tc>
        <w:tc>
          <w:tcPr>
            <w:tcW w:w="1050" w:type="dxa"/>
            <w:shd w:val="clear" w:color="auto" w:fill="auto"/>
          </w:tcPr>
          <w:p w14:paraId="73AD2BF8"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10,781</w:t>
            </w:r>
          </w:p>
        </w:tc>
        <w:tc>
          <w:tcPr>
            <w:tcW w:w="931" w:type="dxa"/>
            <w:shd w:val="clear" w:color="auto" w:fill="auto"/>
          </w:tcPr>
          <w:p w14:paraId="557CCBD8" w14:textId="77777777" w:rsidR="00A526D8" w:rsidRPr="0000453F" w:rsidRDefault="0000453F" w:rsidP="008F2513">
            <w:pPr>
              <w:jc w:val="center"/>
              <w:rPr>
                <w:rFonts w:asciiTheme="minorHAnsi" w:hAnsiTheme="minorHAnsi"/>
                <w:sz w:val="20"/>
                <w:szCs w:val="20"/>
              </w:rPr>
            </w:pPr>
            <w:r>
              <w:rPr>
                <w:rFonts w:asciiTheme="minorHAnsi" w:hAnsiTheme="minorHAnsi"/>
                <w:sz w:val="20"/>
                <w:szCs w:val="20"/>
              </w:rPr>
              <w:t>100.0</w:t>
            </w:r>
          </w:p>
        </w:tc>
        <w:tc>
          <w:tcPr>
            <w:tcW w:w="960" w:type="dxa"/>
            <w:shd w:val="clear" w:color="auto" w:fill="auto"/>
          </w:tcPr>
          <w:p w14:paraId="2FA4F5F6" w14:textId="3D4BDCDE"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11,211</w:t>
            </w:r>
          </w:p>
        </w:tc>
        <w:tc>
          <w:tcPr>
            <w:tcW w:w="840" w:type="dxa"/>
            <w:shd w:val="clear" w:color="auto" w:fill="auto"/>
          </w:tcPr>
          <w:p w14:paraId="667CA5B2" w14:textId="5A934AF8" w:rsidR="00A526D8" w:rsidRPr="0000453F" w:rsidRDefault="00762E33" w:rsidP="008F2513">
            <w:pPr>
              <w:jc w:val="center"/>
              <w:rPr>
                <w:rFonts w:asciiTheme="minorHAnsi" w:hAnsiTheme="minorHAnsi" w:cs="Lucida Sans Unicode"/>
                <w:sz w:val="20"/>
                <w:szCs w:val="20"/>
              </w:rPr>
            </w:pPr>
            <w:r>
              <w:rPr>
                <w:rFonts w:asciiTheme="minorHAnsi" w:hAnsiTheme="minorHAnsi" w:cs="Lucida Sans Unicode"/>
                <w:sz w:val="20"/>
                <w:szCs w:val="20"/>
              </w:rPr>
              <w:t>100.0</w:t>
            </w:r>
          </w:p>
        </w:tc>
      </w:tr>
    </w:tbl>
    <w:p w14:paraId="745B247E" w14:textId="6340C7BE" w:rsidR="008772FC" w:rsidRDefault="008772FC" w:rsidP="008772FC">
      <w:pPr>
        <w:pStyle w:val="FootnoteText"/>
        <w:rPr>
          <w:rFonts w:ascii="Calibri" w:hAnsi="Calibri"/>
          <w:noProof/>
          <w:szCs w:val="24"/>
        </w:rPr>
      </w:pPr>
      <w:r w:rsidRPr="004E50E7">
        <w:rPr>
          <w:rFonts w:ascii="Calibri" w:hAnsi="Calibri"/>
          <w:szCs w:val="24"/>
        </w:rPr>
        <w:t>Source:  U.S. Census Bureau, Census 1990 and 2000 Summary File 3 and the American Community Survey 200</w:t>
      </w:r>
      <w:r w:rsidR="00A66C1A">
        <w:rPr>
          <w:rFonts w:ascii="Calibri" w:hAnsi="Calibri"/>
          <w:szCs w:val="24"/>
        </w:rPr>
        <w:t>6</w:t>
      </w:r>
      <w:r w:rsidRPr="004E50E7">
        <w:rPr>
          <w:rFonts w:ascii="Calibri" w:hAnsi="Calibri"/>
          <w:szCs w:val="24"/>
        </w:rPr>
        <w:t>-201</w:t>
      </w:r>
      <w:r w:rsidR="00DB4213">
        <w:rPr>
          <w:rFonts w:ascii="Calibri" w:hAnsi="Calibri"/>
          <w:szCs w:val="24"/>
        </w:rPr>
        <w:t>0</w:t>
      </w:r>
      <w:r w:rsidR="00A66C1A">
        <w:rPr>
          <w:rFonts w:ascii="Calibri" w:hAnsi="Calibri"/>
          <w:szCs w:val="24"/>
        </w:rPr>
        <w:t xml:space="preserve"> and 201</w:t>
      </w:r>
      <w:r w:rsidR="00D0367A">
        <w:rPr>
          <w:rFonts w:ascii="Calibri" w:hAnsi="Calibri"/>
          <w:szCs w:val="24"/>
        </w:rPr>
        <w:t>6</w:t>
      </w:r>
      <w:r w:rsidR="00A66C1A">
        <w:rPr>
          <w:rFonts w:ascii="Calibri" w:hAnsi="Calibri"/>
          <w:szCs w:val="24"/>
        </w:rPr>
        <w:t>-20</w:t>
      </w:r>
      <w:r w:rsidR="00D0367A">
        <w:rPr>
          <w:rFonts w:ascii="Calibri" w:hAnsi="Calibri"/>
          <w:szCs w:val="24"/>
        </w:rPr>
        <w:t>20</w:t>
      </w:r>
      <w:r w:rsidR="00A166AA">
        <w:rPr>
          <w:rFonts w:ascii="Calibri" w:hAnsi="Calibri"/>
          <w:szCs w:val="24"/>
        </w:rPr>
        <w:t xml:space="preserve"> </w:t>
      </w:r>
      <w:r w:rsidR="00A66C1A">
        <w:rPr>
          <w:rFonts w:ascii="Calibri" w:hAnsi="Calibri"/>
          <w:szCs w:val="24"/>
        </w:rPr>
        <w:t>5-Year E</w:t>
      </w:r>
      <w:r w:rsidRPr="004E50E7">
        <w:rPr>
          <w:rFonts w:ascii="Calibri" w:hAnsi="Calibri"/>
          <w:szCs w:val="24"/>
        </w:rPr>
        <w:t>stimates.</w:t>
      </w:r>
      <w:r w:rsidRPr="0027032F">
        <w:rPr>
          <w:rFonts w:ascii="Calibri" w:hAnsi="Calibri"/>
          <w:noProof/>
          <w:szCs w:val="24"/>
        </w:rPr>
        <w:t xml:space="preserve"> </w:t>
      </w:r>
    </w:p>
    <w:p w14:paraId="7257AB4B" w14:textId="77777777" w:rsidR="002E2F60" w:rsidRDefault="002E2F60" w:rsidP="008772FC">
      <w:pPr>
        <w:pStyle w:val="FootnoteText"/>
        <w:rPr>
          <w:rFonts w:ascii="Calibri" w:hAnsi="Calibri"/>
          <w:noProof/>
          <w:szCs w:val="24"/>
        </w:rPr>
      </w:pPr>
    </w:p>
    <w:p w14:paraId="2E3438E7" w14:textId="6221715D" w:rsidR="008772FC" w:rsidRDefault="002216F4" w:rsidP="0000453F">
      <w:pPr>
        <w:pStyle w:val="FootnoteText"/>
        <w:jc w:val="center"/>
        <w:rPr>
          <w:rFonts w:ascii="Calibri" w:hAnsi="Calibri"/>
          <w:szCs w:val="24"/>
        </w:rPr>
      </w:pPr>
      <w:r>
        <w:rPr>
          <w:noProof/>
        </w:rPr>
        <w:drawing>
          <wp:inline distT="0" distB="0" distL="0" distR="0" wp14:anchorId="3806E7B5" wp14:editId="54F76538">
            <wp:extent cx="3939540" cy="2465070"/>
            <wp:effectExtent l="0" t="0" r="3810" b="11430"/>
            <wp:docPr id="20" name="Chart 20">
              <a:extLst xmlns:a="http://schemas.openxmlformats.org/drawingml/2006/main">
                <a:ext uri="{FF2B5EF4-FFF2-40B4-BE49-F238E27FC236}">
                  <a16:creationId xmlns:a16="http://schemas.microsoft.com/office/drawing/2014/main" id="{6EC8A787-8AF6-43B0-B76D-76505DB0D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77BC0E" w14:textId="77777777" w:rsidR="003935DC" w:rsidRDefault="003935DC" w:rsidP="003A7AB8">
      <w:pPr>
        <w:pStyle w:val="Heading9"/>
        <w:spacing w:before="0"/>
        <w:jc w:val="both"/>
        <w:rPr>
          <w:rFonts w:ascii="Calibri" w:hAnsi="Calibri"/>
          <w:bCs/>
          <w:i w:val="0"/>
          <w:color w:val="auto"/>
          <w:sz w:val="22"/>
          <w:szCs w:val="22"/>
        </w:rPr>
      </w:pPr>
    </w:p>
    <w:p w14:paraId="576F03C6" w14:textId="3FC05331" w:rsidR="00A42F4D" w:rsidRDefault="008772FC" w:rsidP="00504966">
      <w:pPr>
        <w:pStyle w:val="Heading9"/>
        <w:spacing w:before="0"/>
        <w:jc w:val="both"/>
        <w:rPr>
          <w:rFonts w:ascii="Calibri" w:hAnsi="Calibri"/>
          <w:bCs/>
          <w:i w:val="0"/>
          <w:color w:val="auto"/>
          <w:sz w:val="22"/>
          <w:szCs w:val="22"/>
        </w:rPr>
      </w:pPr>
      <w:r w:rsidRPr="00F728B6">
        <w:rPr>
          <w:rFonts w:ascii="Calibri" w:hAnsi="Calibri"/>
          <w:bCs/>
          <w:i w:val="0"/>
          <w:color w:val="auto"/>
          <w:sz w:val="22"/>
          <w:szCs w:val="22"/>
        </w:rPr>
        <w:t xml:space="preserve">Table </w:t>
      </w:r>
      <w:r w:rsidR="00DE5EB7">
        <w:rPr>
          <w:rFonts w:ascii="Calibri" w:hAnsi="Calibri"/>
          <w:bCs/>
          <w:i w:val="0"/>
          <w:color w:val="auto"/>
          <w:sz w:val="22"/>
          <w:szCs w:val="22"/>
        </w:rPr>
        <w:t>III-</w:t>
      </w:r>
      <w:r w:rsidR="004C75F2">
        <w:rPr>
          <w:rFonts w:ascii="Calibri" w:hAnsi="Calibri"/>
          <w:bCs/>
          <w:i w:val="0"/>
          <w:color w:val="auto"/>
          <w:sz w:val="22"/>
          <w:szCs w:val="22"/>
        </w:rPr>
        <w:t>26</w:t>
      </w:r>
      <w:r w:rsidRPr="00F728B6">
        <w:rPr>
          <w:rFonts w:ascii="Calibri" w:hAnsi="Calibri"/>
          <w:bCs/>
          <w:i w:val="0"/>
          <w:color w:val="auto"/>
          <w:sz w:val="22"/>
          <w:szCs w:val="22"/>
        </w:rPr>
        <w:t xml:space="preserve"> provides a breakdown of the estimated </w:t>
      </w:r>
      <w:r w:rsidR="00646664">
        <w:rPr>
          <w:rFonts w:ascii="Calibri" w:hAnsi="Calibri"/>
          <w:bCs/>
          <w:i w:val="0"/>
          <w:color w:val="auto"/>
          <w:sz w:val="22"/>
          <w:szCs w:val="22"/>
        </w:rPr>
        <w:t xml:space="preserve">2010 and </w:t>
      </w:r>
      <w:r w:rsidRPr="00F728B6">
        <w:rPr>
          <w:rFonts w:ascii="Calibri" w:hAnsi="Calibri"/>
          <w:bCs/>
          <w:i w:val="0"/>
          <w:color w:val="auto"/>
          <w:sz w:val="22"/>
          <w:szCs w:val="22"/>
        </w:rPr>
        <w:t>20</w:t>
      </w:r>
      <w:r w:rsidR="000F1084">
        <w:rPr>
          <w:rFonts w:ascii="Calibri" w:hAnsi="Calibri"/>
          <w:bCs/>
          <w:i w:val="0"/>
          <w:color w:val="auto"/>
          <w:sz w:val="22"/>
          <w:szCs w:val="22"/>
        </w:rPr>
        <w:t>20</w:t>
      </w:r>
      <w:r w:rsidRPr="00F728B6">
        <w:rPr>
          <w:rFonts w:ascii="Calibri" w:hAnsi="Calibri"/>
          <w:bCs/>
          <w:i w:val="0"/>
          <w:color w:val="auto"/>
          <w:sz w:val="22"/>
          <w:szCs w:val="22"/>
        </w:rPr>
        <w:t xml:space="preserve"> distribution</w:t>
      </w:r>
      <w:r w:rsidR="00646664">
        <w:rPr>
          <w:rFonts w:ascii="Calibri" w:hAnsi="Calibri"/>
          <w:bCs/>
          <w:i w:val="0"/>
          <w:color w:val="auto"/>
          <w:sz w:val="22"/>
          <w:szCs w:val="22"/>
        </w:rPr>
        <w:t>s</w:t>
      </w:r>
      <w:r w:rsidRPr="00F728B6">
        <w:rPr>
          <w:rFonts w:ascii="Calibri" w:hAnsi="Calibri"/>
          <w:bCs/>
          <w:i w:val="0"/>
          <w:color w:val="auto"/>
          <w:sz w:val="22"/>
          <w:szCs w:val="22"/>
        </w:rPr>
        <w:t xml:space="preserve"> of units per structure according to whether the units were occupied by renters or homeowners.  </w:t>
      </w:r>
      <w:r w:rsidR="00504966">
        <w:rPr>
          <w:rFonts w:ascii="Calibri" w:hAnsi="Calibri"/>
          <w:bCs/>
          <w:i w:val="0"/>
          <w:color w:val="auto"/>
          <w:sz w:val="22"/>
          <w:szCs w:val="22"/>
        </w:rPr>
        <w:t>A</w:t>
      </w:r>
      <w:r w:rsidR="00BA501E">
        <w:rPr>
          <w:rFonts w:ascii="Calibri" w:hAnsi="Calibri"/>
          <w:bCs/>
          <w:i w:val="0"/>
          <w:color w:val="auto"/>
          <w:sz w:val="22"/>
          <w:szCs w:val="22"/>
        </w:rPr>
        <w:t>bout 94</w:t>
      </w:r>
      <w:r w:rsidRPr="00F728B6">
        <w:rPr>
          <w:rFonts w:ascii="Calibri" w:hAnsi="Calibri"/>
          <w:bCs/>
          <w:i w:val="0"/>
          <w:color w:val="auto"/>
          <w:sz w:val="22"/>
          <w:szCs w:val="22"/>
        </w:rPr>
        <w:t>% of owners resided in single-family detached or attached homes</w:t>
      </w:r>
      <w:r w:rsidR="00BA501E">
        <w:rPr>
          <w:rFonts w:ascii="Calibri" w:hAnsi="Calibri"/>
          <w:bCs/>
          <w:i w:val="0"/>
          <w:color w:val="auto"/>
          <w:sz w:val="22"/>
          <w:szCs w:val="22"/>
        </w:rPr>
        <w:t xml:space="preserve"> in both 2010 and 20</w:t>
      </w:r>
      <w:r w:rsidR="000F1084">
        <w:rPr>
          <w:rFonts w:ascii="Calibri" w:hAnsi="Calibri"/>
          <w:bCs/>
          <w:i w:val="0"/>
          <w:color w:val="auto"/>
          <w:sz w:val="22"/>
          <w:szCs w:val="22"/>
        </w:rPr>
        <w:t>20</w:t>
      </w:r>
      <w:r w:rsidR="00504966">
        <w:rPr>
          <w:rFonts w:ascii="Calibri" w:hAnsi="Calibri"/>
          <w:bCs/>
          <w:i w:val="0"/>
          <w:color w:val="auto"/>
          <w:sz w:val="22"/>
          <w:szCs w:val="22"/>
        </w:rPr>
        <w:t>.  On the other hand,</w:t>
      </w:r>
      <w:r w:rsidRPr="00F728B6">
        <w:rPr>
          <w:rFonts w:ascii="Calibri" w:hAnsi="Calibri"/>
          <w:bCs/>
          <w:i w:val="0"/>
          <w:color w:val="auto"/>
          <w:sz w:val="22"/>
          <w:szCs w:val="22"/>
        </w:rPr>
        <w:t xml:space="preserve"> </w:t>
      </w:r>
      <w:r w:rsidR="000F1084">
        <w:rPr>
          <w:rFonts w:ascii="Calibri" w:hAnsi="Calibri"/>
          <w:bCs/>
          <w:i w:val="0"/>
          <w:color w:val="auto"/>
          <w:sz w:val="22"/>
          <w:szCs w:val="22"/>
        </w:rPr>
        <w:t>more than</w:t>
      </w:r>
      <w:r w:rsidRPr="00F728B6">
        <w:rPr>
          <w:rFonts w:ascii="Calibri" w:hAnsi="Calibri"/>
          <w:bCs/>
          <w:i w:val="0"/>
          <w:color w:val="auto"/>
          <w:sz w:val="22"/>
          <w:szCs w:val="22"/>
        </w:rPr>
        <w:t xml:space="preserve"> </w:t>
      </w:r>
      <w:r w:rsidR="000F1084">
        <w:rPr>
          <w:rFonts w:ascii="Calibri" w:hAnsi="Calibri"/>
          <w:bCs/>
          <w:i w:val="0"/>
          <w:color w:val="auto"/>
          <w:sz w:val="22"/>
          <w:szCs w:val="22"/>
        </w:rPr>
        <w:t xml:space="preserve">40% </w:t>
      </w:r>
      <w:r w:rsidRPr="00F728B6">
        <w:rPr>
          <w:rFonts w:ascii="Calibri" w:hAnsi="Calibri"/>
          <w:bCs/>
          <w:i w:val="0"/>
          <w:color w:val="auto"/>
          <w:sz w:val="22"/>
          <w:szCs w:val="22"/>
        </w:rPr>
        <w:t xml:space="preserve">of renters lived in multi-family units of </w:t>
      </w:r>
      <w:r w:rsidR="000F1084">
        <w:rPr>
          <w:rFonts w:ascii="Calibri" w:hAnsi="Calibri"/>
          <w:bCs/>
          <w:i w:val="0"/>
          <w:color w:val="auto"/>
          <w:sz w:val="22"/>
          <w:szCs w:val="22"/>
        </w:rPr>
        <w:t>ten</w:t>
      </w:r>
      <w:r w:rsidRPr="00F728B6">
        <w:rPr>
          <w:rFonts w:ascii="Calibri" w:hAnsi="Calibri"/>
          <w:bCs/>
          <w:i w:val="0"/>
          <w:color w:val="auto"/>
          <w:sz w:val="22"/>
          <w:szCs w:val="22"/>
        </w:rPr>
        <w:t xml:space="preserve"> or more units</w:t>
      </w:r>
      <w:r w:rsidR="00BA501E">
        <w:rPr>
          <w:rFonts w:ascii="Calibri" w:hAnsi="Calibri"/>
          <w:bCs/>
          <w:i w:val="0"/>
          <w:color w:val="auto"/>
          <w:sz w:val="22"/>
          <w:szCs w:val="22"/>
        </w:rPr>
        <w:t xml:space="preserve"> in 20</w:t>
      </w:r>
      <w:r w:rsidR="000F1084">
        <w:rPr>
          <w:rFonts w:ascii="Calibri" w:hAnsi="Calibri"/>
          <w:bCs/>
          <w:i w:val="0"/>
          <w:color w:val="auto"/>
          <w:sz w:val="22"/>
          <w:szCs w:val="22"/>
        </w:rPr>
        <w:t>20</w:t>
      </w:r>
      <w:r w:rsidR="00BA501E">
        <w:rPr>
          <w:rFonts w:ascii="Calibri" w:hAnsi="Calibri"/>
          <w:bCs/>
          <w:i w:val="0"/>
          <w:color w:val="auto"/>
          <w:sz w:val="22"/>
          <w:szCs w:val="22"/>
        </w:rPr>
        <w:t xml:space="preserve">, </w:t>
      </w:r>
      <w:r w:rsidR="00DB4213">
        <w:rPr>
          <w:rFonts w:ascii="Calibri" w:hAnsi="Calibri"/>
          <w:bCs/>
          <w:i w:val="0"/>
          <w:color w:val="auto"/>
          <w:sz w:val="22"/>
          <w:szCs w:val="22"/>
        </w:rPr>
        <w:t>up</w:t>
      </w:r>
      <w:r w:rsidR="00BA501E">
        <w:rPr>
          <w:rFonts w:ascii="Calibri" w:hAnsi="Calibri"/>
          <w:bCs/>
          <w:i w:val="0"/>
          <w:color w:val="auto"/>
          <w:sz w:val="22"/>
          <w:szCs w:val="22"/>
        </w:rPr>
        <w:t xml:space="preserve"> from </w:t>
      </w:r>
      <w:r w:rsidR="008A1906">
        <w:rPr>
          <w:rFonts w:ascii="Calibri" w:hAnsi="Calibri"/>
          <w:bCs/>
          <w:i w:val="0"/>
          <w:color w:val="auto"/>
          <w:sz w:val="22"/>
          <w:szCs w:val="22"/>
        </w:rPr>
        <w:t>one-third</w:t>
      </w:r>
      <w:r w:rsidR="00BA501E">
        <w:rPr>
          <w:rFonts w:ascii="Calibri" w:hAnsi="Calibri"/>
          <w:bCs/>
          <w:i w:val="0"/>
          <w:color w:val="auto"/>
          <w:sz w:val="22"/>
          <w:szCs w:val="22"/>
        </w:rPr>
        <w:t xml:space="preserve"> in 2010</w:t>
      </w:r>
      <w:r w:rsidR="00AF0EA8">
        <w:rPr>
          <w:rFonts w:ascii="Calibri" w:hAnsi="Calibri"/>
          <w:bCs/>
          <w:i w:val="0"/>
          <w:color w:val="auto"/>
          <w:sz w:val="22"/>
          <w:szCs w:val="22"/>
        </w:rPr>
        <w:t>.  This is</w:t>
      </w:r>
      <w:r w:rsidR="00E11EE7">
        <w:rPr>
          <w:rFonts w:ascii="Calibri" w:hAnsi="Calibri"/>
          <w:bCs/>
          <w:i w:val="0"/>
          <w:color w:val="auto"/>
          <w:sz w:val="22"/>
          <w:szCs w:val="22"/>
        </w:rPr>
        <w:t xml:space="preserve"> related to new multi-family rental development that has helped diversify the housing stock</w:t>
      </w:r>
      <w:r w:rsidRPr="00F728B6">
        <w:rPr>
          <w:rFonts w:ascii="Calibri" w:hAnsi="Calibri"/>
          <w:bCs/>
          <w:i w:val="0"/>
          <w:color w:val="auto"/>
          <w:sz w:val="22"/>
          <w:szCs w:val="22"/>
        </w:rPr>
        <w:t xml:space="preserve">. </w:t>
      </w:r>
      <w:r w:rsidR="00AF0EA8">
        <w:rPr>
          <w:rFonts w:ascii="Calibri" w:hAnsi="Calibri"/>
          <w:bCs/>
          <w:i w:val="0"/>
          <w:color w:val="auto"/>
          <w:sz w:val="22"/>
          <w:szCs w:val="22"/>
        </w:rPr>
        <w:t xml:space="preserve"> </w:t>
      </w:r>
    </w:p>
    <w:p w14:paraId="24B4C0F8" w14:textId="77777777" w:rsidR="00A42F4D" w:rsidRDefault="00A42F4D" w:rsidP="00504966">
      <w:pPr>
        <w:pStyle w:val="Heading9"/>
        <w:spacing w:before="0"/>
        <w:jc w:val="both"/>
        <w:rPr>
          <w:rFonts w:ascii="Calibri" w:hAnsi="Calibri"/>
          <w:bCs/>
          <w:i w:val="0"/>
          <w:color w:val="auto"/>
          <w:sz w:val="22"/>
          <w:szCs w:val="22"/>
        </w:rPr>
      </w:pPr>
    </w:p>
    <w:p w14:paraId="378EFA18" w14:textId="6F1762C5" w:rsidR="00504966" w:rsidRDefault="008772FC" w:rsidP="00504966">
      <w:pPr>
        <w:pStyle w:val="Heading9"/>
        <w:spacing w:before="0"/>
        <w:jc w:val="both"/>
        <w:rPr>
          <w:rFonts w:ascii="Calibri" w:hAnsi="Calibri"/>
          <w:bCs/>
          <w:i w:val="0"/>
          <w:color w:val="auto"/>
          <w:sz w:val="22"/>
          <w:szCs w:val="22"/>
        </w:rPr>
      </w:pPr>
      <w:r w:rsidRPr="00F728B6">
        <w:rPr>
          <w:rFonts w:ascii="Calibri" w:hAnsi="Calibri"/>
          <w:bCs/>
          <w:i w:val="0"/>
          <w:color w:val="auto"/>
          <w:sz w:val="22"/>
          <w:szCs w:val="22"/>
        </w:rPr>
        <w:t xml:space="preserve">It is interesting to note that </w:t>
      </w:r>
      <w:r w:rsidR="000F1084">
        <w:rPr>
          <w:rFonts w:ascii="Calibri" w:hAnsi="Calibri"/>
          <w:bCs/>
          <w:i w:val="0"/>
          <w:color w:val="auto"/>
          <w:sz w:val="22"/>
          <w:szCs w:val="22"/>
        </w:rPr>
        <w:t>21%</w:t>
      </w:r>
      <w:r w:rsidRPr="00F728B6">
        <w:rPr>
          <w:rFonts w:ascii="Calibri" w:hAnsi="Calibri"/>
          <w:bCs/>
          <w:i w:val="0"/>
          <w:color w:val="auto"/>
          <w:sz w:val="22"/>
          <w:szCs w:val="22"/>
        </w:rPr>
        <w:t xml:space="preserve"> of renters lived in single-family homes</w:t>
      </w:r>
      <w:r w:rsidR="00BA501E">
        <w:rPr>
          <w:rFonts w:ascii="Calibri" w:hAnsi="Calibri"/>
          <w:bCs/>
          <w:i w:val="0"/>
          <w:color w:val="auto"/>
          <w:sz w:val="22"/>
          <w:szCs w:val="22"/>
        </w:rPr>
        <w:t xml:space="preserve"> in 20</w:t>
      </w:r>
      <w:r w:rsidR="000F1084">
        <w:rPr>
          <w:rFonts w:ascii="Calibri" w:hAnsi="Calibri"/>
          <w:bCs/>
          <w:i w:val="0"/>
          <w:color w:val="auto"/>
          <w:sz w:val="22"/>
          <w:szCs w:val="22"/>
        </w:rPr>
        <w:t>20</w:t>
      </w:r>
      <w:r w:rsidR="00BA501E">
        <w:rPr>
          <w:rFonts w:ascii="Calibri" w:hAnsi="Calibri"/>
          <w:bCs/>
          <w:i w:val="0"/>
          <w:color w:val="auto"/>
          <w:sz w:val="22"/>
          <w:szCs w:val="22"/>
        </w:rPr>
        <w:t xml:space="preserve">, </w:t>
      </w:r>
      <w:r w:rsidR="00DB4213">
        <w:rPr>
          <w:rFonts w:ascii="Calibri" w:hAnsi="Calibri"/>
          <w:bCs/>
          <w:i w:val="0"/>
          <w:color w:val="auto"/>
          <w:sz w:val="22"/>
          <w:szCs w:val="22"/>
        </w:rPr>
        <w:t xml:space="preserve">down from </w:t>
      </w:r>
      <w:r w:rsidR="00BA501E">
        <w:rPr>
          <w:rFonts w:ascii="Calibri" w:hAnsi="Calibri"/>
          <w:bCs/>
          <w:i w:val="0"/>
          <w:color w:val="auto"/>
          <w:sz w:val="22"/>
          <w:szCs w:val="22"/>
        </w:rPr>
        <w:t>almost one-third in 2010</w:t>
      </w:r>
      <w:r w:rsidR="008A1906">
        <w:rPr>
          <w:rFonts w:ascii="Calibri" w:hAnsi="Calibri"/>
          <w:bCs/>
          <w:i w:val="0"/>
          <w:color w:val="auto"/>
          <w:sz w:val="22"/>
          <w:szCs w:val="22"/>
        </w:rPr>
        <w:t>.  This</w:t>
      </w:r>
      <w:r w:rsidRPr="00F728B6">
        <w:rPr>
          <w:rFonts w:ascii="Calibri" w:hAnsi="Calibri"/>
          <w:bCs/>
          <w:i w:val="0"/>
          <w:color w:val="auto"/>
          <w:sz w:val="22"/>
          <w:szCs w:val="22"/>
        </w:rPr>
        <w:t xml:space="preserve"> is higher than the state level of </w:t>
      </w:r>
      <w:r w:rsidR="00074B15">
        <w:rPr>
          <w:rFonts w:ascii="Calibri" w:hAnsi="Calibri"/>
          <w:bCs/>
          <w:i w:val="0"/>
          <w:color w:val="auto"/>
          <w:sz w:val="22"/>
          <w:szCs w:val="22"/>
        </w:rPr>
        <w:t>14.</w:t>
      </w:r>
      <w:r w:rsidR="00214085">
        <w:rPr>
          <w:rFonts w:ascii="Calibri" w:hAnsi="Calibri"/>
          <w:bCs/>
          <w:i w:val="0"/>
          <w:color w:val="auto"/>
          <w:sz w:val="22"/>
          <w:szCs w:val="22"/>
        </w:rPr>
        <w:t>7</w:t>
      </w:r>
      <w:r w:rsidRPr="00F728B6">
        <w:rPr>
          <w:rFonts w:ascii="Calibri" w:hAnsi="Calibri"/>
          <w:bCs/>
          <w:i w:val="0"/>
          <w:color w:val="auto"/>
          <w:sz w:val="22"/>
          <w:szCs w:val="22"/>
        </w:rPr>
        <w:t>%</w:t>
      </w:r>
      <w:r w:rsidR="00BA501E">
        <w:rPr>
          <w:rFonts w:ascii="Calibri" w:hAnsi="Calibri"/>
          <w:bCs/>
          <w:i w:val="0"/>
          <w:color w:val="auto"/>
          <w:sz w:val="22"/>
          <w:szCs w:val="22"/>
        </w:rPr>
        <w:t xml:space="preserve"> in </w:t>
      </w:r>
      <w:r w:rsidR="00C152A8">
        <w:rPr>
          <w:rFonts w:ascii="Calibri" w:hAnsi="Calibri"/>
          <w:bCs/>
          <w:i w:val="0"/>
          <w:color w:val="auto"/>
          <w:sz w:val="22"/>
          <w:szCs w:val="22"/>
        </w:rPr>
        <w:t>20</w:t>
      </w:r>
      <w:r w:rsidR="000F1084">
        <w:rPr>
          <w:rFonts w:ascii="Calibri" w:hAnsi="Calibri"/>
          <w:bCs/>
          <w:i w:val="0"/>
          <w:color w:val="auto"/>
          <w:sz w:val="22"/>
          <w:szCs w:val="22"/>
        </w:rPr>
        <w:t>20</w:t>
      </w:r>
      <w:r w:rsidR="00E11EE7">
        <w:rPr>
          <w:rFonts w:ascii="Calibri" w:hAnsi="Calibri"/>
          <w:bCs/>
          <w:i w:val="0"/>
          <w:color w:val="auto"/>
          <w:sz w:val="22"/>
          <w:szCs w:val="22"/>
        </w:rPr>
        <w:t xml:space="preserve">, and not surprising given </w:t>
      </w:r>
      <w:r w:rsidR="003A7AB8">
        <w:rPr>
          <w:rFonts w:ascii="Calibri" w:hAnsi="Calibri"/>
          <w:bCs/>
          <w:i w:val="0"/>
          <w:color w:val="auto"/>
          <w:sz w:val="22"/>
          <w:szCs w:val="22"/>
        </w:rPr>
        <w:t>the prevalence o</w:t>
      </w:r>
      <w:r w:rsidRPr="00F728B6">
        <w:rPr>
          <w:rFonts w:ascii="Calibri" w:hAnsi="Calibri"/>
          <w:bCs/>
          <w:i w:val="0"/>
          <w:color w:val="auto"/>
          <w:sz w:val="22"/>
          <w:szCs w:val="22"/>
        </w:rPr>
        <w:t>f single-family homes in Needham</w:t>
      </w:r>
      <w:r w:rsidR="00DB4213">
        <w:rPr>
          <w:rFonts w:ascii="Calibri" w:hAnsi="Calibri"/>
          <w:bCs/>
          <w:i w:val="0"/>
          <w:color w:val="auto"/>
          <w:sz w:val="22"/>
          <w:szCs w:val="22"/>
        </w:rPr>
        <w:t xml:space="preserve"> and </w:t>
      </w:r>
      <w:r w:rsidR="00E11EE7">
        <w:rPr>
          <w:rFonts w:ascii="Calibri" w:hAnsi="Calibri"/>
          <w:bCs/>
          <w:i w:val="0"/>
          <w:color w:val="auto"/>
          <w:sz w:val="22"/>
          <w:szCs w:val="22"/>
        </w:rPr>
        <w:t xml:space="preserve">once again </w:t>
      </w:r>
      <w:r w:rsidR="00DB4213">
        <w:rPr>
          <w:rFonts w:ascii="Calibri" w:hAnsi="Calibri"/>
          <w:bCs/>
          <w:i w:val="0"/>
          <w:color w:val="auto"/>
          <w:sz w:val="22"/>
          <w:szCs w:val="22"/>
        </w:rPr>
        <w:t xml:space="preserve">new rental </w:t>
      </w:r>
      <w:r w:rsidR="000A221C">
        <w:rPr>
          <w:rFonts w:ascii="Calibri" w:hAnsi="Calibri"/>
          <w:bCs/>
          <w:i w:val="0"/>
          <w:color w:val="auto"/>
          <w:sz w:val="22"/>
          <w:szCs w:val="22"/>
        </w:rPr>
        <w:t>alternatives</w:t>
      </w:r>
      <w:r w:rsidR="00E11EE7">
        <w:rPr>
          <w:rFonts w:ascii="Calibri" w:hAnsi="Calibri"/>
          <w:bCs/>
          <w:i w:val="0"/>
          <w:color w:val="auto"/>
          <w:sz w:val="22"/>
          <w:szCs w:val="22"/>
        </w:rPr>
        <w:t xml:space="preserve"> in the community.</w:t>
      </w:r>
      <w:r w:rsidR="00504966" w:rsidRPr="00504966">
        <w:rPr>
          <w:rFonts w:ascii="Calibri" w:hAnsi="Calibri"/>
          <w:bCs/>
          <w:i w:val="0"/>
          <w:color w:val="auto"/>
          <w:sz w:val="22"/>
          <w:szCs w:val="22"/>
        </w:rPr>
        <w:t xml:space="preserve"> </w:t>
      </w:r>
      <w:r w:rsidR="008A1AA5">
        <w:rPr>
          <w:rFonts w:ascii="Calibri" w:hAnsi="Calibri"/>
          <w:bCs/>
          <w:i w:val="0"/>
          <w:color w:val="auto"/>
          <w:sz w:val="22"/>
          <w:szCs w:val="22"/>
        </w:rPr>
        <w:t>T</w:t>
      </w:r>
      <w:r w:rsidR="00504966">
        <w:rPr>
          <w:rFonts w:ascii="Calibri" w:hAnsi="Calibri"/>
          <w:bCs/>
          <w:i w:val="0"/>
          <w:color w:val="auto"/>
          <w:sz w:val="22"/>
          <w:szCs w:val="22"/>
        </w:rPr>
        <w:t xml:space="preserve">he decline in </w:t>
      </w:r>
      <w:r w:rsidR="008A1AA5">
        <w:rPr>
          <w:rFonts w:ascii="Calibri" w:hAnsi="Calibri"/>
          <w:bCs/>
          <w:i w:val="0"/>
          <w:color w:val="auto"/>
          <w:sz w:val="22"/>
          <w:szCs w:val="22"/>
        </w:rPr>
        <w:t>h</w:t>
      </w:r>
      <w:r w:rsidR="00504966">
        <w:rPr>
          <w:rFonts w:ascii="Calibri" w:hAnsi="Calibri"/>
          <w:bCs/>
          <w:i w:val="0"/>
          <w:color w:val="auto"/>
          <w:sz w:val="22"/>
          <w:szCs w:val="22"/>
        </w:rPr>
        <w:t xml:space="preserve">omeowner </w:t>
      </w:r>
      <w:r w:rsidR="008A1AA5">
        <w:rPr>
          <w:rFonts w:ascii="Calibri" w:hAnsi="Calibri"/>
          <w:bCs/>
          <w:i w:val="0"/>
          <w:color w:val="auto"/>
          <w:sz w:val="22"/>
          <w:szCs w:val="22"/>
        </w:rPr>
        <w:t>u</w:t>
      </w:r>
      <w:r w:rsidR="00504966">
        <w:rPr>
          <w:rFonts w:ascii="Calibri" w:hAnsi="Calibri"/>
          <w:bCs/>
          <w:i w:val="0"/>
          <w:color w:val="auto"/>
          <w:sz w:val="22"/>
          <w:szCs w:val="22"/>
        </w:rPr>
        <w:t>nits in buildings of 10 or more units</w:t>
      </w:r>
      <w:r w:rsidR="00214085">
        <w:rPr>
          <w:rFonts w:ascii="Calibri" w:hAnsi="Calibri"/>
          <w:bCs/>
          <w:i w:val="0"/>
          <w:color w:val="auto"/>
          <w:sz w:val="22"/>
          <w:szCs w:val="22"/>
        </w:rPr>
        <w:t>,</w:t>
      </w:r>
      <w:r w:rsidR="00504966">
        <w:rPr>
          <w:rFonts w:ascii="Calibri" w:hAnsi="Calibri"/>
          <w:bCs/>
          <w:i w:val="0"/>
          <w:color w:val="auto"/>
          <w:sz w:val="22"/>
          <w:szCs w:val="22"/>
        </w:rPr>
        <w:t xml:space="preserve"> from 323 in 2010 to 29</w:t>
      </w:r>
      <w:r w:rsidR="000F1084">
        <w:rPr>
          <w:rFonts w:ascii="Calibri" w:hAnsi="Calibri"/>
          <w:bCs/>
          <w:i w:val="0"/>
          <w:color w:val="auto"/>
          <w:sz w:val="22"/>
          <w:szCs w:val="22"/>
        </w:rPr>
        <w:t>8</w:t>
      </w:r>
      <w:r w:rsidR="00214085">
        <w:rPr>
          <w:rFonts w:ascii="Calibri" w:hAnsi="Calibri"/>
          <w:bCs/>
          <w:i w:val="0"/>
          <w:color w:val="auto"/>
          <w:sz w:val="22"/>
          <w:szCs w:val="22"/>
        </w:rPr>
        <w:t xml:space="preserve"> units</w:t>
      </w:r>
      <w:r w:rsidR="00504966">
        <w:rPr>
          <w:rFonts w:ascii="Calibri" w:hAnsi="Calibri"/>
          <w:bCs/>
          <w:i w:val="0"/>
          <w:color w:val="auto"/>
          <w:sz w:val="22"/>
          <w:szCs w:val="22"/>
        </w:rPr>
        <w:t xml:space="preserve"> in 20</w:t>
      </w:r>
      <w:r w:rsidR="000F1084">
        <w:rPr>
          <w:rFonts w:ascii="Calibri" w:hAnsi="Calibri"/>
          <w:bCs/>
          <w:i w:val="0"/>
          <w:color w:val="auto"/>
          <w:sz w:val="22"/>
          <w:szCs w:val="22"/>
        </w:rPr>
        <w:t>20</w:t>
      </w:r>
      <w:r w:rsidR="00504966">
        <w:rPr>
          <w:rFonts w:ascii="Calibri" w:hAnsi="Calibri"/>
          <w:bCs/>
          <w:i w:val="0"/>
          <w:color w:val="auto"/>
          <w:sz w:val="22"/>
          <w:szCs w:val="22"/>
        </w:rPr>
        <w:t>, perhaps indicat</w:t>
      </w:r>
      <w:r w:rsidR="008A1AA5">
        <w:rPr>
          <w:rFonts w:ascii="Calibri" w:hAnsi="Calibri"/>
          <w:bCs/>
          <w:i w:val="0"/>
          <w:color w:val="auto"/>
          <w:sz w:val="22"/>
          <w:szCs w:val="22"/>
        </w:rPr>
        <w:t>es</w:t>
      </w:r>
      <w:r w:rsidR="00504966">
        <w:rPr>
          <w:rFonts w:ascii="Calibri" w:hAnsi="Calibri"/>
          <w:bCs/>
          <w:i w:val="0"/>
          <w:color w:val="auto"/>
          <w:sz w:val="22"/>
          <w:szCs w:val="22"/>
        </w:rPr>
        <w:t xml:space="preserve"> that more condominium units  are held as investments and rented out.</w:t>
      </w:r>
    </w:p>
    <w:p w14:paraId="66496C0E" w14:textId="3BA42BED" w:rsidR="00504966" w:rsidRDefault="00504966" w:rsidP="00504966"/>
    <w:p w14:paraId="2435EAA8" w14:textId="4377F46A" w:rsidR="00A42F4D" w:rsidRDefault="00A42F4D" w:rsidP="00504966"/>
    <w:p w14:paraId="6BE867FD" w14:textId="66217E32" w:rsidR="00A42F4D" w:rsidRDefault="00A42F4D" w:rsidP="00504966"/>
    <w:p w14:paraId="2DF335AF" w14:textId="77777777" w:rsidR="000F1084" w:rsidRDefault="000F1084" w:rsidP="00504966"/>
    <w:p w14:paraId="2DDF189A" w14:textId="62BF9A05" w:rsidR="00A42F4D" w:rsidRDefault="00A42F4D" w:rsidP="00504966"/>
    <w:p w14:paraId="18537510" w14:textId="6C3E0753" w:rsidR="00646664" w:rsidRDefault="008772FC" w:rsidP="008772FC">
      <w:pPr>
        <w:pStyle w:val="BodyTextIndent"/>
        <w:spacing w:after="0"/>
        <w:ind w:left="0" w:right="-720"/>
        <w:jc w:val="center"/>
        <w:rPr>
          <w:rFonts w:ascii="Calibri" w:hAnsi="Calibri"/>
          <w:b/>
          <w:sz w:val="22"/>
          <w:szCs w:val="22"/>
        </w:rPr>
      </w:pPr>
      <w:r w:rsidRPr="00F728B6">
        <w:rPr>
          <w:rFonts w:ascii="Calibri" w:hAnsi="Calibri"/>
          <w:b/>
          <w:sz w:val="22"/>
          <w:szCs w:val="22"/>
        </w:rPr>
        <w:lastRenderedPageBreak/>
        <w:t xml:space="preserve">Table </w:t>
      </w:r>
      <w:r w:rsidR="00A166AA">
        <w:rPr>
          <w:rFonts w:ascii="Calibri" w:hAnsi="Calibri"/>
          <w:b/>
          <w:sz w:val="22"/>
          <w:szCs w:val="22"/>
        </w:rPr>
        <w:t>III-2</w:t>
      </w:r>
      <w:r w:rsidR="0028014C">
        <w:rPr>
          <w:rFonts w:ascii="Calibri" w:hAnsi="Calibri"/>
          <w:b/>
          <w:sz w:val="22"/>
          <w:szCs w:val="22"/>
        </w:rPr>
        <w:t>6</w:t>
      </w:r>
      <w:r w:rsidRPr="00F728B6">
        <w:rPr>
          <w:rFonts w:ascii="Calibri" w:hAnsi="Calibri"/>
          <w:b/>
          <w:sz w:val="22"/>
          <w:szCs w:val="22"/>
        </w:rPr>
        <w:t>: Type of Structure by Tenure, 2</w:t>
      </w:r>
      <w:r w:rsidR="00646664">
        <w:rPr>
          <w:rFonts w:ascii="Calibri" w:hAnsi="Calibri"/>
          <w:b/>
          <w:sz w:val="22"/>
          <w:szCs w:val="22"/>
        </w:rPr>
        <w:t>010 and 2</w:t>
      </w:r>
      <w:r w:rsidRPr="00F728B6">
        <w:rPr>
          <w:rFonts w:ascii="Calibri" w:hAnsi="Calibri"/>
          <w:b/>
          <w:sz w:val="22"/>
          <w:szCs w:val="22"/>
        </w:rPr>
        <w:t>0</w:t>
      </w:r>
      <w:r w:rsidR="00762E33">
        <w:rPr>
          <w:rFonts w:ascii="Calibri" w:hAnsi="Calibri"/>
          <w:b/>
          <w:sz w:val="22"/>
          <w:szCs w:val="22"/>
        </w:rPr>
        <w:t>20</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55"/>
        <w:gridCol w:w="855"/>
        <w:gridCol w:w="795"/>
        <w:gridCol w:w="1005"/>
        <w:gridCol w:w="825"/>
        <w:gridCol w:w="885"/>
        <w:gridCol w:w="1005"/>
        <w:gridCol w:w="975"/>
      </w:tblGrid>
      <w:tr w:rsidR="00646664" w:rsidRPr="004E50E7" w14:paraId="2C52DFF9" w14:textId="77777777" w:rsidTr="00646664">
        <w:trPr>
          <w:cantSplit/>
        </w:trPr>
        <w:tc>
          <w:tcPr>
            <w:tcW w:w="1890" w:type="dxa"/>
            <w:vMerge w:val="restart"/>
            <w:tcBorders>
              <w:top w:val="single" w:sz="4" w:space="0" w:color="auto"/>
              <w:left w:val="single" w:sz="4" w:space="0" w:color="auto"/>
            </w:tcBorders>
          </w:tcPr>
          <w:p w14:paraId="54BEB81C" w14:textId="77777777" w:rsidR="00646664" w:rsidRPr="004E50E7" w:rsidRDefault="00646664" w:rsidP="008F2513">
            <w:pPr>
              <w:rPr>
                <w:rFonts w:ascii="Calibri" w:hAnsi="Calibri"/>
                <w:b/>
                <w:bCs/>
              </w:rPr>
            </w:pPr>
            <w:r w:rsidRPr="004E50E7">
              <w:rPr>
                <w:rFonts w:ascii="Calibri" w:hAnsi="Calibri"/>
                <w:b/>
                <w:bCs/>
                <w:sz w:val="22"/>
              </w:rPr>
              <w:t xml:space="preserve">Type of </w:t>
            </w:r>
          </w:p>
          <w:p w14:paraId="33A9E716" w14:textId="77777777" w:rsidR="00646664" w:rsidRPr="004E50E7" w:rsidRDefault="00646664" w:rsidP="008F2513">
            <w:pPr>
              <w:rPr>
                <w:rFonts w:ascii="Calibri" w:hAnsi="Calibri"/>
                <w:b/>
                <w:bCs/>
              </w:rPr>
            </w:pPr>
            <w:r w:rsidRPr="004E50E7">
              <w:rPr>
                <w:rFonts w:ascii="Calibri" w:hAnsi="Calibri"/>
                <w:b/>
                <w:bCs/>
                <w:sz w:val="22"/>
              </w:rPr>
              <w:t>Structure</w:t>
            </w:r>
          </w:p>
        </w:tc>
        <w:tc>
          <w:tcPr>
            <w:tcW w:w="3510" w:type="dxa"/>
            <w:gridSpan w:val="4"/>
          </w:tcPr>
          <w:p w14:paraId="1812F376" w14:textId="77777777" w:rsidR="00646664" w:rsidRPr="004E50E7" w:rsidRDefault="00646664" w:rsidP="008F2513">
            <w:pPr>
              <w:jc w:val="center"/>
              <w:rPr>
                <w:rFonts w:ascii="Calibri" w:hAnsi="Calibri"/>
                <w:b/>
                <w:bCs/>
              </w:rPr>
            </w:pPr>
            <w:r w:rsidRPr="004E50E7">
              <w:rPr>
                <w:rFonts w:ascii="Calibri" w:hAnsi="Calibri"/>
                <w:b/>
                <w:bCs/>
                <w:sz w:val="22"/>
              </w:rPr>
              <w:t>Homeowner Units</w:t>
            </w:r>
          </w:p>
        </w:tc>
        <w:tc>
          <w:tcPr>
            <w:tcW w:w="3690" w:type="dxa"/>
            <w:gridSpan w:val="4"/>
          </w:tcPr>
          <w:p w14:paraId="2A12BFC0" w14:textId="77777777" w:rsidR="00646664" w:rsidRPr="004E50E7" w:rsidRDefault="00646664" w:rsidP="008F2513">
            <w:pPr>
              <w:jc w:val="center"/>
              <w:rPr>
                <w:rFonts w:ascii="Calibri" w:hAnsi="Calibri"/>
                <w:b/>
                <w:bCs/>
              </w:rPr>
            </w:pPr>
            <w:r w:rsidRPr="004E50E7">
              <w:rPr>
                <w:rFonts w:ascii="Calibri" w:hAnsi="Calibri"/>
                <w:b/>
                <w:bCs/>
                <w:sz w:val="22"/>
              </w:rPr>
              <w:t>Renter Units</w:t>
            </w:r>
          </w:p>
        </w:tc>
      </w:tr>
      <w:tr w:rsidR="00646664" w:rsidRPr="004E50E7" w14:paraId="3D7A2E11" w14:textId="77777777" w:rsidTr="00646664">
        <w:trPr>
          <w:cantSplit/>
        </w:trPr>
        <w:tc>
          <w:tcPr>
            <w:tcW w:w="1890" w:type="dxa"/>
            <w:vMerge/>
            <w:tcBorders>
              <w:left w:val="single" w:sz="4" w:space="0" w:color="auto"/>
            </w:tcBorders>
          </w:tcPr>
          <w:p w14:paraId="02672848" w14:textId="77777777" w:rsidR="00646664" w:rsidRPr="004E50E7" w:rsidRDefault="00646664" w:rsidP="008F2513">
            <w:pPr>
              <w:rPr>
                <w:rFonts w:ascii="Calibri" w:hAnsi="Calibri"/>
              </w:rPr>
            </w:pPr>
          </w:p>
        </w:tc>
        <w:tc>
          <w:tcPr>
            <w:tcW w:w="1710" w:type="dxa"/>
            <w:gridSpan w:val="2"/>
          </w:tcPr>
          <w:p w14:paraId="4A80F6F2" w14:textId="77777777" w:rsidR="00646664" w:rsidRPr="004E50E7" w:rsidRDefault="00646664" w:rsidP="008F2513">
            <w:pPr>
              <w:pStyle w:val="Footer"/>
              <w:jc w:val="center"/>
              <w:rPr>
                <w:rFonts w:ascii="Calibri" w:hAnsi="Calibri"/>
                <w:b/>
                <w:bCs/>
              </w:rPr>
            </w:pPr>
            <w:r>
              <w:rPr>
                <w:rFonts w:ascii="Calibri" w:hAnsi="Calibri"/>
                <w:b/>
                <w:bCs/>
                <w:sz w:val="22"/>
              </w:rPr>
              <w:t>2010</w:t>
            </w:r>
          </w:p>
        </w:tc>
        <w:tc>
          <w:tcPr>
            <w:tcW w:w="1800" w:type="dxa"/>
            <w:gridSpan w:val="2"/>
          </w:tcPr>
          <w:p w14:paraId="508E82DF" w14:textId="6BEC1344" w:rsidR="00646664" w:rsidRPr="004E50E7" w:rsidRDefault="00646664" w:rsidP="008F2513">
            <w:pPr>
              <w:jc w:val="center"/>
              <w:rPr>
                <w:rFonts w:ascii="Calibri" w:hAnsi="Calibri"/>
                <w:b/>
                <w:bCs/>
              </w:rPr>
            </w:pPr>
            <w:r>
              <w:rPr>
                <w:rFonts w:ascii="Calibri" w:hAnsi="Calibri"/>
                <w:b/>
                <w:bCs/>
                <w:sz w:val="22"/>
              </w:rPr>
              <w:t>20</w:t>
            </w:r>
            <w:r w:rsidR="00762E33">
              <w:rPr>
                <w:rFonts w:ascii="Calibri" w:hAnsi="Calibri"/>
                <w:b/>
                <w:bCs/>
                <w:sz w:val="22"/>
              </w:rPr>
              <w:t>20</w:t>
            </w:r>
          </w:p>
        </w:tc>
        <w:tc>
          <w:tcPr>
            <w:tcW w:w="1710" w:type="dxa"/>
            <w:gridSpan w:val="2"/>
          </w:tcPr>
          <w:p w14:paraId="063F9782" w14:textId="77777777" w:rsidR="00646664" w:rsidRPr="004E50E7" w:rsidRDefault="00646664" w:rsidP="008F2513">
            <w:pPr>
              <w:jc w:val="center"/>
              <w:rPr>
                <w:rFonts w:ascii="Calibri" w:hAnsi="Calibri"/>
                <w:b/>
                <w:bCs/>
              </w:rPr>
            </w:pPr>
            <w:r>
              <w:rPr>
                <w:rFonts w:ascii="Calibri" w:hAnsi="Calibri"/>
                <w:b/>
                <w:bCs/>
                <w:sz w:val="22"/>
              </w:rPr>
              <w:t>2010</w:t>
            </w:r>
          </w:p>
        </w:tc>
        <w:tc>
          <w:tcPr>
            <w:tcW w:w="1980" w:type="dxa"/>
            <w:gridSpan w:val="2"/>
          </w:tcPr>
          <w:p w14:paraId="50A3F851" w14:textId="7C75286E" w:rsidR="00646664" w:rsidRPr="004E50E7" w:rsidRDefault="00646664" w:rsidP="008F2513">
            <w:pPr>
              <w:jc w:val="center"/>
              <w:rPr>
                <w:rFonts w:ascii="Calibri" w:hAnsi="Calibri"/>
                <w:b/>
                <w:bCs/>
              </w:rPr>
            </w:pPr>
            <w:r>
              <w:rPr>
                <w:rFonts w:ascii="Calibri" w:hAnsi="Calibri"/>
                <w:b/>
                <w:bCs/>
                <w:sz w:val="22"/>
              </w:rPr>
              <w:t>20</w:t>
            </w:r>
            <w:r w:rsidR="00762E33">
              <w:rPr>
                <w:rFonts w:ascii="Calibri" w:hAnsi="Calibri"/>
                <w:b/>
                <w:bCs/>
                <w:sz w:val="22"/>
              </w:rPr>
              <w:t>20</w:t>
            </w:r>
          </w:p>
        </w:tc>
      </w:tr>
      <w:tr w:rsidR="00646664" w:rsidRPr="004E50E7" w14:paraId="344BE10A" w14:textId="77777777" w:rsidTr="00646664">
        <w:trPr>
          <w:cantSplit/>
        </w:trPr>
        <w:tc>
          <w:tcPr>
            <w:tcW w:w="1890" w:type="dxa"/>
            <w:vMerge/>
            <w:tcBorders>
              <w:left w:val="single" w:sz="4" w:space="0" w:color="auto"/>
            </w:tcBorders>
          </w:tcPr>
          <w:p w14:paraId="13461892" w14:textId="77777777" w:rsidR="00646664" w:rsidRPr="004E50E7" w:rsidRDefault="00646664" w:rsidP="008F2513">
            <w:pPr>
              <w:rPr>
                <w:rFonts w:ascii="Calibri" w:hAnsi="Calibri"/>
              </w:rPr>
            </w:pPr>
          </w:p>
        </w:tc>
        <w:tc>
          <w:tcPr>
            <w:tcW w:w="855" w:type="dxa"/>
          </w:tcPr>
          <w:p w14:paraId="03295D14" w14:textId="77777777" w:rsidR="00646664" w:rsidRPr="004E50E7" w:rsidRDefault="00646664" w:rsidP="008F2513">
            <w:pPr>
              <w:pStyle w:val="Footer"/>
              <w:jc w:val="center"/>
              <w:rPr>
                <w:rFonts w:ascii="Calibri" w:hAnsi="Calibri"/>
                <w:b/>
                <w:bCs/>
              </w:rPr>
            </w:pPr>
            <w:r>
              <w:rPr>
                <w:rFonts w:ascii="Calibri" w:hAnsi="Calibri"/>
                <w:b/>
                <w:bCs/>
                <w:sz w:val="22"/>
              </w:rPr>
              <w:t>#</w:t>
            </w:r>
          </w:p>
        </w:tc>
        <w:tc>
          <w:tcPr>
            <w:tcW w:w="855" w:type="dxa"/>
          </w:tcPr>
          <w:p w14:paraId="64E4790B" w14:textId="77777777" w:rsidR="00646664" w:rsidRPr="004E50E7" w:rsidRDefault="00646664" w:rsidP="008F2513">
            <w:pPr>
              <w:pStyle w:val="Footer"/>
              <w:jc w:val="center"/>
              <w:rPr>
                <w:rFonts w:ascii="Calibri" w:hAnsi="Calibri"/>
                <w:b/>
                <w:bCs/>
              </w:rPr>
            </w:pPr>
            <w:r>
              <w:rPr>
                <w:rFonts w:ascii="Calibri" w:hAnsi="Calibri"/>
                <w:b/>
                <w:bCs/>
                <w:sz w:val="22"/>
              </w:rPr>
              <w:t>%</w:t>
            </w:r>
          </w:p>
        </w:tc>
        <w:tc>
          <w:tcPr>
            <w:tcW w:w="795" w:type="dxa"/>
          </w:tcPr>
          <w:p w14:paraId="2C047E5B" w14:textId="77777777" w:rsidR="00646664" w:rsidRPr="004E50E7" w:rsidRDefault="00646664" w:rsidP="00EF0B39">
            <w:pPr>
              <w:pStyle w:val="Footer"/>
              <w:jc w:val="center"/>
              <w:rPr>
                <w:rFonts w:ascii="Calibri" w:hAnsi="Calibri"/>
                <w:b/>
                <w:bCs/>
              </w:rPr>
            </w:pPr>
            <w:r>
              <w:rPr>
                <w:rFonts w:ascii="Calibri" w:hAnsi="Calibri"/>
                <w:b/>
                <w:bCs/>
                <w:sz w:val="22"/>
              </w:rPr>
              <w:t>#</w:t>
            </w:r>
          </w:p>
        </w:tc>
        <w:tc>
          <w:tcPr>
            <w:tcW w:w="1005" w:type="dxa"/>
          </w:tcPr>
          <w:p w14:paraId="43702DFE" w14:textId="77777777" w:rsidR="00646664" w:rsidRPr="004E50E7" w:rsidRDefault="00646664" w:rsidP="00EF0B39">
            <w:pPr>
              <w:pStyle w:val="Footer"/>
              <w:jc w:val="center"/>
              <w:rPr>
                <w:rFonts w:ascii="Calibri" w:hAnsi="Calibri"/>
                <w:b/>
                <w:bCs/>
              </w:rPr>
            </w:pPr>
            <w:r>
              <w:rPr>
                <w:rFonts w:ascii="Calibri" w:hAnsi="Calibri"/>
                <w:b/>
                <w:bCs/>
                <w:sz w:val="22"/>
              </w:rPr>
              <w:t>%</w:t>
            </w:r>
          </w:p>
        </w:tc>
        <w:tc>
          <w:tcPr>
            <w:tcW w:w="825" w:type="dxa"/>
          </w:tcPr>
          <w:p w14:paraId="41A1474F" w14:textId="77777777" w:rsidR="00646664" w:rsidRPr="004E50E7" w:rsidRDefault="00646664" w:rsidP="00EF0B39">
            <w:pPr>
              <w:pStyle w:val="Footer"/>
              <w:jc w:val="center"/>
              <w:rPr>
                <w:rFonts w:ascii="Calibri" w:hAnsi="Calibri"/>
                <w:b/>
                <w:bCs/>
              </w:rPr>
            </w:pPr>
            <w:r>
              <w:rPr>
                <w:rFonts w:ascii="Calibri" w:hAnsi="Calibri"/>
                <w:b/>
                <w:bCs/>
                <w:sz w:val="22"/>
              </w:rPr>
              <w:t>#</w:t>
            </w:r>
          </w:p>
        </w:tc>
        <w:tc>
          <w:tcPr>
            <w:tcW w:w="885" w:type="dxa"/>
          </w:tcPr>
          <w:p w14:paraId="633979F7" w14:textId="77777777" w:rsidR="00646664" w:rsidRPr="004E50E7" w:rsidRDefault="00646664" w:rsidP="00EF0B39">
            <w:pPr>
              <w:pStyle w:val="Footer"/>
              <w:jc w:val="center"/>
              <w:rPr>
                <w:rFonts w:ascii="Calibri" w:hAnsi="Calibri"/>
                <w:b/>
                <w:bCs/>
              </w:rPr>
            </w:pPr>
            <w:r>
              <w:rPr>
                <w:rFonts w:ascii="Calibri" w:hAnsi="Calibri"/>
                <w:b/>
                <w:bCs/>
                <w:sz w:val="22"/>
              </w:rPr>
              <w:t>%</w:t>
            </w:r>
          </w:p>
        </w:tc>
        <w:tc>
          <w:tcPr>
            <w:tcW w:w="1005" w:type="dxa"/>
          </w:tcPr>
          <w:p w14:paraId="2F08D186" w14:textId="77777777" w:rsidR="00646664" w:rsidRPr="004E50E7" w:rsidRDefault="00646664" w:rsidP="00EF0B39">
            <w:pPr>
              <w:pStyle w:val="Footer"/>
              <w:jc w:val="center"/>
              <w:rPr>
                <w:rFonts w:ascii="Calibri" w:hAnsi="Calibri"/>
                <w:b/>
                <w:bCs/>
              </w:rPr>
            </w:pPr>
            <w:r>
              <w:rPr>
                <w:rFonts w:ascii="Calibri" w:hAnsi="Calibri"/>
                <w:b/>
                <w:bCs/>
                <w:sz w:val="22"/>
              </w:rPr>
              <w:t>#</w:t>
            </w:r>
          </w:p>
        </w:tc>
        <w:tc>
          <w:tcPr>
            <w:tcW w:w="975" w:type="dxa"/>
          </w:tcPr>
          <w:p w14:paraId="005ABE87" w14:textId="77777777" w:rsidR="00646664" w:rsidRPr="004E50E7" w:rsidRDefault="00646664" w:rsidP="00EF0B39">
            <w:pPr>
              <w:pStyle w:val="Footer"/>
              <w:jc w:val="center"/>
              <w:rPr>
                <w:rFonts w:ascii="Calibri" w:hAnsi="Calibri"/>
                <w:b/>
                <w:bCs/>
              </w:rPr>
            </w:pPr>
            <w:r>
              <w:rPr>
                <w:rFonts w:ascii="Calibri" w:hAnsi="Calibri"/>
                <w:b/>
                <w:bCs/>
                <w:sz w:val="22"/>
              </w:rPr>
              <w:t>%</w:t>
            </w:r>
          </w:p>
        </w:tc>
      </w:tr>
      <w:tr w:rsidR="00646664" w:rsidRPr="004E50E7" w14:paraId="1413A7E1" w14:textId="77777777" w:rsidTr="00646664">
        <w:tc>
          <w:tcPr>
            <w:tcW w:w="1890" w:type="dxa"/>
          </w:tcPr>
          <w:p w14:paraId="5E05059D" w14:textId="77777777" w:rsidR="00646664" w:rsidRDefault="00646664" w:rsidP="008F2513">
            <w:pPr>
              <w:pStyle w:val="BodyTextIndent"/>
              <w:spacing w:after="0"/>
              <w:ind w:left="0" w:right="-720"/>
              <w:rPr>
                <w:rFonts w:ascii="Calibri" w:hAnsi="Calibri"/>
                <w:sz w:val="20"/>
              </w:rPr>
            </w:pPr>
            <w:r>
              <w:rPr>
                <w:rFonts w:ascii="Calibri" w:hAnsi="Calibri"/>
                <w:sz w:val="20"/>
              </w:rPr>
              <w:t>1 unit, detached and</w:t>
            </w:r>
          </w:p>
          <w:p w14:paraId="01B53D1E" w14:textId="52AF7A2A" w:rsidR="00646664" w:rsidRPr="004E50E7" w:rsidRDefault="007D1C3D" w:rsidP="008F2513">
            <w:pPr>
              <w:pStyle w:val="BodyTextIndent"/>
              <w:spacing w:after="0"/>
              <w:ind w:left="0" w:right="-720"/>
              <w:rPr>
                <w:rFonts w:ascii="Calibri" w:hAnsi="Calibri"/>
                <w:sz w:val="20"/>
              </w:rPr>
            </w:pPr>
            <w:r>
              <w:rPr>
                <w:rFonts w:ascii="Calibri" w:hAnsi="Calibri"/>
                <w:sz w:val="20"/>
              </w:rPr>
              <w:t>a</w:t>
            </w:r>
            <w:r w:rsidR="00646664">
              <w:rPr>
                <w:rFonts w:ascii="Calibri" w:hAnsi="Calibri"/>
                <w:sz w:val="20"/>
              </w:rPr>
              <w:t>ttached</w:t>
            </w:r>
          </w:p>
        </w:tc>
        <w:tc>
          <w:tcPr>
            <w:tcW w:w="855" w:type="dxa"/>
          </w:tcPr>
          <w:p w14:paraId="20F65CA6" w14:textId="77777777" w:rsidR="00646664" w:rsidRPr="004E50E7" w:rsidRDefault="00BA501E" w:rsidP="008F2513">
            <w:pPr>
              <w:rPr>
                <w:rFonts w:ascii="Calibri" w:hAnsi="Calibri"/>
                <w:sz w:val="20"/>
              </w:rPr>
            </w:pPr>
            <w:r>
              <w:rPr>
                <w:rFonts w:ascii="Calibri" w:hAnsi="Calibri"/>
                <w:sz w:val="20"/>
              </w:rPr>
              <w:t>8,115</w:t>
            </w:r>
          </w:p>
        </w:tc>
        <w:tc>
          <w:tcPr>
            <w:tcW w:w="855" w:type="dxa"/>
          </w:tcPr>
          <w:p w14:paraId="264D215A" w14:textId="77777777" w:rsidR="00646664" w:rsidRPr="004E50E7" w:rsidRDefault="00BA501E" w:rsidP="00646664">
            <w:pPr>
              <w:rPr>
                <w:rFonts w:ascii="Calibri" w:hAnsi="Calibri"/>
                <w:sz w:val="20"/>
              </w:rPr>
            </w:pPr>
            <w:r>
              <w:rPr>
                <w:rFonts w:ascii="Calibri" w:hAnsi="Calibri"/>
                <w:sz w:val="20"/>
              </w:rPr>
              <w:t>94.3</w:t>
            </w:r>
          </w:p>
        </w:tc>
        <w:tc>
          <w:tcPr>
            <w:tcW w:w="795" w:type="dxa"/>
          </w:tcPr>
          <w:p w14:paraId="78054A64" w14:textId="5FDF1B3D" w:rsidR="00646664" w:rsidRPr="004E50E7" w:rsidRDefault="006C21EB" w:rsidP="00EF0B39">
            <w:pPr>
              <w:rPr>
                <w:rFonts w:ascii="Calibri" w:hAnsi="Calibri"/>
                <w:sz w:val="20"/>
              </w:rPr>
            </w:pPr>
            <w:r>
              <w:rPr>
                <w:rFonts w:ascii="Calibri" w:hAnsi="Calibri"/>
                <w:sz w:val="20"/>
              </w:rPr>
              <w:t>8,634</w:t>
            </w:r>
          </w:p>
        </w:tc>
        <w:tc>
          <w:tcPr>
            <w:tcW w:w="1005" w:type="dxa"/>
          </w:tcPr>
          <w:p w14:paraId="7E03D037" w14:textId="0ECDF4FB" w:rsidR="00646664" w:rsidRPr="004E50E7" w:rsidRDefault="00414344" w:rsidP="008F2513">
            <w:pPr>
              <w:rPr>
                <w:rFonts w:ascii="Calibri" w:hAnsi="Calibri"/>
                <w:sz w:val="20"/>
              </w:rPr>
            </w:pPr>
            <w:r>
              <w:rPr>
                <w:rFonts w:ascii="Calibri" w:hAnsi="Calibri"/>
                <w:sz w:val="20"/>
              </w:rPr>
              <w:t>95.1</w:t>
            </w:r>
          </w:p>
        </w:tc>
        <w:tc>
          <w:tcPr>
            <w:tcW w:w="825" w:type="dxa"/>
          </w:tcPr>
          <w:p w14:paraId="7357D1C7" w14:textId="77777777" w:rsidR="00646664" w:rsidRPr="004E50E7" w:rsidRDefault="00BA501E" w:rsidP="008F2513">
            <w:pPr>
              <w:rPr>
                <w:rFonts w:ascii="Calibri" w:hAnsi="Calibri"/>
                <w:sz w:val="20"/>
              </w:rPr>
            </w:pPr>
            <w:r>
              <w:rPr>
                <w:rFonts w:ascii="Calibri" w:hAnsi="Calibri"/>
                <w:sz w:val="20"/>
              </w:rPr>
              <w:t>577</w:t>
            </w:r>
          </w:p>
        </w:tc>
        <w:tc>
          <w:tcPr>
            <w:tcW w:w="885" w:type="dxa"/>
          </w:tcPr>
          <w:p w14:paraId="0B17AC9E" w14:textId="77777777" w:rsidR="00646664" w:rsidRPr="004E50E7" w:rsidRDefault="00BA501E" w:rsidP="00646664">
            <w:pPr>
              <w:rPr>
                <w:rFonts w:ascii="Calibri" w:hAnsi="Calibri"/>
                <w:sz w:val="20"/>
              </w:rPr>
            </w:pPr>
            <w:r>
              <w:rPr>
                <w:rFonts w:ascii="Calibri" w:hAnsi="Calibri"/>
                <w:sz w:val="20"/>
              </w:rPr>
              <w:t>32.7</w:t>
            </w:r>
          </w:p>
        </w:tc>
        <w:tc>
          <w:tcPr>
            <w:tcW w:w="1005" w:type="dxa"/>
          </w:tcPr>
          <w:p w14:paraId="2645DD7A" w14:textId="079BF2D8" w:rsidR="00646664" w:rsidRPr="004E50E7" w:rsidRDefault="00414344" w:rsidP="008F2513">
            <w:pPr>
              <w:rPr>
                <w:rFonts w:ascii="Calibri" w:hAnsi="Calibri"/>
                <w:sz w:val="20"/>
              </w:rPr>
            </w:pPr>
            <w:r>
              <w:rPr>
                <w:rFonts w:ascii="Calibri" w:hAnsi="Calibri"/>
                <w:sz w:val="20"/>
              </w:rPr>
              <w:t>357</w:t>
            </w:r>
          </w:p>
        </w:tc>
        <w:tc>
          <w:tcPr>
            <w:tcW w:w="975" w:type="dxa"/>
          </w:tcPr>
          <w:p w14:paraId="614E4E03" w14:textId="0AC7B0E1" w:rsidR="00646664" w:rsidRPr="004E50E7" w:rsidRDefault="00414344" w:rsidP="008F2513">
            <w:pPr>
              <w:rPr>
                <w:rFonts w:ascii="Calibri" w:hAnsi="Calibri"/>
                <w:sz w:val="20"/>
              </w:rPr>
            </w:pPr>
            <w:r>
              <w:rPr>
                <w:rFonts w:ascii="Calibri" w:hAnsi="Calibri"/>
                <w:sz w:val="20"/>
              </w:rPr>
              <w:t>21.3</w:t>
            </w:r>
          </w:p>
        </w:tc>
      </w:tr>
      <w:tr w:rsidR="00646664" w:rsidRPr="004E50E7" w14:paraId="36E8DABB" w14:textId="77777777" w:rsidTr="00646664">
        <w:tc>
          <w:tcPr>
            <w:tcW w:w="1890" w:type="dxa"/>
          </w:tcPr>
          <w:p w14:paraId="511C0D99" w14:textId="77777777" w:rsidR="00646664" w:rsidRPr="004E50E7" w:rsidRDefault="00646664" w:rsidP="00646664">
            <w:pPr>
              <w:pStyle w:val="BodyTextIndent"/>
              <w:spacing w:after="0"/>
              <w:ind w:left="0" w:right="-720"/>
              <w:rPr>
                <w:rFonts w:ascii="Calibri" w:hAnsi="Calibri"/>
                <w:sz w:val="20"/>
              </w:rPr>
            </w:pPr>
            <w:r w:rsidRPr="004E50E7">
              <w:rPr>
                <w:rFonts w:ascii="Calibri" w:hAnsi="Calibri"/>
                <w:sz w:val="20"/>
              </w:rPr>
              <w:t>2</w:t>
            </w:r>
            <w:r>
              <w:rPr>
                <w:rFonts w:ascii="Calibri" w:hAnsi="Calibri"/>
                <w:sz w:val="20"/>
              </w:rPr>
              <w:t xml:space="preserve"> to 4</w:t>
            </w:r>
            <w:r w:rsidRPr="004E50E7">
              <w:rPr>
                <w:rFonts w:ascii="Calibri" w:hAnsi="Calibri"/>
                <w:sz w:val="20"/>
              </w:rPr>
              <w:t xml:space="preserve"> units</w:t>
            </w:r>
          </w:p>
        </w:tc>
        <w:tc>
          <w:tcPr>
            <w:tcW w:w="855" w:type="dxa"/>
          </w:tcPr>
          <w:p w14:paraId="3C427C86" w14:textId="77777777" w:rsidR="00646664" w:rsidRPr="004E50E7" w:rsidRDefault="00BA501E" w:rsidP="008F2513">
            <w:pPr>
              <w:rPr>
                <w:rFonts w:ascii="Calibri" w:hAnsi="Calibri"/>
                <w:sz w:val="20"/>
              </w:rPr>
            </w:pPr>
            <w:r>
              <w:rPr>
                <w:rFonts w:ascii="Calibri" w:hAnsi="Calibri"/>
                <w:sz w:val="20"/>
              </w:rPr>
              <w:t>160</w:t>
            </w:r>
          </w:p>
        </w:tc>
        <w:tc>
          <w:tcPr>
            <w:tcW w:w="855" w:type="dxa"/>
          </w:tcPr>
          <w:p w14:paraId="5DB007A1" w14:textId="77777777" w:rsidR="00646664" w:rsidRPr="004E50E7" w:rsidRDefault="00BA501E" w:rsidP="00646664">
            <w:pPr>
              <w:rPr>
                <w:rFonts w:ascii="Calibri" w:hAnsi="Calibri"/>
                <w:sz w:val="20"/>
              </w:rPr>
            </w:pPr>
            <w:r>
              <w:rPr>
                <w:rFonts w:ascii="Calibri" w:hAnsi="Calibri"/>
                <w:sz w:val="20"/>
              </w:rPr>
              <w:t>1.9</w:t>
            </w:r>
          </w:p>
        </w:tc>
        <w:tc>
          <w:tcPr>
            <w:tcW w:w="795" w:type="dxa"/>
          </w:tcPr>
          <w:p w14:paraId="45219B5B" w14:textId="303056D1" w:rsidR="00646664" w:rsidRPr="004E50E7" w:rsidRDefault="00414344" w:rsidP="00EF0B39">
            <w:pPr>
              <w:rPr>
                <w:rFonts w:ascii="Calibri" w:hAnsi="Calibri"/>
                <w:sz w:val="20"/>
              </w:rPr>
            </w:pPr>
            <w:r>
              <w:rPr>
                <w:rFonts w:ascii="Calibri" w:hAnsi="Calibri"/>
                <w:sz w:val="20"/>
              </w:rPr>
              <w:t>102</w:t>
            </w:r>
          </w:p>
        </w:tc>
        <w:tc>
          <w:tcPr>
            <w:tcW w:w="1005" w:type="dxa"/>
          </w:tcPr>
          <w:p w14:paraId="3551D32B" w14:textId="19D1A271" w:rsidR="00646664" w:rsidRPr="004E50E7" w:rsidRDefault="00414344" w:rsidP="008F2513">
            <w:pPr>
              <w:rPr>
                <w:rFonts w:ascii="Calibri" w:hAnsi="Calibri"/>
                <w:sz w:val="20"/>
              </w:rPr>
            </w:pPr>
            <w:r>
              <w:rPr>
                <w:rFonts w:ascii="Calibri" w:hAnsi="Calibri"/>
                <w:sz w:val="20"/>
              </w:rPr>
              <w:t>1.1</w:t>
            </w:r>
          </w:p>
        </w:tc>
        <w:tc>
          <w:tcPr>
            <w:tcW w:w="825" w:type="dxa"/>
          </w:tcPr>
          <w:p w14:paraId="1F1EDBAF" w14:textId="77777777" w:rsidR="00646664" w:rsidRPr="004E50E7" w:rsidRDefault="00BA501E" w:rsidP="008F2513">
            <w:pPr>
              <w:rPr>
                <w:rFonts w:ascii="Calibri" w:hAnsi="Calibri"/>
                <w:sz w:val="20"/>
              </w:rPr>
            </w:pPr>
            <w:r>
              <w:rPr>
                <w:rFonts w:ascii="Calibri" w:hAnsi="Calibri"/>
                <w:sz w:val="20"/>
              </w:rPr>
              <w:t>367</w:t>
            </w:r>
          </w:p>
        </w:tc>
        <w:tc>
          <w:tcPr>
            <w:tcW w:w="885" w:type="dxa"/>
          </w:tcPr>
          <w:p w14:paraId="7DDE91DA" w14:textId="77777777" w:rsidR="00646664" w:rsidRPr="004E50E7" w:rsidRDefault="00BA501E" w:rsidP="00646664">
            <w:pPr>
              <w:rPr>
                <w:rFonts w:ascii="Calibri" w:hAnsi="Calibri"/>
                <w:sz w:val="20"/>
              </w:rPr>
            </w:pPr>
            <w:r>
              <w:rPr>
                <w:rFonts w:ascii="Calibri" w:hAnsi="Calibri"/>
                <w:sz w:val="20"/>
              </w:rPr>
              <w:t>20.8</w:t>
            </w:r>
          </w:p>
        </w:tc>
        <w:tc>
          <w:tcPr>
            <w:tcW w:w="1005" w:type="dxa"/>
          </w:tcPr>
          <w:p w14:paraId="5E8E4AC2" w14:textId="451839B5" w:rsidR="00646664" w:rsidRPr="004E50E7" w:rsidRDefault="00414344" w:rsidP="008F2513">
            <w:pPr>
              <w:rPr>
                <w:rFonts w:ascii="Calibri" w:hAnsi="Calibri"/>
                <w:sz w:val="20"/>
              </w:rPr>
            </w:pPr>
            <w:r>
              <w:rPr>
                <w:rFonts w:ascii="Calibri" w:hAnsi="Calibri"/>
                <w:sz w:val="20"/>
              </w:rPr>
              <w:t>197</w:t>
            </w:r>
          </w:p>
        </w:tc>
        <w:tc>
          <w:tcPr>
            <w:tcW w:w="975" w:type="dxa"/>
          </w:tcPr>
          <w:p w14:paraId="13D6EA57" w14:textId="5C8902B9" w:rsidR="00646664" w:rsidRPr="004E50E7" w:rsidRDefault="00414344" w:rsidP="008F2513">
            <w:pPr>
              <w:rPr>
                <w:rFonts w:ascii="Calibri" w:hAnsi="Calibri"/>
                <w:sz w:val="20"/>
              </w:rPr>
            </w:pPr>
            <w:r>
              <w:rPr>
                <w:rFonts w:ascii="Calibri" w:hAnsi="Calibri"/>
                <w:sz w:val="20"/>
              </w:rPr>
              <w:t>11.8</w:t>
            </w:r>
          </w:p>
        </w:tc>
      </w:tr>
      <w:tr w:rsidR="00646664" w:rsidRPr="004E50E7" w14:paraId="47F5E4CA" w14:textId="77777777" w:rsidTr="00646664">
        <w:tc>
          <w:tcPr>
            <w:tcW w:w="1890" w:type="dxa"/>
          </w:tcPr>
          <w:p w14:paraId="1E1C0A95" w14:textId="77777777" w:rsidR="00646664" w:rsidRPr="004E50E7" w:rsidRDefault="00646664" w:rsidP="00646664">
            <w:pPr>
              <w:pStyle w:val="BodyTextIndent"/>
              <w:spacing w:after="0"/>
              <w:ind w:left="0" w:right="-720"/>
              <w:rPr>
                <w:rFonts w:ascii="Calibri" w:hAnsi="Calibri"/>
                <w:sz w:val="20"/>
              </w:rPr>
            </w:pPr>
            <w:r>
              <w:rPr>
                <w:rFonts w:ascii="Calibri" w:hAnsi="Calibri"/>
                <w:sz w:val="20"/>
              </w:rPr>
              <w:t>5 to 9 units</w:t>
            </w:r>
          </w:p>
        </w:tc>
        <w:tc>
          <w:tcPr>
            <w:tcW w:w="855" w:type="dxa"/>
          </w:tcPr>
          <w:p w14:paraId="34CEB705" w14:textId="77777777" w:rsidR="00646664" w:rsidRPr="004E50E7" w:rsidRDefault="00BA501E" w:rsidP="008F2513">
            <w:pPr>
              <w:rPr>
                <w:rFonts w:ascii="Calibri" w:hAnsi="Calibri"/>
                <w:sz w:val="20"/>
              </w:rPr>
            </w:pPr>
            <w:r>
              <w:rPr>
                <w:rFonts w:ascii="Calibri" w:hAnsi="Calibri"/>
                <w:sz w:val="20"/>
              </w:rPr>
              <w:t>0</w:t>
            </w:r>
          </w:p>
        </w:tc>
        <w:tc>
          <w:tcPr>
            <w:tcW w:w="855" w:type="dxa"/>
          </w:tcPr>
          <w:p w14:paraId="794FF9D4" w14:textId="77777777" w:rsidR="00646664" w:rsidRPr="004E50E7" w:rsidRDefault="00BA501E" w:rsidP="00646664">
            <w:pPr>
              <w:rPr>
                <w:rFonts w:ascii="Calibri" w:hAnsi="Calibri"/>
                <w:sz w:val="20"/>
              </w:rPr>
            </w:pPr>
            <w:r>
              <w:rPr>
                <w:rFonts w:ascii="Calibri" w:hAnsi="Calibri"/>
                <w:sz w:val="20"/>
              </w:rPr>
              <w:t>0.0</w:t>
            </w:r>
          </w:p>
        </w:tc>
        <w:tc>
          <w:tcPr>
            <w:tcW w:w="795" w:type="dxa"/>
          </w:tcPr>
          <w:p w14:paraId="0C303101" w14:textId="3868319C" w:rsidR="00646664" w:rsidRPr="004E50E7" w:rsidRDefault="00414344" w:rsidP="00EF0B39">
            <w:pPr>
              <w:rPr>
                <w:rFonts w:ascii="Calibri" w:hAnsi="Calibri"/>
                <w:sz w:val="20"/>
              </w:rPr>
            </w:pPr>
            <w:r>
              <w:rPr>
                <w:rFonts w:ascii="Calibri" w:hAnsi="Calibri"/>
                <w:sz w:val="20"/>
              </w:rPr>
              <w:t>48</w:t>
            </w:r>
          </w:p>
        </w:tc>
        <w:tc>
          <w:tcPr>
            <w:tcW w:w="1005" w:type="dxa"/>
          </w:tcPr>
          <w:p w14:paraId="2FD4B7ED" w14:textId="69A4C032" w:rsidR="00646664" w:rsidRPr="004E50E7" w:rsidRDefault="00414344" w:rsidP="008F2513">
            <w:pPr>
              <w:rPr>
                <w:rFonts w:ascii="Calibri" w:hAnsi="Calibri"/>
                <w:sz w:val="20"/>
              </w:rPr>
            </w:pPr>
            <w:r>
              <w:rPr>
                <w:rFonts w:ascii="Calibri" w:hAnsi="Calibri"/>
                <w:sz w:val="20"/>
              </w:rPr>
              <w:t>0.5</w:t>
            </w:r>
          </w:p>
        </w:tc>
        <w:tc>
          <w:tcPr>
            <w:tcW w:w="825" w:type="dxa"/>
          </w:tcPr>
          <w:p w14:paraId="0EA0BA4B" w14:textId="77777777" w:rsidR="00646664" w:rsidRPr="004E50E7" w:rsidRDefault="00BA501E" w:rsidP="008F2513">
            <w:pPr>
              <w:rPr>
                <w:rFonts w:ascii="Calibri" w:hAnsi="Calibri"/>
                <w:sz w:val="20"/>
              </w:rPr>
            </w:pPr>
            <w:r>
              <w:rPr>
                <w:rFonts w:ascii="Calibri" w:hAnsi="Calibri"/>
                <w:sz w:val="20"/>
              </w:rPr>
              <w:t>228</w:t>
            </w:r>
          </w:p>
        </w:tc>
        <w:tc>
          <w:tcPr>
            <w:tcW w:w="885" w:type="dxa"/>
          </w:tcPr>
          <w:p w14:paraId="471795C1" w14:textId="77777777" w:rsidR="00646664" w:rsidRPr="004E50E7" w:rsidRDefault="00BA501E" w:rsidP="00646664">
            <w:pPr>
              <w:rPr>
                <w:rFonts w:ascii="Calibri" w:hAnsi="Calibri"/>
                <w:sz w:val="20"/>
              </w:rPr>
            </w:pPr>
            <w:r>
              <w:rPr>
                <w:rFonts w:ascii="Calibri" w:hAnsi="Calibri"/>
                <w:sz w:val="20"/>
              </w:rPr>
              <w:t>12.9</w:t>
            </w:r>
          </w:p>
        </w:tc>
        <w:tc>
          <w:tcPr>
            <w:tcW w:w="1005" w:type="dxa"/>
          </w:tcPr>
          <w:p w14:paraId="6ED8E407" w14:textId="7D023BE9" w:rsidR="00646664" w:rsidRPr="004E50E7" w:rsidRDefault="00414344" w:rsidP="008F2513">
            <w:pPr>
              <w:rPr>
                <w:rFonts w:ascii="Calibri" w:hAnsi="Calibri"/>
                <w:sz w:val="20"/>
              </w:rPr>
            </w:pPr>
            <w:r>
              <w:rPr>
                <w:rFonts w:ascii="Calibri" w:hAnsi="Calibri"/>
                <w:sz w:val="20"/>
              </w:rPr>
              <w:t>234</w:t>
            </w:r>
          </w:p>
        </w:tc>
        <w:tc>
          <w:tcPr>
            <w:tcW w:w="975" w:type="dxa"/>
          </w:tcPr>
          <w:p w14:paraId="11B0D55C" w14:textId="348A82FE" w:rsidR="00646664" w:rsidRPr="004E50E7" w:rsidRDefault="00414344" w:rsidP="008F2513">
            <w:pPr>
              <w:rPr>
                <w:rFonts w:ascii="Calibri" w:hAnsi="Calibri"/>
                <w:sz w:val="20"/>
              </w:rPr>
            </w:pPr>
            <w:r>
              <w:rPr>
                <w:rFonts w:ascii="Calibri" w:hAnsi="Calibri"/>
                <w:sz w:val="20"/>
              </w:rPr>
              <w:t>14.0</w:t>
            </w:r>
          </w:p>
        </w:tc>
      </w:tr>
      <w:tr w:rsidR="00646664" w:rsidRPr="004E50E7" w14:paraId="10624B7B" w14:textId="77777777" w:rsidTr="00646664">
        <w:tc>
          <w:tcPr>
            <w:tcW w:w="1890" w:type="dxa"/>
          </w:tcPr>
          <w:p w14:paraId="3F570654" w14:textId="77777777" w:rsidR="00646664" w:rsidRPr="004E50E7" w:rsidRDefault="00646664" w:rsidP="008F2513">
            <w:pPr>
              <w:pStyle w:val="BodyTextIndent"/>
              <w:spacing w:after="0"/>
              <w:ind w:left="0" w:right="-720"/>
              <w:rPr>
                <w:rFonts w:ascii="Calibri" w:hAnsi="Calibri"/>
                <w:sz w:val="20"/>
              </w:rPr>
            </w:pPr>
            <w:r>
              <w:rPr>
                <w:rFonts w:ascii="Calibri" w:hAnsi="Calibri"/>
                <w:sz w:val="20"/>
              </w:rPr>
              <w:t>10 or more units</w:t>
            </w:r>
          </w:p>
        </w:tc>
        <w:tc>
          <w:tcPr>
            <w:tcW w:w="855" w:type="dxa"/>
          </w:tcPr>
          <w:p w14:paraId="089AA268" w14:textId="77777777" w:rsidR="00646664" w:rsidRPr="004E50E7" w:rsidRDefault="00BA501E" w:rsidP="008F2513">
            <w:pPr>
              <w:rPr>
                <w:rFonts w:ascii="Calibri" w:hAnsi="Calibri"/>
                <w:sz w:val="20"/>
              </w:rPr>
            </w:pPr>
            <w:r>
              <w:rPr>
                <w:rFonts w:ascii="Calibri" w:hAnsi="Calibri"/>
                <w:sz w:val="20"/>
              </w:rPr>
              <w:t>323</w:t>
            </w:r>
          </w:p>
        </w:tc>
        <w:tc>
          <w:tcPr>
            <w:tcW w:w="855" w:type="dxa"/>
          </w:tcPr>
          <w:p w14:paraId="2F5513C0" w14:textId="77777777" w:rsidR="00646664" w:rsidRPr="004E50E7" w:rsidRDefault="00BA501E" w:rsidP="00646664">
            <w:pPr>
              <w:rPr>
                <w:rFonts w:ascii="Calibri" w:hAnsi="Calibri"/>
                <w:sz w:val="20"/>
              </w:rPr>
            </w:pPr>
            <w:r>
              <w:rPr>
                <w:rFonts w:ascii="Calibri" w:hAnsi="Calibri"/>
                <w:sz w:val="20"/>
              </w:rPr>
              <w:t>3.8</w:t>
            </w:r>
          </w:p>
        </w:tc>
        <w:tc>
          <w:tcPr>
            <w:tcW w:w="795" w:type="dxa"/>
          </w:tcPr>
          <w:p w14:paraId="6DE3676B" w14:textId="3A2346E4" w:rsidR="00646664" w:rsidRPr="004E50E7" w:rsidRDefault="00414344" w:rsidP="00EF0B39">
            <w:pPr>
              <w:rPr>
                <w:rFonts w:ascii="Calibri" w:hAnsi="Calibri"/>
                <w:sz w:val="20"/>
              </w:rPr>
            </w:pPr>
            <w:r>
              <w:rPr>
                <w:rFonts w:ascii="Calibri" w:hAnsi="Calibri"/>
                <w:sz w:val="20"/>
              </w:rPr>
              <w:t>298</w:t>
            </w:r>
          </w:p>
        </w:tc>
        <w:tc>
          <w:tcPr>
            <w:tcW w:w="1005" w:type="dxa"/>
          </w:tcPr>
          <w:p w14:paraId="48035654" w14:textId="356E40C9" w:rsidR="00646664" w:rsidRPr="004E50E7" w:rsidRDefault="00FC1B8E" w:rsidP="008F2513">
            <w:pPr>
              <w:rPr>
                <w:rFonts w:ascii="Calibri" w:hAnsi="Calibri"/>
                <w:sz w:val="20"/>
              </w:rPr>
            </w:pPr>
            <w:r>
              <w:rPr>
                <w:rFonts w:ascii="Calibri" w:hAnsi="Calibri"/>
                <w:sz w:val="20"/>
              </w:rPr>
              <w:t>3.3</w:t>
            </w:r>
          </w:p>
        </w:tc>
        <w:tc>
          <w:tcPr>
            <w:tcW w:w="825" w:type="dxa"/>
          </w:tcPr>
          <w:p w14:paraId="4313A211" w14:textId="77777777" w:rsidR="00646664" w:rsidRPr="004E50E7" w:rsidRDefault="00BA501E" w:rsidP="008F2513">
            <w:pPr>
              <w:rPr>
                <w:rFonts w:ascii="Calibri" w:hAnsi="Calibri"/>
                <w:sz w:val="20"/>
              </w:rPr>
            </w:pPr>
            <w:r>
              <w:rPr>
                <w:rFonts w:ascii="Calibri" w:hAnsi="Calibri"/>
                <w:sz w:val="20"/>
              </w:rPr>
              <w:t>594</w:t>
            </w:r>
          </w:p>
        </w:tc>
        <w:tc>
          <w:tcPr>
            <w:tcW w:w="885" w:type="dxa"/>
          </w:tcPr>
          <w:p w14:paraId="633D3FF0" w14:textId="77777777" w:rsidR="00646664" w:rsidRPr="004E50E7" w:rsidRDefault="00BA501E" w:rsidP="008F2513">
            <w:pPr>
              <w:rPr>
                <w:rFonts w:ascii="Calibri" w:hAnsi="Calibri"/>
                <w:sz w:val="20"/>
              </w:rPr>
            </w:pPr>
            <w:r>
              <w:rPr>
                <w:rFonts w:ascii="Calibri" w:hAnsi="Calibri"/>
                <w:sz w:val="20"/>
              </w:rPr>
              <w:t>33.6</w:t>
            </w:r>
          </w:p>
        </w:tc>
        <w:tc>
          <w:tcPr>
            <w:tcW w:w="1005" w:type="dxa"/>
          </w:tcPr>
          <w:p w14:paraId="3FCACB41" w14:textId="140F3431" w:rsidR="00646664" w:rsidRPr="004E50E7" w:rsidRDefault="00414344" w:rsidP="008F2513">
            <w:pPr>
              <w:rPr>
                <w:rFonts w:ascii="Calibri" w:hAnsi="Calibri"/>
                <w:sz w:val="20"/>
              </w:rPr>
            </w:pPr>
            <w:r>
              <w:rPr>
                <w:rFonts w:ascii="Calibri" w:hAnsi="Calibri"/>
                <w:sz w:val="20"/>
              </w:rPr>
              <w:t>674</w:t>
            </w:r>
          </w:p>
        </w:tc>
        <w:tc>
          <w:tcPr>
            <w:tcW w:w="975" w:type="dxa"/>
          </w:tcPr>
          <w:p w14:paraId="61E45A1F" w14:textId="6631A40A" w:rsidR="00646664" w:rsidRPr="004E50E7" w:rsidRDefault="00414344" w:rsidP="008F2513">
            <w:pPr>
              <w:rPr>
                <w:rFonts w:ascii="Calibri" w:hAnsi="Calibri"/>
                <w:sz w:val="20"/>
              </w:rPr>
            </w:pPr>
            <w:r>
              <w:rPr>
                <w:rFonts w:ascii="Calibri" w:hAnsi="Calibri"/>
                <w:sz w:val="20"/>
              </w:rPr>
              <w:t>40.3</w:t>
            </w:r>
          </w:p>
        </w:tc>
      </w:tr>
      <w:tr w:rsidR="00646664" w:rsidRPr="004E50E7" w14:paraId="6D925E88" w14:textId="77777777" w:rsidTr="00646664">
        <w:trPr>
          <w:cantSplit/>
        </w:trPr>
        <w:tc>
          <w:tcPr>
            <w:tcW w:w="1890" w:type="dxa"/>
          </w:tcPr>
          <w:p w14:paraId="25F65699" w14:textId="77777777" w:rsidR="00646664" w:rsidRPr="004E50E7" w:rsidRDefault="00646664" w:rsidP="008F2513">
            <w:pPr>
              <w:pStyle w:val="BodyTextIndent"/>
              <w:spacing w:after="0"/>
              <w:ind w:left="0" w:right="-720"/>
              <w:rPr>
                <w:rFonts w:ascii="Calibri" w:hAnsi="Calibri"/>
                <w:sz w:val="20"/>
              </w:rPr>
            </w:pPr>
            <w:r w:rsidRPr="004E50E7">
              <w:rPr>
                <w:rFonts w:ascii="Calibri" w:hAnsi="Calibri"/>
                <w:sz w:val="20"/>
              </w:rPr>
              <w:t>Total</w:t>
            </w:r>
          </w:p>
        </w:tc>
        <w:tc>
          <w:tcPr>
            <w:tcW w:w="855" w:type="dxa"/>
          </w:tcPr>
          <w:p w14:paraId="7664E5CC" w14:textId="77777777" w:rsidR="00646664" w:rsidRPr="004E50E7" w:rsidRDefault="00BA501E" w:rsidP="008F2513">
            <w:pPr>
              <w:rPr>
                <w:rFonts w:ascii="Calibri" w:hAnsi="Calibri"/>
                <w:sz w:val="20"/>
              </w:rPr>
            </w:pPr>
            <w:r>
              <w:rPr>
                <w:rFonts w:ascii="Calibri" w:hAnsi="Calibri"/>
                <w:sz w:val="20"/>
              </w:rPr>
              <w:t>8,607</w:t>
            </w:r>
          </w:p>
        </w:tc>
        <w:tc>
          <w:tcPr>
            <w:tcW w:w="855" w:type="dxa"/>
          </w:tcPr>
          <w:p w14:paraId="17D0C87C" w14:textId="77777777" w:rsidR="00646664" w:rsidRPr="004E50E7" w:rsidRDefault="00BA501E" w:rsidP="00646664">
            <w:pPr>
              <w:rPr>
                <w:rFonts w:ascii="Calibri" w:hAnsi="Calibri"/>
                <w:sz w:val="20"/>
              </w:rPr>
            </w:pPr>
            <w:r>
              <w:rPr>
                <w:rFonts w:ascii="Calibri" w:hAnsi="Calibri"/>
                <w:sz w:val="20"/>
              </w:rPr>
              <w:t>100.0</w:t>
            </w:r>
          </w:p>
        </w:tc>
        <w:tc>
          <w:tcPr>
            <w:tcW w:w="795" w:type="dxa"/>
          </w:tcPr>
          <w:p w14:paraId="3FA7FCD0" w14:textId="35500FDB" w:rsidR="00646664" w:rsidRPr="004E50E7" w:rsidRDefault="006C21EB" w:rsidP="00EF0B39">
            <w:pPr>
              <w:rPr>
                <w:rFonts w:ascii="Calibri" w:hAnsi="Calibri"/>
                <w:sz w:val="20"/>
              </w:rPr>
            </w:pPr>
            <w:r>
              <w:rPr>
                <w:rFonts w:ascii="Calibri" w:hAnsi="Calibri"/>
                <w:sz w:val="20"/>
              </w:rPr>
              <w:t>9,0</w:t>
            </w:r>
            <w:r w:rsidR="00414344">
              <w:rPr>
                <w:rFonts w:ascii="Calibri" w:hAnsi="Calibri"/>
                <w:sz w:val="20"/>
              </w:rPr>
              <w:t>8</w:t>
            </w:r>
            <w:r>
              <w:rPr>
                <w:rFonts w:ascii="Calibri" w:hAnsi="Calibri"/>
                <w:sz w:val="20"/>
              </w:rPr>
              <w:t>2</w:t>
            </w:r>
            <w:r w:rsidR="00414344">
              <w:rPr>
                <w:rFonts w:ascii="Calibri" w:hAnsi="Calibri"/>
                <w:sz w:val="20"/>
              </w:rPr>
              <w:t>*</w:t>
            </w:r>
          </w:p>
        </w:tc>
        <w:tc>
          <w:tcPr>
            <w:tcW w:w="1005" w:type="dxa"/>
          </w:tcPr>
          <w:p w14:paraId="2A9A8125" w14:textId="05B44D8F" w:rsidR="00646664" w:rsidRPr="004E50E7" w:rsidRDefault="00FC1B8E" w:rsidP="008F2513">
            <w:pPr>
              <w:rPr>
                <w:rFonts w:ascii="Calibri" w:hAnsi="Calibri"/>
                <w:sz w:val="20"/>
              </w:rPr>
            </w:pPr>
            <w:r>
              <w:rPr>
                <w:rFonts w:ascii="Calibri" w:hAnsi="Calibri"/>
                <w:sz w:val="20"/>
              </w:rPr>
              <w:t>100.0</w:t>
            </w:r>
          </w:p>
        </w:tc>
        <w:tc>
          <w:tcPr>
            <w:tcW w:w="825" w:type="dxa"/>
          </w:tcPr>
          <w:p w14:paraId="04592A28" w14:textId="77777777" w:rsidR="00646664" w:rsidRPr="004E50E7" w:rsidRDefault="00BA501E" w:rsidP="008F2513">
            <w:pPr>
              <w:rPr>
                <w:rFonts w:ascii="Calibri" w:hAnsi="Calibri"/>
                <w:sz w:val="20"/>
              </w:rPr>
            </w:pPr>
            <w:r>
              <w:rPr>
                <w:rFonts w:ascii="Calibri" w:hAnsi="Calibri"/>
                <w:sz w:val="20"/>
              </w:rPr>
              <w:t>1,766</w:t>
            </w:r>
          </w:p>
        </w:tc>
        <w:tc>
          <w:tcPr>
            <w:tcW w:w="885" w:type="dxa"/>
          </w:tcPr>
          <w:p w14:paraId="6BB2FF78" w14:textId="77777777" w:rsidR="00646664" w:rsidRPr="004E50E7" w:rsidRDefault="00BA501E" w:rsidP="008F2513">
            <w:pPr>
              <w:rPr>
                <w:rFonts w:ascii="Calibri" w:hAnsi="Calibri"/>
                <w:sz w:val="20"/>
              </w:rPr>
            </w:pPr>
            <w:r>
              <w:rPr>
                <w:rFonts w:ascii="Calibri" w:hAnsi="Calibri"/>
                <w:sz w:val="20"/>
              </w:rPr>
              <w:t>100.0</w:t>
            </w:r>
          </w:p>
        </w:tc>
        <w:tc>
          <w:tcPr>
            <w:tcW w:w="1005" w:type="dxa"/>
          </w:tcPr>
          <w:p w14:paraId="4CFF8E9C" w14:textId="4A37824C" w:rsidR="00646664" w:rsidRPr="004E50E7" w:rsidRDefault="00414344" w:rsidP="008F2513">
            <w:pPr>
              <w:rPr>
                <w:rFonts w:ascii="Calibri" w:hAnsi="Calibri"/>
                <w:sz w:val="20"/>
              </w:rPr>
            </w:pPr>
            <w:r>
              <w:rPr>
                <w:rFonts w:ascii="Calibri" w:hAnsi="Calibri"/>
                <w:sz w:val="20"/>
              </w:rPr>
              <w:t>1,673</w:t>
            </w:r>
          </w:p>
        </w:tc>
        <w:tc>
          <w:tcPr>
            <w:tcW w:w="975" w:type="dxa"/>
          </w:tcPr>
          <w:p w14:paraId="030EE5CB" w14:textId="63AB4BDA" w:rsidR="00646664" w:rsidRPr="004E50E7" w:rsidRDefault="00414344" w:rsidP="008F2513">
            <w:pPr>
              <w:rPr>
                <w:rFonts w:ascii="Calibri" w:hAnsi="Calibri"/>
                <w:sz w:val="20"/>
              </w:rPr>
            </w:pPr>
            <w:r>
              <w:rPr>
                <w:rFonts w:ascii="Calibri" w:hAnsi="Calibri"/>
                <w:sz w:val="20"/>
              </w:rPr>
              <w:t>100,.0</w:t>
            </w:r>
          </w:p>
        </w:tc>
      </w:tr>
    </w:tbl>
    <w:p w14:paraId="234173AF" w14:textId="27D4A500" w:rsidR="008772FC" w:rsidRPr="004E50E7" w:rsidRDefault="008772FC" w:rsidP="003A7AB8">
      <w:pPr>
        <w:pStyle w:val="FootnoteText"/>
        <w:rPr>
          <w:rFonts w:ascii="Calibri" w:hAnsi="Calibri"/>
          <w:szCs w:val="24"/>
        </w:rPr>
      </w:pPr>
      <w:r w:rsidRPr="004E50E7">
        <w:rPr>
          <w:rFonts w:ascii="Calibri" w:hAnsi="Calibri"/>
        </w:rPr>
        <w:t xml:space="preserve">Source:  U.S. Census Bureau, </w:t>
      </w:r>
      <w:r w:rsidR="00646664">
        <w:rPr>
          <w:rFonts w:ascii="Calibri" w:hAnsi="Calibri"/>
        </w:rPr>
        <w:t xml:space="preserve">2006-2010 and </w:t>
      </w:r>
      <w:r w:rsidRPr="004E50E7">
        <w:rPr>
          <w:rFonts w:ascii="Calibri" w:hAnsi="Calibri"/>
          <w:szCs w:val="24"/>
        </w:rPr>
        <w:t>20</w:t>
      </w:r>
      <w:r>
        <w:rPr>
          <w:rFonts w:ascii="Calibri" w:hAnsi="Calibri"/>
          <w:szCs w:val="24"/>
        </w:rPr>
        <w:t>1</w:t>
      </w:r>
      <w:r w:rsidR="00762E33">
        <w:rPr>
          <w:rFonts w:ascii="Calibri" w:hAnsi="Calibri"/>
          <w:szCs w:val="24"/>
        </w:rPr>
        <w:t>6</w:t>
      </w:r>
      <w:r w:rsidRPr="004E50E7">
        <w:rPr>
          <w:rFonts w:ascii="Calibri" w:hAnsi="Calibri"/>
          <w:szCs w:val="24"/>
        </w:rPr>
        <w:t>-20</w:t>
      </w:r>
      <w:r w:rsidR="00762E33">
        <w:rPr>
          <w:rFonts w:ascii="Calibri" w:hAnsi="Calibri"/>
          <w:szCs w:val="24"/>
        </w:rPr>
        <w:t>20</w:t>
      </w:r>
      <w:r w:rsidRPr="004E50E7">
        <w:rPr>
          <w:rFonts w:ascii="Calibri" w:hAnsi="Calibri"/>
          <w:szCs w:val="24"/>
        </w:rPr>
        <w:t xml:space="preserve"> American Community Survey</w:t>
      </w:r>
      <w:r w:rsidR="00456374">
        <w:rPr>
          <w:rFonts w:ascii="Calibri" w:hAnsi="Calibri"/>
          <w:szCs w:val="24"/>
        </w:rPr>
        <w:t xml:space="preserve"> 5-Year Estimates.</w:t>
      </w:r>
    </w:p>
    <w:p w14:paraId="20FFB6C0" w14:textId="270B1234" w:rsidR="008772FC" w:rsidRDefault="00414344" w:rsidP="008772FC">
      <w:pPr>
        <w:pStyle w:val="BodyText"/>
        <w:spacing w:after="0"/>
        <w:rPr>
          <w:rFonts w:ascii="Calibri" w:hAnsi="Calibri"/>
          <w:sz w:val="22"/>
          <w:szCs w:val="22"/>
        </w:rPr>
      </w:pPr>
      <w:r>
        <w:rPr>
          <w:rFonts w:ascii="Calibri" w:hAnsi="Calibri"/>
          <w:sz w:val="22"/>
          <w:szCs w:val="22"/>
        </w:rPr>
        <w:t xml:space="preserve">* The 10 mobile homes that are counted by the </w:t>
      </w:r>
      <w:r w:rsidR="00CD202A">
        <w:rPr>
          <w:rFonts w:ascii="Calibri" w:hAnsi="Calibri"/>
          <w:sz w:val="22"/>
          <w:szCs w:val="22"/>
        </w:rPr>
        <w:t xml:space="preserve">2020 </w:t>
      </w:r>
      <w:r>
        <w:rPr>
          <w:rFonts w:ascii="Calibri" w:hAnsi="Calibri"/>
          <w:sz w:val="22"/>
          <w:szCs w:val="22"/>
        </w:rPr>
        <w:t>census</w:t>
      </w:r>
      <w:r w:rsidR="00CD202A">
        <w:rPr>
          <w:rFonts w:ascii="Calibri" w:hAnsi="Calibri"/>
          <w:sz w:val="22"/>
          <w:szCs w:val="22"/>
        </w:rPr>
        <w:t xml:space="preserve"> estimates</w:t>
      </w:r>
      <w:r>
        <w:rPr>
          <w:rFonts w:ascii="Calibri" w:hAnsi="Calibri"/>
          <w:sz w:val="22"/>
          <w:szCs w:val="22"/>
        </w:rPr>
        <w:t xml:space="preserve"> are not included in this analysis.</w:t>
      </w:r>
    </w:p>
    <w:p w14:paraId="430F6A73" w14:textId="25937C3F" w:rsidR="00414344" w:rsidRDefault="00414344" w:rsidP="008772FC">
      <w:pPr>
        <w:pStyle w:val="BodyText"/>
        <w:spacing w:after="0"/>
        <w:rPr>
          <w:rFonts w:ascii="Calibri" w:hAnsi="Calibri"/>
          <w:sz w:val="22"/>
          <w:szCs w:val="22"/>
        </w:rPr>
      </w:pPr>
    </w:p>
    <w:p w14:paraId="27C138D0" w14:textId="77777777" w:rsidR="00023CD7" w:rsidRPr="00023CD7" w:rsidRDefault="00023CD7" w:rsidP="00023CD7">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rPr>
      </w:pPr>
      <w:r w:rsidRPr="00023CD7">
        <w:rPr>
          <w:rFonts w:ascii="Calibri" w:hAnsi="Calibri"/>
        </w:rPr>
        <w:t>It also should be noted that the 2020 decennial census indicates that Needham had 776 people living in group quarters (including licensed group homes).  These individuals included 381 institutionalized residents, largely living in skilled nursing facilities, and 395 noninstitutionalized individuals, most living in student housing.  These units are not counted as part of the total number of housing units per census data.</w:t>
      </w:r>
    </w:p>
    <w:p w14:paraId="2612512F" w14:textId="665F352B" w:rsidR="00023CD7" w:rsidRPr="00F728B6" w:rsidRDefault="00023CD7" w:rsidP="008772FC">
      <w:pPr>
        <w:pStyle w:val="BodyText"/>
        <w:spacing w:after="0"/>
        <w:rPr>
          <w:rFonts w:ascii="Calibri" w:hAnsi="Calibri"/>
          <w:sz w:val="22"/>
          <w:szCs w:val="22"/>
        </w:rPr>
      </w:pPr>
    </w:p>
    <w:p w14:paraId="01B87856" w14:textId="15EED484" w:rsidR="00360E66" w:rsidRDefault="008772FC" w:rsidP="00456374">
      <w:pPr>
        <w:pStyle w:val="BodyText"/>
        <w:spacing w:after="0"/>
        <w:jc w:val="both"/>
        <w:rPr>
          <w:rFonts w:ascii="Calibri" w:hAnsi="Calibri"/>
          <w:sz w:val="22"/>
          <w:szCs w:val="22"/>
        </w:rPr>
      </w:pPr>
      <w:r w:rsidRPr="00F728B6">
        <w:rPr>
          <w:rFonts w:ascii="Calibri" w:hAnsi="Calibri"/>
          <w:sz w:val="22"/>
          <w:szCs w:val="22"/>
        </w:rPr>
        <w:t xml:space="preserve">Table </w:t>
      </w:r>
      <w:r w:rsidR="00687B76">
        <w:rPr>
          <w:rFonts w:ascii="Calibri" w:hAnsi="Calibri"/>
          <w:sz w:val="22"/>
          <w:szCs w:val="22"/>
        </w:rPr>
        <w:t>III-2</w:t>
      </w:r>
      <w:r w:rsidR="0028014C">
        <w:rPr>
          <w:rFonts w:ascii="Calibri" w:hAnsi="Calibri"/>
          <w:sz w:val="22"/>
          <w:szCs w:val="22"/>
        </w:rPr>
        <w:t>7</w:t>
      </w:r>
      <w:r w:rsidRPr="00F728B6">
        <w:rPr>
          <w:rFonts w:ascii="Calibri" w:hAnsi="Calibri"/>
          <w:sz w:val="22"/>
          <w:szCs w:val="22"/>
        </w:rPr>
        <w:t xml:space="preserve"> provides information on the distribution of unit sizes, more specifically the number of rooms per unit. This data indicates that the median sized unit in Needham was large with 7.</w:t>
      </w:r>
      <w:r w:rsidR="00A90103">
        <w:rPr>
          <w:rFonts w:ascii="Calibri" w:hAnsi="Calibri"/>
          <w:sz w:val="22"/>
          <w:szCs w:val="22"/>
        </w:rPr>
        <w:t>5</w:t>
      </w:r>
      <w:r w:rsidRPr="00F728B6">
        <w:rPr>
          <w:rFonts w:ascii="Calibri" w:hAnsi="Calibri"/>
          <w:sz w:val="22"/>
          <w:szCs w:val="22"/>
        </w:rPr>
        <w:t xml:space="preserve"> rooms</w:t>
      </w:r>
      <w:r w:rsidR="007E512D">
        <w:rPr>
          <w:rFonts w:ascii="Calibri" w:hAnsi="Calibri"/>
          <w:sz w:val="22"/>
          <w:szCs w:val="22"/>
        </w:rPr>
        <w:t xml:space="preserve"> based on 20</w:t>
      </w:r>
      <w:r w:rsidR="0000107D">
        <w:rPr>
          <w:rFonts w:ascii="Calibri" w:hAnsi="Calibri"/>
          <w:sz w:val="22"/>
          <w:szCs w:val="22"/>
        </w:rPr>
        <w:t>20</w:t>
      </w:r>
      <w:r w:rsidR="007E512D">
        <w:rPr>
          <w:rFonts w:ascii="Calibri" w:hAnsi="Calibri"/>
          <w:sz w:val="22"/>
          <w:szCs w:val="22"/>
        </w:rPr>
        <w:t xml:space="preserve"> census estimates</w:t>
      </w:r>
      <w:r w:rsidRPr="00F728B6">
        <w:rPr>
          <w:rFonts w:ascii="Calibri" w:hAnsi="Calibri"/>
          <w:sz w:val="22"/>
          <w:szCs w:val="22"/>
        </w:rPr>
        <w:t xml:space="preserve">, likely including four bedrooms, and higher than the county and state medians of </w:t>
      </w:r>
      <w:r w:rsidR="0000107D">
        <w:rPr>
          <w:rFonts w:ascii="Calibri" w:hAnsi="Calibri"/>
          <w:sz w:val="22"/>
          <w:szCs w:val="22"/>
        </w:rPr>
        <w:t>6.0</w:t>
      </w:r>
      <w:r w:rsidRPr="00F728B6">
        <w:rPr>
          <w:rFonts w:ascii="Calibri" w:hAnsi="Calibri"/>
          <w:sz w:val="22"/>
          <w:szCs w:val="22"/>
        </w:rPr>
        <w:t xml:space="preserve"> and 5.</w:t>
      </w:r>
      <w:r w:rsidR="00EB601D">
        <w:rPr>
          <w:rFonts w:ascii="Calibri" w:hAnsi="Calibri"/>
          <w:sz w:val="22"/>
          <w:szCs w:val="22"/>
        </w:rPr>
        <w:t>5</w:t>
      </w:r>
      <w:r w:rsidRPr="00F728B6">
        <w:rPr>
          <w:rFonts w:ascii="Calibri" w:hAnsi="Calibri"/>
          <w:sz w:val="22"/>
          <w:szCs w:val="22"/>
        </w:rPr>
        <w:t xml:space="preserve"> rooms, respectively.  In addition, those units </w:t>
      </w:r>
      <w:r w:rsidR="00B41D4E">
        <w:rPr>
          <w:rFonts w:ascii="Calibri" w:hAnsi="Calibri"/>
          <w:sz w:val="22"/>
          <w:szCs w:val="22"/>
        </w:rPr>
        <w:t xml:space="preserve">that might be </w:t>
      </w:r>
      <w:r w:rsidRPr="00F728B6">
        <w:rPr>
          <w:rFonts w:ascii="Calibri" w:hAnsi="Calibri"/>
          <w:sz w:val="22"/>
          <w:szCs w:val="22"/>
        </w:rPr>
        <w:t>mo</w:t>
      </w:r>
      <w:r w:rsidR="00B41D4E">
        <w:rPr>
          <w:rFonts w:ascii="Calibri" w:hAnsi="Calibri"/>
          <w:sz w:val="22"/>
          <w:szCs w:val="22"/>
        </w:rPr>
        <w:t>re</w:t>
      </w:r>
      <w:r w:rsidRPr="00F728B6">
        <w:rPr>
          <w:rFonts w:ascii="Calibri" w:hAnsi="Calibri"/>
          <w:sz w:val="22"/>
          <w:szCs w:val="22"/>
        </w:rPr>
        <w:t xml:space="preserve"> appropriate for single persons, with </w:t>
      </w:r>
      <w:r w:rsidR="00B41D4E">
        <w:rPr>
          <w:rFonts w:ascii="Calibri" w:hAnsi="Calibri"/>
          <w:sz w:val="22"/>
          <w:szCs w:val="22"/>
        </w:rPr>
        <w:t>five</w:t>
      </w:r>
      <w:r w:rsidRPr="00F728B6">
        <w:rPr>
          <w:rFonts w:ascii="Calibri" w:hAnsi="Calibri"/>
          <w:sz w:val="22"/>
          <w:szCs w:val="22"/>
        </w:rPr>
        <w:t xml:space="preserve"> or fewer rooms</w:t>
      </w:r>
      <w:r w:rsidR="00A90103">
        <w:rPr>
          <w:rFonts w:ascii="Calibri" w:hAnsi="Calibri"/>
          <w:sz w:val="22"/>
          <w:szCs w:val="22"/>
        </w:rPr>
        <w:t>,</w:t>
      </w:r>
      <w:r w:rsidRPr="00F728B6">
        <w:rPr>
          <w:rFonts w:ascii="Calibri" w:hAnsi="Calibri"/>
          <w:sz w:val="22"/>
          <w:szCs w:val="22"/>
        </w:rPr>
        <w:t xml:space="preserve"> involved only </w:t>
      </w:r>
      <w:r w:rsidR="00E23396">
        <w:rPr>
          <w:rFonts w:ascii="Calibri" w:hAnsi="Calibri"/>
          <w:sz w:val="22"/>
          <w:szCs w:val="22"/>
        </w:rPr>
        <w:t>21.5</w:t>
      </w:r>
      <w:r w:rsidRPr="00F728B6">
        <w:rPr>
          <w:rFonts w:ascii="Calibri" w:hAnsi="Calibri"/>
          <w:sz w:val="22"/>
          <w:szCs w:val="22"/>
        </w:rPr>
        <w:t>% of all units in Needham</w:t>
      </w:r>
      <w:r w:rsidR="00360E66">
        <w:rPr>
          <w:rFonts w:ascii="Calibri" w:hAnsi="Calibri"/>
          <w:sz w:val="22"/>
          <w:szCs w:val="22"/>
        </w:rPr>
        <w:t xml:space="preserve">, down from </w:t>
      </w:r>
      <w:r w:rsidR="0002570E">
        <w:rPr>
          <w:rFonts w:ascii="Calibri" w:hAnsi="Calibri"/>
          <w:sz w:val="22"/>
          <w:szCs w:val="22"/>
        </w:rPr>
        <w:t>23.0</w:t>
      </w:r>
      <w:r w:rsidR="00360E66">
        <w:rPr>
          <w:rFonts w:ascii="Calibri" w:hAnsi="Calibri"/>
          <w:sz w:val="22"/>
          <w:szCs w:val="22"/>
        </w:rPr>
        <w:t>% in 2010 and</w:t>
      </w:r>
      <w:r w:rsidR="00C51928">
        <w:rPr>
          <w:rFonts w:ascii="Calibri" w:hAnsi="Calibri"/>
          <w:sz w:val="22"/>
          <w:szCs w:val="22"/>
        </w:rPr>
        <w:t xml:space="preserve"> much</w:t>
      </w:r>
      <w:r w:rsidR="00360E66">
        <w:rPr>
          <w:rFonts w:ascii="Calibri" w:hAnsi="Calibri"/>
          <w:sz w:val="22"/>
          <w:szCs w:val="22"/>
        </w:rPr>
        <w:t xml:space="preserve"> lower in comparison</w:t>
      </w:r>
      <w:r w:rsidRPr="00F728B6">
        <w:rPr>
          <w:rFonts w:ascii="Calibri" w:hAnsi="Calibri"/>
          <w:sz w:val="22"/>
          <w:szCs w:val="22"/>
        </w:rPr>
        <w:t xml:space="preserve"> to </w:t>
      </w:r>
      <w:r w:rsidR="00E23396">
        <w:rPr>
          <w:rFonts w:ascii="Calibri" w:hAnsi="Calibri"/>
          <w:sz w:val="22"/>
          <w:szCs w:val="22"/>
        </w:rPr>
        <w:t>42.7</w:t>
      </w:r>
      <w:r w:rsidRPr="00F728B6">
        <w:rPr>
          <w:rFonts w:ascii="Calibri" w:hAnsi="Calibri"/>
          <w:sz w:val="22"/>
          <w:szCs w:val="22"/>
        </w:rPr>
        <w:t xml:space="preserve">% and </w:t>
      </w:r>
      <w:r w:rsidR="0002570E">
        <w:rPr>
          <w:rFonts w:ascii="Calibri" w:hAnsi="Calibri"/>
          <w:sz w:val="22"/>
          <w:szCs w:val="22"/>
        </w:rPr>
        <w:t>49.</w:t>
      </w:r>
      <w:r w:rsidR="00E23396">
        <w:rPr>
          <w:rFonts w:ascii="Calibri" w:hAnsi="Calibri"/>
          <w:sz w:val="22"/>
          <w:szCs w:val="22"/>
        </w:rPr>
        <w:t>4</w:t>
      </w:r>
      <w:r w:rsidRPr="00F728B6">
        <w:rPr>
          <w:rFonts w:ascii="Calibri" w:hAnsi="Calibri"/>
          <w:sz w:val="22"/>
          <w:szCs w:val="22"/>
        </w:rPr>
        <w:t xml:space="preserve">% for the county and state, respectively.  </w:t>
      </w:r>
    </w:p>
    <w:p w14:paraId="1935573F" w14:textId="2E60D192" w:rsidR="00B41D4E" w:rsidRDefault="00B41D4E" w:rsidP="00456374">
      <w:pPr>
        <w:pStyle w:val="BodyText"/>
        <w:spacing w:after="0"/>
        <w:jc w:val="both"/>
        <w:rPr>
          <w:rFonts w:ascii="Calibri" w:hAnsi="Calibri"/>
          <w:sz w:val="22"/>
          <w:szCs w:val="22"/>
        </w:rPr>
      </w:pPr>
    </w:p>
    <w:p w14:paraId="2926D678" w14:textId="12ED86AF" w:rsidR="00C51928" w:rsidRPr="00A90103" w:rsidRDefault="00B41D4E" w:rsidP="00C51928">
      <w:pPr>
        <w:pStyle w:val="BodyText"/>
        <w:spacing w:after="0"/>
        <w:jc w:val="both"/>
        <w:rPr>
          <w:rFonts w:ascii="Calibri" w:hAnsi="Calibri"/>
          <w:iCs/>
          <w:sz w:val="22"/>
          <w:szCs w:val="22"/>
        </w:rPr>
      </w:pPr>
      <w:r w:rsidRPr="00F728B6">
        <w:rPr>
          <w:rFonts w:ascii="Calibri" w:hAnsi="Calibri"/>
          <w:i/>
          <w:iCs/>
          <w:sz w:val="22"/>
          <w:szCs w:val="22"/>
        </w:rPr>
        <w:t xml:space="preserve">Given that </w:t>
      </w:r>
      <w:r w:rsidR="00E23396">
        <w:rPr>
          <w:rFonts w:ascii="Calibri" w:hAnsi="Calibri"/>
          <w:i/>
          <w:iCs/>
          <w:sz w:val="22"/>
          <w:szCs w:val="22"/>
        </w:rPr>
        <w:t>about</w:t>
      </w:r>
      <w:r w:rsidRPr="00F728B6">
        <w:rPr>
          <w:rFonts w:ascii="Calibri" w:hAnsi="Calibri"/>
          <w:i/>
          <w:iCs/>
          <w:sz w:val="22"/>
          <w:szCs w:val="22"/>
        </w:rPr>
        <w:t xml:space="preserve"> half (</w:t>
      </w:r>
      <w:r w:rsidR="00E23396">
        <w:rPr>
          <w:rFonts w:ascii="Calibri" w:hAnsi="Calibri"/>
          <w:i/>
          <w:iCs/>
          <w:sz w:val="22"/>
          <w:szCs w:val="22"/>
        </w:rPr>
        <w:t>49.4</w:t>
      </w:r>
      <w:r w:rsidRPr="00F728B6">
        <w:rPr>
          <w:rFonts w:ascii="Calibri" w:hAnsi="Calibri"/>
          <w:i/>
          <w:iCs/>
          <w:sz w:val="22"/>
          <w:szCs w:val="22"/>
        </w:rPr>
        <w:t xml:space="preserve">%) of all households included single individuals or two-persons, a portion of households in Needham are living in housing that is much larger than what they </w:t>
      </w:r>
      <w:r w:rsidR="002E2F60">
        <w:rPr>
          <w:rFonts w:ascii="Calibri" w:hAnsi="Calibri"/>
          <w:i/>
          <w:iCs/>
          <w:sz w:val="22"/>
          <w:szCs w:val="22"/>
        </w:rPr>
        <w:t xml:space="preserve">may </w:t>
      </w:r>
      <w:r w:rsidRPr="00F728B6">
        <w:rPr>
          <w:rFonts w:ascii="Calibri" w:hAnsi="Calibri"/>
          <w:i/>
          <w:iCs/>
          <w:sz w:val="22"/>
          <w:szCs w:val="22"/>
        </w:rPr>
        <w:t>need</w:t>
      </w:r>
      <w:r w:rsidR="00C51928">
        <w:rPr>
          <w:rFonts w:ascii="Calibri" w:hAnsi="Calibri"/>
          <w:i/>
          <w:iCs/>
          <w:sz w:val="22"/>
          <w:szCs w:val="22"/>
        </w:rPr>
        <w:t>;</w:t>
      </w:r>
      <w:r w:rsidRPr="00F728B6">
        <w:rPr>
          <w:rFonts w:ascii="Calibri" w:hAnsi="Calibri"/>
          <w:i/>
          <w:iCs/>
          <w:sz w:val="22"/>
          <w:szCs w:val="22"/>
        </w:rPr>
        <w:t xml:space="preserve"> in essence they </w:t>
      </w:r>
      <w:r>
        <w:rPr>
          <w:rFonts w:ascii="Calibri" w:hAnsi="Calibri"/>
          <w:i/>
          <w:iCs/>
          <w:sz w:val="22"/>
          <w:szCs w:val="22"/>
        </w:rPr>
        <w:t>could be considered</w:t>
      </w:r>
      <w:r w:rsidRPr="00F728B6">
        <w:rPr>
          <w:rFonts w:ascii="Calibri" w:hAnsi="Calibri"/>
          <w:i/>
          <w:iCs/>
          <w:sz w:val="22"/>
          <w:szCs w:val="22"/>
        </w:rPr>
        <w:t xml:space="preserve"> “over</w:t>
      </w:r>
      <w:r>
        <w:rPr>
          <w:rFonts w:ascii="Calibri" w:hAnsi="Calibri"/>
          <w:i/>
          <w:iCs/>
          <w:sz w:val="22"/>
          <w:szCs w:val="22"/>
        </w:rPr>
        <w:t>-</w:t>
      </w:r>
      <w:r w:rsidRPr="00F728B6">
        <w:rPr>
          <w:rFonts w:ascii="Calibri" w:hAnsi="Calibri"/>
          <w:i/>
          <w:iCs/>
          <w:sz w:val="22"/>
          <w:szCs w:val="22"/>
        </w:rPr>
        <w:t xml:space="preserve">housed”. </w:t>
      </w:r>
      <w:r>
        <w:rPr>
          <w:rFonts w:ascii="Calibri" w:hAnsi="Calibri"/>
          <w:iCs/>
          <w:sz w:val="22"/>
          <w:szCs w:val="22"/>
        </w:rPr>
        <w:t xml:space="preserve">Some residents may even want to downsize but find it challenging to find appropriate alternative housing that better meets their current lifestyles and </w:t>
      </w:r>
      <w:r w:rsidR="001825F7">
        <w:rPr>
          <w:rFonts w:ascii="Calibri" w:hAnsi="Calibri"/>
          <w:iCs/>
          <w:sz w:val="22"/>
          <w:szCs w:val="22"/>
        </w:rPr>
        <w:t>ability to pay</w:t>
      </w:r>
      <w:r>
        <w:rPr>
          <w:rFonts w:ascii="Calibri" w:hAnsi="Calibri"/>
          <w:iCs/>
          <w:sz w:val="22"/>
          <w:szCs w:val="22"/>
        </w:rPr>
        <w:t>. The new multi-family</w:t>
      </w:r>
      <w:r w:rsidR="0052605B">
        <w:rPr>
          <w:rFonts w:ascii="Calibri" w:hAnsi="Calibri"/>
          <w:iCs/>
          <w:sz w:val="22"/>
          <w:szCs w:val="22"/>
        </w:rPr>
        <w:t xml:space="preserve"> housing</w:t>
      </w:r>
      <w:r>
        <w:rPr>
          <w:rFonts w:ascii="Calibri" w:hAnsi="Calibri"/>
          <w:iCs/>
          <w:sz w:val="22"/>
          <w:szCs w:val="22"/>
        </w:rPr>
        <w:t xml:space="preserve"> development</w:t>
      </w:r>
      <w:r w:rsidR="0052605B">
        <w:rPr>
          <w:rFonts w:ascii="Calibri" w:hAnsi="Calibri"/>
          <w:iCs/>
          <w:sz w:val="22"/>
          <w:szCs w:val="22"/>
        </w:rPr>
        <w:t>s</w:t>
      </w:r>
      <w:r>
        <w:rPr>
          <w:rFonts w:ascii="Calibri" w:hAnsi="Calibri"/>
          <w:iCs/>
          <w:sz w:val="22"/>
          <w:szCs w:val="22"/>
        </w:rPr>
        <w:t xml:space="preserve"> </w:t>
      </w:r>
      <w:r w:rsidR="0002570E">
        <w:rPr>
          <w:rFonts w:ascii="Calibri" w:hAnsi="Calibri"/>
          <w:iCs/>
          <w:sz w:val="22"/>
          <w:szCs w:val="22"/>
        </w:rPr>
        <w:t>ha</w:t>
      </w:r>
      <w:r w:rsidR="0052605B">
        <w:rPr>
          <w:rFonts w:ascii="Calibri" w:hAnsi="Calibri"/>
          <w:iCs/>
          <w:sz w:val="22"/>
          <w:szCs w:val="22"/>
        </w:rPr>
        <w:t>ve</w:t>
      </w:r>
      <w:r w:rsidR="0002570E">
        <w:rPr>
          <w:rFonts w:ascii="Calibri" w:hAnsi="Calibri"/>
          <w:iCs/>
          <w:sz w:val="22"/>
          <w:szCs w:val="22"/>
        </w:rPr>
        <w:t xml:space="preserve"> provided</w:t>
      </w:r>
      <w:r>
        <w:rPr>
          <w:rFonts w:ascii="Calibri" w:hAnsi="Calibri"/>
          <w:iCs/>
          <w:sz w:val="22"/>
          <w:szCs w:val="22"/>
        </w:rPr>
        <w:t xml:space="preserve"> some opportunities for downsizing</w:t>
      </w:r>
      <w:r w:rsidR="0002570E">
        <w:rPr>
          <w:rFonts w:ascii="Calibri" w:hAnsi="Calibri"/>
          <w:iCs/>
          <w:sz w:val="22"/>
          <w:szCs w:val="22"/>
        </w:rPr>
        <w:t>,</w:t>
      </w:r>
      <w:r>
        <w:rPr>
          <w:rFonts w:ascii="Calibri" w:hAnsi="Calibri"/>
          <w:iCs/>
          <w:sz w:val="22"/>
          <w:szCs w:val="22"/>
        </w:rPr>
        <w:t xml:space="preserve"> however</w:t>
      </w:r>
      <w:r w:rsidR="0002570E">
        <w:rPr>
          <w:rFonts w:ascii="Calibri" w:hAnsi="Calibri"/>
          <w:iCs/>
          <w:sz w:val="22"/>
          <w:szCs w:val="22"/>
        </w:rPr>
        <w:t>, most long-term homeowners would be unlikely to qualify for the affordable units given financial assets, including accrued equity, and market prices require incomes well over $</w:t>
      </w:r>
      <w:r w:rsidR="002132B6">
        <w:rPr>
          <w:rFonts w:ascii="Calibri" w:hAnsi="Calibri"/>
          <w:iCs/>
          <w:sz w:val="22"/>
          <w:szCs w:val="22"/>
        </w:rPr>
        <w:t>100,000</w:t>
      </w:r>
      <w:r>
        <w:rPr>
          <w:rFonts w:ascii="Calibri" w:hAnsi="Calibri"/>
          <w:iCs/>
          <w:sz w:val="22"/>
          <w:szCs w:val="22"/>
        </w:rPr>
        <w:t>.</w:t>
      </w:r>
      <w:r w:rsidR="00C51928" w:rsidRPr="00C51928">
        <w:rPr>
          <w:rFonts w:ascii="Calibri" w:hAnsi="Calibri"/>
          <w:iCs/>
          <w:sz w:val="22"/>
          <w:szCs w:val="22"/>
        </w:rPr>
        <w:t xml:space="preserve"> </w:t>
      </w:r>
      <w:r w:rsidR="00C51928">
        <w:rPr>
          <w:rFonts w:ascii="Calibri" w:hAnsi="Calibri"/>
          <w:iCs/>
          <w:sz w:val="22"/>
          <w:szCs w:val="22"/>
        </w:rPr>
        <w:t>The lack of new condominium developments means that those who wish, for the sake of financial security, to reinvest a portion of the proceeds of sale of their single-family homes in a condominium unit that meets their needs, cannot find such housing in Needham.</w:t>
      </w:r>
    </w:p>
    <w:p w14:paraId="5354A508" w14:textId="77777777" w:rsidR="00B41D4E" w:rsidRDefault="00B41D4E" w:rsidP="00456374">
      <w:pPr>
        <w:pStyle w:val="BodyText"/>
        <w:spacing w:after="0"/>
        <w:jc w:val="both"/>
        <w:rPr>
          <w:rFonts w:ascii="Calibri" w:hAnsi="Calibri"/>
          <w:sz w:val="22"/>
          <w:szCs w:val="22"/>
        </w:rPr>
      </w:pPr>
    </w:p>
    <w:p w14:paraId="433DA8AA" w14:textId="79A2F507" w:rsidR="002132B6" w:rsidRPr="00F728B6" w:rsidRDefault="00360E66" w:rsidP="002132B6">
      <w:pPr>
        <w:pStyle w:val="BodyText"/>
        <w:spacing w:after="0"/>
        <w:jc w:val="both"/>
        <w:rPr>
          <w:rFonts w:ascii="Calibri" w:hAnsi="Calibri"/>
          <w:sz w:val="22"/>
          <w:szCs w:val="22"/>
        </w:rPr>
      </w:pPr>
      <w:r>
        <w:rPr>
          <w:rFonts w:ascii="Calibri" w:hAnsi="Calibri"/>
          <w:sz w:val="22"/>
          <w:szCs w:val="22"/>
        </w:rPr>
        <w:t>Table III-2</w:t>
      </w:r>
      <w:r w:rsidR="0028014C">
        <w:rPr>
          <w:rFonts w:ascii="Calibri" w:hAnsi="Calibri"/>
          <w:sz w:val="22"/>
          <w:szCs w:val="22"/>
        </w:rPr>
        <w:t>7</w:t>
      </w:r>
      <w:r>
        <w:rPr>
          <w:rFonts w:ascii="Calibri" w:hAnsi="Calibri"/>
          <w:sz w:val="22"/>
          <w:szCs w:val="22"/>
        </w:rPr>
        <w:t xml:space="preserve"> also shows that Needham’s housing stock includes </w:t>
      </w:r>
      <w:r w:rsidR="007776CD">
        <w:rPr>
          <w:rFonts w:ascii="Calibri" w:hAnsi="Calibri"/>
          <w:sz w:val="22"/>
          <w:szCs w:val="22"/>
        </w:rPr>
        <w:t xml:space="preserve">a </w:t>
      </w:r>
      <w:r w:rsidR="002132B6">
        <w:rPr>
          <w:rFonts w:ascii="Calibri" w:hAnsi="Calibri"/>
          <w:sz w:val="22"/>
          <w:szCs w:val="22"/>
        </w:rPr>
        <w:t xml:space="preserve">growing </w:t>
      </w:r>
      <w:r w:rsidR="007776CD">
        <w:rPr>
          <w:rFonts w:ascii="Calibri" w:hAnsi="Calibri"/>
          <w:sz w:val="22"/>
          <w:szCs w:val="22"/>
        </w:rPr>
        <w:t>segment of large homes.  With the exception of units with one</w:t>
      </w:r>
      <w:r w:rsidR="00E23396">
        <w:rPr>
          <w:rFonts w:ascii="Calibri" w:hAnsi="Calibri"/>
          <w:sz w:val="22"/>
          <w:szCs w:val="22"/>
        </w:rPr>
        <w:t>,</w:t>
      </w:r>
      <w:r w:rsidR="007776CD">
        <w:rPr>
          <w:rFonts w:ascii="Calibri" w:hAnsi="Calibri"/>
          <w:sz w:val="22"/>
          <w:szCs w:val="22"/>
        </w:rPr>
        <w:t xml:space="preserve"> two</w:t>
      </w:r>
      <w:r w:rsidR="00E23396">
        <w:rPr>
          <w:rFonts w:ascii="Calibri" w:hAnsi="Calibri"/>
          <w:sz w:val="22"/>
          <w:szCs w:val="22"/>
        </w:rPr>
        <w:t xml:space="preserve"> and five</w:t>
      </w:r>
      <w:r w:rsidR="007776CD">
        <w:rPr>
          <w:rFonts w:ascii="Calibri" w:hAnsi="Calibri"/>
          <w:sz w:val="22"/>
          <w:szCs w:val="22"/>
        </w:rPr>
        <w:t xml:space="preserve"> rooms</w:t>
      </w:r>
      <w:r w:rsidR="00E23396">
        <w:rPr>
          <w:rFonts w:ascii="Calibri" w:hAnsi="Calibri"/>
          <w:sz w:val="22"/>
          <w:szCs w:val="22"/>
        </w:rPr>
        <w:t>;</w:t>
      </w:r>
      <w:r w:rsidR="007776CD">
        <w:rPr>
          <w:rFonts w:ascii="Calibri" w:hAnsi="Calibri"/>
          <w:sz w:val="22"/>
          <w:szCs w:val="22"/>
        </w:rPr>
        <w:t xml:space="preserve"> the percentages of all units with less than nine </w:t>
      </w:r>
      <w:r w:rsidR="005B4112">
        <w:rPr>
          <w:rFonts w:ascii="Calibri" w:hAnsi="Calibri"/>
          <w:sz w:val="22"/>
          <w:szCs w:val="22"/>
        </w:rPr>
        <w:t>rooms</w:t>
      </w:r>
      <w:r w:rsidR="007776CD">
        <w:rPr>
          <w:rFonts w:ascii="Calibri" w:hAnsi="Calibri"/>
          <w:sz w:val="22"/>
          <w:szCs w:val="22"/>
        </w:rPr>
        <w:t xml:space="preserve"> decreased between 2010 and 20</w:t>
      </w:r>
      <w:r w:rsidR="00E23396">
        <w:rPr>
          <w:rFonts w:ascii="Calibri" w:hAnsi="Calibri"/>
          <w:sz w:val="22"/>
          <w:szCs w:val="22"/>
        </w:rPr>
        <w:t>20</w:t>
      </w:r>
      <w:r w:rsidR="005B4112">
        <w:rPr>
          <w:rFonts w:ascii="Calibri" w:hAnsi="Calibri"/>
          <w:sz w:val="22"/>
          <w:szCs w:val="22"/>
        </w:rPr>
        <w:t xml:space="preserve"> </w:t>
      </w:r>
      <w:r w:rsidR="007776CD">
        <w:rPr>
          <w:rFonts w:ascii="Calibri" w:hAnsi="Calibri"/>
          <w:sz w:val="22"/>
          <w:szCs w:val="22"/>
        </w:rPr>
        <w:t>while those units with nine units or more</w:t>
      </w:r>
      <w:r>
        <w:rPr>
          <w:rFonts w:ascii="Calibri" w:hAnsi="Calibri"/>
          <w:sz w:val="22"/>
          <w:szCs w:val="22"/>
        </w:rPr>
        <w:t xml:space="preserve"> </w:t>
      </w:r>
      <w:r w:rsidR="007776CD">
        <w:rPr>
          <w:rFonts w:ascii="Calibri" w:hAnsi="Calibri"/>
          <w:sz w:val="22"/>
          <w:szCs w:val="22"/>
        </w:rPr>
        <w:t>increased by 1,</w:t>
      </w:r>
      <w:r w:rsidR="006D7154">
        <w:rPr>
          <w:rFonts w:ascii="Calibri" w:hAnsi="Calibri"/>
          <w:sz w:val="22"/>
          <w:szCs w:val="22"/>
        </w:rPr>
        <w:t>195</w:t>
      </w:r>
      <w:r w:rsidR="007776CD">
        <w:rPr>
          <w:rFonts w:ascii="Calibri" w:hAnsi="Calibri"/>
          <w:sz w:val="22"/>
          <w:szCs w:val="22"/>
        </w:rPr>
        <w:t xml:space="preserve"> units, going from 26.3% to </w:t>
      </w:r>
      <w:r w:rsidR="006D7154">
        <w:rPr>
          <w:rFonts w:ascii="Calibri" w:hAnsi="Calibri"/>
          <w:sz w:val="22"/>
          <w:szCs w:val="22"/>
        </w:rPr>
        <w:t>35.9</w:t>
      </w:r>
      <w:r w:rsidR="007776CD">
        <w:rPr>
          <w:rFonts w:ascii="Calibri" w:hAnsi="Calibri"/>
          <w:sz w:val="22"/>
          <w:szCs w:val="22"/>
        </w:rPr>
        <w:t xml:space="preserve">% of all units.   </w:t>
      </w:r>
      <w:r w:rsidR="002132B6" w:rsidRPr="00F728B6">
        <w:rPr>
          <w:rFonts w:ascii="Calibri" w:hAnsi="Calibri"/>
          <w:sz w:val="22"/>
          <w:szCs w:val="22"/>
        </w:rPr>
        <w:t xml:space="preserve">Those units with seven or more rooms involved </w:t>
      </w:r>
      <w:r w:rsidR="006D7154">
        <w:rPr>
          <w:rFonts w:ascii="Calibri" w:hAnsi="Calibri"/>
          <w:sz w:val="22"/>
          <w:szCs w:val="22"/>
        </w:rPr>
        <w:t>65.7%</w:t>
      </w:r>
      <w:r w:rsidR="002132B6" w:rsidRPr="00F728B6">
        <w:rPr>
          <w:rFonts w:ascii="Calibri" w:hAnsi="Calibri"/>
          <w:sz w:val="22"/>
          <w:szCs w:val="22"/>
        </w:rPr>
        <w:t xml:space="preserve"> of </w:t>
      </w:r>
      <w:r w:rsidR="006D7154">
        <w:rPr>
          <w:rFonts w:ascii="Calibri" w:hAnsi="Calibri"/>
          <w:sz w:val="22"/>
          <w:szCs w:val="22"/>
        </w:rPr>
        <w:t>Needham’s</w:t>
      </w:r>
      <w:r w:rsidR="002132B6" w:rsidRPr="00F728B6">
        <w:rPr>
          <w:rFonts w:ascii="Calibri" w:hAnsi="Calibri"/>
          <w:sz w:val="22"/>
          <w:szCs w:val="22"/>
        </w:rPr>
        <w:t xml:space="preserve"> housing stock compared to </w:t>
      </w:r>
      <w:r w:rsidR="006D7154">
        <w:rPr>
          <w:rFonts w:ascii="Calibri" w:hAnsi="Calibri"/>
          <w:sz w:val="22"/>
          <w:szCs w:val="22"/>
        </w:rPr>
        <w:t>41.6</w:t>
      </w:r>
      <w:r w:rsidR="002132B6" w:rsidRPr="00F728B6">
        <w:rPr>
          <w:rFonts w:ascii="Calibri" w:hAnsi="Calibri"/>
          <w:sz w:val="22"/>
          <w:szCs w:val="22"/>
        </w:rPr>
        <w:t xml:space="preserve">% for the county and </w:t>
      </w:r>
      <w:r w:rsidR="006D7154">
        <w:rPr>
          <w:rFonts w:ascii="Calibri" w:hAnsi="Calibri"/>
          <w:sz w:val="22"/>
          <w:szCs w:val="22"/>
        </w:rPr>
        <w:t>33.5%</w:t>
      </w:r>
      <w:r w:rsidR="002132B6" w:rsidRPr="00F728B6">
        <w:rPr>
          <w:rFonts w:ascii="Calibri" w:hAnsi="Calibri"/>
          <w:sz w:val="22"/>
          <w:szCs w:val="22"/>
        </w:rPr>
        <w:t xml:space="preserve"> for the state. </w:t>
      </w:r>
      <w:r w:rsidR="002132B6">
        <w:rPr>
          <w:rFonts w:ascii="Calibri" w:hAnsi="Calibri"/>
          <w:sz w:val="22"/>
          <w:szCs w:val="22"/>
        </w:rPr>
        <w:t xml:space="preserve"> </w:t>
      </w:r>
    </w:p>
    <w:p w14:paraId="7DF72C74" w14:textId="77777777" w:rsidR="002132B6" w:rsidRDefault="002132B6" w:rsidP="00456374">
      <w:pPr>
        <w:pStyle w:val="BodyText"/>
        <w:spacing w:after="0"/>
        <w:jc w:val="both"/>
        <w:rPr>
          <w:rFonts w:ascii="Calibri" w:hAnsi="Calibri"/>
          <w:sz w:val="22"/>
          <w:szCs w:val="22"/>
        </w:rPr>
      </w:pPr>
    </w:p>
    <w:p w14:paraId="22C1AE52" w14:textId="7B9F0008" w:rsidR="00244F1E" w:rsidRDefault="005B4112" w:rsidP="00456374">
      <w:pPr>
        <w:pStyle w:val="BodyText"/>
        <w:spacing w:after="0"/>
        <w:jc w:val="both"/>
        <w:rPr>
          <w:rFonts w:ascii="Calibri" w:hAnsi="Calibri"/>
          <w:sz w:val="22"/>
          <w:szCs w:val="22"/>
        </w:rPr>
      </w:pPr>
      <w:r>
        <w:rPr>
          <w:rFonts w:ascii="Calibri" w:hAnsi="Calibri"/>
          <w:sz w:val="22"/>
          <w:szCs w:val="22"/>
        </w:rPr>
        <w:t>Th</w:t>
      </w:r>
      <w:r w:rsidR="002132B6">
        <w:rPr>
          <w:rFonts w:ascii="Calibri" w:hAnsi="Calibri"/>
          <w:sz w:val="22"/>
          <w:szCs w:val="22"/>
        </w:rPr>
        <w:t>e</w:t>
      </w:r>
      <w:r>
        <w:rPr>
          <w:rFonts w:ascii="Calibri" w:hAnsi="Calibri"/>
          <w:sz w:val="22"/>
          <w:szCs w:val="22"/>
        </w:rPr>
        <w:t xml:space="preserve"> </w:t>
      </w:r>
      <w:r w:rsidR="002132B6">
        <w:rPr>
          <w:rFonts w:ascii="Calibri" w:hAnsi="Calibri"/>
          <w:sz w:val="22"/>
          <w:szCs w:val="22"/>
        </w:rPr>
        <w:t>surge in larger homes</w:t>
      </w:r>
      <w:r>
        <w:rPr>
          <w:rFonts w:ascii="Calibri" w:hAnsi="Calibri"/>
          <w:sz w:val="22"/>
          <w:szCs w:val="22"/>
        </w:rPr>
        <w:t xml:space="preserve"> is also reflected in the median number of rooms per unit </w:t>
      </w:r>
      <w:r w:rsidR="002132B6">
        <w:rPr>
          <w:rFonts w:ascii="Calibri" w:hAnsi="Calibri"/>
          <w:sz w:val="22"/>
          <w:szCs w:val="22"/>
        </w:rPr>
        <w:t>increasing</w:t>
      </w:r>
      <w:r>
        <w:rPr>
          <w:rFonts w:ascii="Calibri" w:hAnsi="Calibri"/>
          <w:sz w:val="22"/>
          <w:szCs w:val="22"/>
        </w:rPr>
        <w:t xml:space="preserve"> from 7.1 to 7.5 rooms</w:t>
      </w:r>
      <w:r w:rsidR="00244F1E">
        <w:rPr>
          <w:rFonts w:ascii="Calibri" w:hAnsi="Calibri"/>
          <w:sz w:val="22"/>
          <w:szCs w:val="22"/>
        </w:rPr>
        <w:t xml:space="preserve"> as well as increases in the size of the average house in Needham.  </w:t>
      </w:r>
    </w:p>
    <w:p w14:paraId="451208EA" w14:textId="77777777" w:rsidR="00244F1E" w:rsidRDefault="00244F1E" w:rsidP="00456374">
      <w:pPr>
        <w:pStyle w:val="BodyText"/>
        <w:spacing w:after="0"/>
        <w:jc w:val="both"/>
        <w:rPr>
          <w:rFonts w:ascii="Calibri" w:hAnsi="Calibri"/>
          <w:sz w:val="22"/>
          <w:szCs w:val="22"/>
        </w:rPr>
      </w:pPr>
    </w:p>
    <w:p w14:paraId="26CEA953" w14:textId="613905AE" w:rsidR="00360E66" w:rsidRPr="00244F1E" w:rsidRDefault="00244F1E" w:rsidP="00244F1E">
      <w:pPr>
        <w:pStyle w:val="BodyText"/>
        <w:pBdr>
          <w:top w:val="single" w:sz="4" w:space="1" w:color="auto"/>
          <w:left w:val="single" w:sz="4" w:space="4" w:color="auto"/>
          <w:bottom w:val="single" w:sz="4" w:space="1" w:color="auto"/>
          <w:right w:val="single" w:sz="4" w:space="4" w:color="auto"/>
        </w:pBdr>
        <w:shd w:val="clear" w:color="auto" w:fill="B6DDE8" w:themeFill="accent5" w:themeFillTint="66"/>
        <w:spacing w:after="0"/>
        <w:jc w:val="center"/>
        <w:rPr>
          <w:rFonts w:ascii="Calibri" w:hAnsi="Calibri"/>
        </w:rPr>
      </w:pPr>
      <w:r w:rsidRPr="00244F1E">
        <w:rPr>
          <w:rFonts w:ascii="Calibri" w:hAnsi="Calibri"/>
        </w:rPr>
        <w:lastRenderedPageBreak/>
        <w:t>Through a sample of Assessor records, including 192 homes from 1975 to 1980 and 213 homes from 2018 to 2020, the average square footage increased from 2,235 to 4,461 square feet.</w:t>
      </w:r>
      <w:r>
        <w:rPr>
          <w:rFonts w:ascii="Calibri" w:hAnsi="Calibri"/>
        </w:rPr>
        <w:t xml:space="preserve">  This has occurred wh</w:t>
      </w:r>
      <w:r w:rsidR="001825F7">
        <w:rPr>
          <w:rFonts w:ascii="Calibri" w:hAnsi="Calibri"/>
        </w:rPr>
        <w:t>ile</w:t>
      </w:r>
      <w:r>
        <w:rPr>
          <w:rFonts w:ascii="Calibri" w:hAnsi="Calibri"/>
        </w:rPr>
        <w:t xml:space="preserve"> the average household size decreased from 2.99 persons in 1980 to 2.</w:t>
      </w:r>
      <w:r w:rsidR="00DE08F9">
        <w:rPr>
          <w:rFonts w:ascii="Calibri" w:hAnsi="Calibri"/>
        </w:rPr>
        <w:t>82</w:t>
      </w:r>
      <w:r>
        <w:rPr>
          <w:rFonts w:ascii="Calibri" w:hAnsi="Calibri"/>
        </w:rPr>
        <w:t xml:space="preserve"> based on 20</w:t>
      </w:r>
      <w:r w:rsidR="00DE08F9">
        <w:rPr>
          <w:rFonts w:ascii="Calibri" w:hAnsi="Calibri"/>
        </w:rPr>
        <w:t>20</w:t>
      </w:r>
      <w:r>
        <w:rPr>
          <w:rFonts w:ascii="Calibri" w:hAnsi="Calibri"/>
        </w:rPr>
        <w:t xml:space="preserve"> census estimates.</w:t>
      </w:r>
    </w:p>
    <w:p w14:paraId="2145D199" w14:textId="746FEEDC" w:rsidR="008772FC" w:rsidRPr="00456374" w:rsidRDefault="002132B6" w:rsidP="00C8348C">
      <w:pPr>
        <w:pStyle w:val="Heading9"/>
        <w:jc w:val="center"/>
        <w:rPr>
          <w:rFonts w:ascii="Calibri" w:hAnsi="Calibri"/>
          <w:b/>
          <w:bCs/>
          <w:i w:val="0"/>
          <w:color w:val="auto"/>
          <w:sz w:val="22"/>
          <w:szCs w:val="22"/>
        </w:rPr>
      </w:pPr>
      <w:r>
        <w:rPr>
          <w:rFonts w:ascii="Calibri" w:hAnsi="Calibri"/>
          <w:b/>
          <w:i w:val="0"/>
          <w:color w:val="auto"/>
          <w:sz w:val="22"/>
          <w:szCs w:val="22"/>
        </w:rPr>
        <w:t>T</w:t>
      </w:r>
      <w:r w:rsidR="008772FC" w:rsidRPr="00456374">
        <w:rPr>
          <w:rFonts w:ascii="Calibri" w:hAnsi="Calibri"/>
          <w:b/>
          <w:i w:val="0"/>
          <w:color w:val="auto"/>
          <w:sz w:val="22"/>
          <w:szCs w:val="22"/>
        </w:rPr>
        <w:t xml:space="preserve">able </w:t>
      </w:r>
      <w:r w:rsidR="00A166AA">
        <w:rPr>
          <w:rFonts w:ascii="Calibri" w:hAnsi="Calibri"/>
          <w:b/>
          <w:i w:val="0"/>
          <w:color w:val="auto"/>
          <w:sz w:val="22"/>
          <w:szCs w:val="22"/>
        </w:rPr>
        <w:t>III-2</w:t>
      </w:r>
      <w:r w:rsidR="0028014C">
        <w:rPr>
          <w:rFonts w:ascii="Calibri" w:hAnsi="Calibri"/>
          <w:b/>
          <w:i w:val="0"/>
          <w:color w:val="auto"/>
          <w:sz w:val="22"/>
          <w:szCs w:val="22"/>
        </w:rPr>
        <w:t>7</w:t>
      </w:r>
      <w:r w:rsidR="008772FC" w:rsidRPr="00456374">
        <w:rPr>
          <w:rFonts w:ascii="Calibri" w:hAnsi="Calibri"/>
          <w:b/>
          <w:i w:val="0"/>
          <w:color w:val="auto"/>
          <w:sz w:val="22"/>
          <w:szCs w:val="22"/>
        </w:rPr>
        <w:t xml:space="preserve">: </w:t>
      </w:r>
      <w:r w:rsidR="008772FC" w:rsidRPr="00456374">
        <w:rPr>
          <w:rFonts w:ascii="Calibri" w:hAnsi="Calibri"/>
          <w:b/>
          <w:bCs/>
          <w:i w:val="0"/>
          <w:color w:val="auto"/>
          <w:sz w:val="22"/>
          <w:szCs w:val="22"/>
        </w:rPr>
        <w:t>Number of Rooms per Unit, 20</w:t>
      </w:r>
      <w:r w:rsidR="008E1D91">
        <w:rPr>
          <w:rFonts w:ascii="Calibri" w:hAnsi="Calibri"/>
          <w:b/>
          <w:bCs/>
          <w:i w:val="0"/>
          <w:color w:val="auto"/>
          <w:sz w:val="22"/>
          <w:szCs w:val="22"/>
        </w:rPr>
        <w:t>20</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1567"/>
        <w:gridCol w:w="1552"/>
        <w:gridCol w:w="1679"/>
        <w:gridCol w:w="1605"/>
      </w:tblGrid>
      <w:tr w:rsidR="008772FC" w:rsidRPr="004E50E7" w14:paraId="5418B823" w14:textId="77777777" w:rsidTr="00456374">
        <w:trPr>
          <w:cantSplit/>
        </w:trPr>
        <w:tc>
          <w:tcPr>
            <w:tcW w:w="1637" w:type="pct"/>
            <w:vMerge w:val="restart"/>
          </w:tcPr>
          <w:p w14:paraId="0E8699AD" w14:textId="77777777" w:rsidR="008772FC" w:rsidRPr="00456374" w:rsidRDefault="008772FC" w:rsidP="008F2513">
            <w:pPr>
              <w:pStyle w:val="Heading8"/>
              <w:rPr>
                <w:rFonts w:ascii="Calibri" w:hAnsi="Calibri"/>
                <w:b/>
                <w:bCs/>
                <w:sz w:val="22"/>
                <w:szCs w:val="22"/>
              </w:rPr>
            </w:pPr>
            <w:r w:rsidRPr="00456374">
              <w:rPr>
                <w:rFonts w:ascii="Calibri" w:hAnsi="Calibri"/>
                <w:b/>
                <w:bCs/>
                <w:color w:val="auto"/>
                <w:sz w:val="22"/>
                <w:szCs w:val="22"/>
              </w:rPr>
              <w:t>Number of Rooms per Unit</w:t>
            </w:r>
          </w:p>
        </w:tc>
        <w:tc>
          <w:tcPr>
            <w:tcW w:w="1638" w:type="pct"/>
            <w:gridSpan w:val="2"/>
            <w:shd w:val="clear" w:color="auto" w:fill="auto"/>
          </w:tcPr>
          <w:p w14:paraId="5237566F" w14:textId="77777777" w:rsidR="008772FC" w:rsidRDefault="008772FC" w:rsidP="008F2513">
            <w:pPr>
              <w:ind w:right="-720"/>
              <w:jc w:val="center"/>
              <w:rPr>
                <w:rFonts w:ascii="Calibri" w:hAnsi="Calibri"/>
                <w:b/>
                <w:bCs/>
              </w:rPr>
            </w:pPr>
            <w:r w:rsidRPr="004E50E7">
              <w:rPr>
                <w:rFonts w:ascii="Calibri" w:hAnsi="Calibri"/>
                <w:b/>
                <w:bCs/>
                <w:sz w:val="22"/>
              </w:rPr>
              <w:t>Needham</w:t>
            </w:r>
          </w:p>
          <w:p w14:paraId="5CC23313" w14:textId="2DA607D9" w:rsidR="00687B76" w:rsidRPr="004E50E7" w:rsidRDefault="00687B76" w:rsidP="008F2513">
            <w:pPr>
              <w:ind w:right="-720"/>
              <w:jc w:val="center"/>
              <w:rPr>
                <w:rFonts w:ascii="Calibri" w:hAnsi="Calibri"/>
                <w:b/>
                <w:bCs/>
              </w:rPr>
            </w:pPr>
            <w:r>
              <w:rPr>
                <w:rFonts w:ascii="Calibri" w:hAnsi="Calibri"/>
                <w:b/>
                <w:bCs/>
                <w:sz w:val="22"/>
              </w:rPr>
              <w:t>2010/20</w:t>
            </w:r>
            <w:r w:rsidR="008E1D91">
              <w:rPr>
                <w:rFonts w:ascii="Calibri" w:hAnsi="Calibri"/>
                <w:b/>
                <w:bCs/>
                <w:sz w:val="22"/>
              </w:rPr>
              <w:t>20</w:t>
            </w:r>
          </w:p>
        </w:tc>
        <w:tc>
          <w:tcPr>
            <w:tcW w:w="882" w:type="pct"/>
          </w:tcPr>
          <w:p w14:paraId="248FB60E" w14:textId="77777777" w:rsidR="008772FC" w:rsidRDefault="008772FC" w:rsidP="00EB601D">
            <w:pPr>
              <w:ind w:right="-720"/>
              <w:rPr>
                <w:rFonts w:ascii="Calibri" w:hAnsi="Calibri"/>
                <w:b/>
                <w:bCs/>
              </w:rPr>
            </w:pPr>
            <w:r>
              <w:rPr>
                <w:rFonts w:ascii="Calibri" w:hAnsi="Calibri"/>
                <w:b/>
                <w:bCs/>
                <w:sz w:val="22"/>
              </w:rPr>
              <w:t xml:space="preserve">Norfolk </w:t>
            </w:r>
            <w:r w:rsidRPr="004E50E7">
              <w:rPr>
                <w:rFonts w:ascii="Calibri" w:hAnsi="Calibri"/>
                <w:b/>
                <w:bCs/>
                <w:sz w:val="22"/>
              </w:rPr>
              <w:t>County</w:t>
            </w:r>
          </w:p>
          <w:p w14:paraId="212E46B5" w14:textId="5C089018" w:rsidR="00687B76" w:rsidRPr="004E50E7" w:rsidRDefault="00687B76" w:rsidP="00EB601D">
            <w:pPr>
              <w:ind w:right="-720"/>
              <w:rPr>
                <w:rFonts w:ascii="Calibri" w:hAnsi="Calibri"/>
                <w:b/>
                <w:bCs/>
              </w:rPr>
            </w:pPr>
            <w:r>
              <w:rPr>
                <w:rFonts w:ascii="Calibri" w:hAnsi="Calibri"/>
                <w:b/>
                <w:bCs/>
                <w:sz w:val="22"/>
              </w:rPr>
              <w:t>20</w:t>
            </w:r>
            <w:r w:rsidR="008E1D91">
              <w:rPr>
                <w:rFonts w:ascii="Calibri" w:hAnsi="Calibri"/>
                <w:b/>
                <w:bCs/>
                <w:sz w:val="22"/>
              </w:rPr>
              <w:t>20</w:t>
            </w:r>
          </w:p>
        </w:tc>
        <w:tc>
          <w:tcPr>
            <w:tcW w:w="843" w:type="pct"/>
          </w:tcPr>
          <w:p w14:paraId="550DE114" w14:textId="77777777" w:rsidR="008772FC" w:rsidRDefault="008772FC" w:rsidP="00EB601D">
            <w:pPr>
              <w:ind w:right="-720"/>
              <w:rPr>
                <w:rFonts w:ascii="Calibri" w:hAnsi="Calibri"/>
                <w:b/>
                <w:bCs/>
              </w:rPr>
            </w:pPr>
            <w:r>
              <w:rPr>
                <w:rFonts w:ascii="Calibri" w:hAnsi="Calibri"/>
                <w:b/>
                <w:bCs/>
                <w:sz w:val="22"/>
              </w:rPr>
              <w:t>Massachusetts</w:t>
            </w:r>
          </w:p>
          <w:p w14:paraId="075B4953" w14:textId="57C09D31" w:rsidR="00687B76" w:rsidRPr="004E50E7" w:rsidRDefault="00687B76" w:rsidP="00EB601D">
            <w:pPr>
              <w:ind w:right="-720"/>
              <w:rPr>
                <w:rFonts w:ascii="Calibri" w:hAnsi="Calibri"/>
                <w:b/>
                <w:bCs/>
              </w:rPr>
            </w:pPr>
            <w:r>
              <w:rPr>
                <w:rFonts w:ascii="Calibri" w:hAnsi="Calibri"/>
                <w:b/>
                <w:bCs/>
                <w:sz w:val="22"/>
              </w:rPr>
              <w:t>20</w:t>
            </w:r>
            <w:r w:rsidR="008E1D91">
              <w:rPr>
                <w:rFonts w:ascii="Calibri" w:hAnsi="Calibri"/>
                <w:b/>
                <w:bCs/>
                <w:sz w:val="22"/>
              </w:rPr>
              <w:t>20</w:t>
            </w:r>
          </w:p>
        </w:tc>
      </w:tr>
      <w:tr w:rsidR="008772FC" w:rsidRPr="004E50E7" w14:paraId="58B06FAE" w14:textId="77777777" w:rsidTr="00456374">
        <w:trPr>
          <w:cantSplit/>
        </w:trPr>
        <w:tc>
          <w:tcPr>
            <w:tcW w:w="1637" w:type="pct"/>
            <w:vMerge/>
          </w:tcPr>
          <w:p w14:paraId="535CFF64" w14:textId="77777777" w:rsidR="008772FC" w:rsidRPr="004E50E7" w:rsidRDefault="008772FC" w:rsidP="008F2513">
            <w:pPr>
              <w:pStyle w:val="Heading8"/>
              <w:rPr>
                <w:rFonts w:ascii="Calibri" w:hAnsi="Calibri"/>
                <w:bCs/>
                <w:szCs w:val="24"/>
              </w:rPr>
            </w:pPr>
          </w:p>
        </w:tc>
        <w:tc>
          <w:tcPr>
            <w:tcW w:w="823" w:type="pct"/>
            <w:shd w:val="clear" w:color="auto" w:fill="auto"/>
          </w:tcPr>
          <w:p w14:paraId="31BE6FA7" w14:textId="77777777" w:rsidR="008772FC" w:rsidRPr="004E50E7" w:rsidRDefault="008772FC" w:rsidP="008F2513">
            <w:pPr>
              <w:ind w:right="-720"/>
              <w:jc w:val="center"/>
              <w:rPr>
                <w:rFonts w:ascii="Calibri" w:hAnsi="Calibri"/>
                <w:b/>
                <w:bCs/>
              </w:rPr>
            </w:pPr>
            <w:r w:rsidRPr="004E50E7">
              <w:rPr>
                <w:rFonts w:ascii="Calibri" w:hAnsi="Calibri"/>
                <w:b/>
                <w:bCs/>
                <w:sz w:val="22"/>
              </w:rPr>
              <w:t>#</w:t>
            </w:r>
          </w:p>
        </w:tc>
        <w:tc>
          <w:tcPr>
            <w:tcW w:w="815" w:type="pct"/>
            <w:shd w:val="clear" w:color="auto" w:fill="auto"/>
          </w:tcPr>
          <w:p w14:paraId="71CE28B7" w14:textId="77777777" w:rsidR="008772FC" w:rsidRPr="004E50E7" w:rsidRDefault="008772FC" w:rsidP="008F2513">
            <w:pPr>
              <w:ind w:right="-720"/>
              <w:jc w:val="center"/>
              <w:rPr>
                <w:rFonts w:ascii="Calibri" w:hAnsi="Calibri"/>
                <w:b/>
                <w:bCs/>
              </w:rPr>
            </w:pPr>
            <w:r w:rsidRPr="004E50E7">
              <w:rPr>
                <w:rFonts w:ascii="Calibri" w:hAnsi="Calibri"/>
                <w:b/>
                <w:bCs/>
                <w:sz w:val="22"/>
              </w:rPr>
              <w:t>%</w:t>
            </w:r>
          </w:p>
        </w:tc>
        <w:tc>
          <w:tcPr>
            <w:tcW w:w="882" w:type="pct"/>
          </w:tcPr>
          <w:p w14:paraId="0CFCE686" w14:textId="77777777" w:rsidR="008772FC" w:rsidRPr="004E50E7" w:rsidRDefault="008772FC" w:rsidP="008F2513">
            <w:pPr>
              <w:ind w:right="-720"/>
              <w:jc w:val="center"/>
              <w:rPr>
                <w:rFonts w:ascii="Calibri" w:hAnsi="Calibri"/>
                <w:b/>
                <w:bCs/>
              </w:rPr>
            </w:pPr>
            <w:r w:rsidRPr="004E50E7">
              <w:rPr>
                <w:rFonts w:ascii="Calibri" w:hAnsi="Calibri"/>
                <w:b/>
                <w:bCs/>
                <w:sz w:val="22"/>
              </w:rPr>
              <w:t>%</w:t>
            </w:r>
          </w:p>
        </w:tc>
        <w:tc>
          <w:tcPr>
            <w:tcW w:w="843" w:type="pct"/>
          </w:tcPr>
          <w:p w14:paraId="5D2467D6" w14:textId="77777777" w:rsidR="008772FC" w:rsidRPr="004E50E7" w:rsidRDefault="008772FC" w:rsidP="008F2513">
            <w:pPr>
              <w:ind w:right="-720"/>
              <w:jc w:val="center"/>
              <w:rPr>
                <w:rFonts w:ascii="Calibri" w:hAnsi="Calibri"/>
                <w:b/>
                <w:bCs/>
              </w:rPr>
            </w:pPr>
            <w:r w:rsidRPr="004E50E7">
              <w:rPr>
                <w:rFonts w:ascii="Calibri" w:hAnsi="Calibri"/>
                <w:b/>
                <w:bCs/>
                <w:sz w:val="22"/>
              </w:rPr>
              <w:t>%</w:t>
            </w:r>
          </w:p>
        </w:tc>
      </w:tr>
      <w:tr w:rsidR="008772FC" w:rsidRPr="004E50E7" w14:paraId="513E4A4D" w14:textId="77777777" w:rsidTr="00456374">
        <w:tc>
          <w:tcPr>
            <w:tcW w:w="1637" w:type="pct"/>
          </w:tcPr>
          <w:p w14:paraId="03B9587B" w14:textId="77777777" w:rsidR="008772FC" w:rsidRPr="004E50E7" w:rsidRDefault="008772FC" w:rsidP="008F2513">
            <w:pPr>
              <w:ind w:right="-720"/>
              <w:jc w:val="center"/>
              <w:rPr>
                <w:rFonts w:ascii="Calibri" w:hAnsi="Calibri"/>
                <w:sz w:val="20"/>
              </w:rPr>
            </w:pPr>
            <w:r w:rsidRPr="004E50E7">
              <w:rPr>
                <w:rFonts w:ascii="Calibri" w:hAnsi="Calibri"/>
                <w:sz w:val="20"/>
              </w:rPr>
              <w:t>1 Room</w:t>
            </w:r>
          </w:p>
        </w:tc>
        <w:tc>
          <w:tcPr>
            <w:tcW w:w="823" w:type="pct"/>
            <w:shd w:val="clear" w:color="auto" w:fill="auto"/>
          </w:tcPr>
          <w:p w14:paraId="78841A3B" w14:textId="439D4166" w:rsidR="008772FC" w:rsidRPr="004E50E7" w:rsidRDefault="00314FA9" w:rsidP="008E1D91">
            <w:pPr>
              <w:ind w:right="-720"/>
              <w:rPr>
                <w:rFonts w:ascii="Calibri" w:hAnsi="Calibri"/>
                <w:sz w:val="20"/>
              </w:rPr>
            </w:pPr>
            <w:r>
              <w:rPr>
                <w:rFonts w:ascii="Calibri" w:hAnsi="Calibri"/>
                <w:sz w:val="20"/>
              </w:rPr>
              <w:t>191/</w:t>
            </w:r>
            <w:r w:rsidR="008E1D91">
              <w:rPr>
                <w:rFonts w:ascii="Calibri" w:hAnsi="Calibri"/>
                <w:sz w:val="20"/>
              </w:rPr>
              <w:t>226</w:t>
            </w:r>
          </w:p>
        </w:tc>
        <w:tc>
          <w:tcPr>
            <w:tcW w:w="815" w:type="pct"/>
            <w:shd w:val="clear" w:color="auto" w:fill="auto"/>
          </w:tcPr>
          <w:p w14:paraId="7EEF486F" w14:textId="4EB7D392" w:rsidR="008772FC" w:rsidRPr="004E50E7" w:rsidRDefault="00314FA9" w:rsidP="008E1D91">
            <w:pPr>
              <w:ind w:right="-720"/>
              <w:rPr>
                <w:rFonts w:ascii="Calibri" w:hAnsi="Calibri"/>
                <w:sz w:val="20"/>
              </w:rPr>
            </w:pPr>
            <w:r>
              <w:rPr>
                <w:rFonts w:ascii="Calibri" w:hAnsi="Calibri"/>
                <w:sz w:val="20"/>
              </w:rPr>
              <w:t>1.8/</w:t>
            </w:r>
            <w:r w:rsidR="00687B76">
              <w:rPr>
                <w:rFonts w:ascii="Calibri" w:hAnsi="Calibri"/>
                <w:sz w:val="20"/>
              </w:rPr>
              <w:t>2.</w:t>
            </w:r>
            <w:r w:rsidR="008E1D91">
              <w:rPr>
                <w:rFonts w:ascii="Calibri" w:hAnsi="Calibri"/>
                <w:sz w:val="20"/>
              </w:rPr>
              <w:t>0</w:t>
            </w:r>
          </w:p>
        </w:tc>
        <w:tc>
          <w:tcPr>
            <w:tcW w:w="882" w:type="pct"/>
          </w:tcPr>
          <w:p w14:paraId="3CBAC608" w14:textId="37F20DCF" w:rsidR="008772FC" w:rsidRPr="004E50E7" w:rsidRDefault="0000107D" w:rsidP="008E1D91">
            <w:pPr>
              <w:ind w:right="-720"/>
              <w:rPr>
                <w:rFonts w:ascii="Calibri" w:hAnsi="Calibri"/>
                <w:sz w:val="20"/>
              </w:rPr>
            </w:pPr>
            <w:r>
              <w:rPr>
                <w:rFonts w:ascii="Calibri" w:hAnsi="Calibri"/>
                <w:sz w:val="20"/>
              </w:rPr>
              <w:t>2.1</w:t>
            </w:r>
          </w:p>
        </w:tc>
        <w:tc>
          <w:tcPr>
            <w:tcW w:w="843" w:type="pct"/>
          </w:tcPr>
          <w:p w14:paraId="644BF68C" w14:textId="2D27BFC9" w:rsidR="008772FC" w:rsidRPr="004E50E7" w:rsidRDefault="00EB601D" w:rsidP="008E1D91">
            <w:pPr>
              <w:ind w:right="-720"/>
              <w:rPr>
                <w:rFonts w:ascii="Calibri" w:hAnsi="Calibri"/>
                <w:sz w:val="20"/>
              </w:rPr>
            </w:pPr>
            <w:r>
              <w:rPr>
                <w:rFonts w:ascii="Calibri" w:hAnsi="Calibri"/>
                <w:sz w:val="20"/>
              </w:rPr>
              <w:t>2.</w:t>
            </w:r>
            <w:r w:rsidR="00106CA9">
              <w:rPr>
                <w:rFonts w:ascii="Calibri" w:hAnsi="Calibri"/>
                <w:sz w:val="20"/>
              </w:rPr>
              <w:t>6</w:t>
            </w:r>
          </w:p>
        </w:tc>
      </w:tr>
      <w:tr w:rsidR="008772FC" w:rsidRPr="004E50E7" w14:paraId="119EDC62" w14:textId="77777777" w:rsidTr="00456374">
        <w:tc>
          <w:tcPr>
            <w:tcW w:w="1637" w:type="pct"/>
          </w:tcPr>
          <w:p w14:paraId="5DB545F6" w14:textId="77777777" w:rsidR="008772FC" w:rsidRPr="004E50E7" w:rsidRDefault="008772FC" w:rsidP="008F2513">
            <w:pPr>
              <w:ind w:right="-720"/>
              <w:jc w:val="center"/>
              <w:rPr>
                <w:rFonts w:ascii="Calibri" w:hAnsi="Calibri"/>
                <w:sz w:val="20"/>
              </w:rPr>
            </w:pPr>
            <w:r w:rsidRPr="004E50E7">
              <w:rPr>
                <w:rFonts w:ascii="Calibri" w:hAnsi="Calibri"/>
                <w:sz w:val="20"/>
              </w:rPr>
              <w:t>2 Rooms</w:t>
            </w:r>
          </w:p>
        </w:tc>
        <w:tc>
          <w:tcPr>
            <w:tcW w:w="823" w:type="pct"/>
            <w:shd w:val="clear" w:color="auto" w:fill="auto"/>
          </w:tcPr>
          <w:p w14:paraId="0E49CDFB" w14:textId="64F5F03A" w:rsidR="008772FC" w:rsidRPr="004E50E7" w:rsidRDefault="00314FA9" w:rsidP="008E1D91">
            <w:pPr>
              <w:ind w:right="-720"/>
              <w:rPr>
                <w:rFonts w:ascii="Calibri" w:hAnsi="Calibri"/>
                <w:sz w:val="20"/>
              </w:rPr>
            </w:pPr>
            <w:r>
              <w:rPr>
                <w:rFonts w:ascii="Calibri" w:hAnsi="Calibri"/>
                <w:sz w:val="20"/>
              </w:rPr>
              <w:t>130/</w:t>
            </w:r>
            <w:r w:rsidR="008E1D91">
              <w:rPr>
                <w:rFonts w:ascii="Calibri" w:hAnsi="Calibri"/>
                <w:sz w:val="20"/>
              </w:rPr>
              <w:t>248</w:t>
            </w:r>
          </w:p>
        </w:tc>
        <w:tc>
          <w:tcPr>
            <w:tcW w:w="815" w:type="pct"/>
            <w:shd w:val="clear" w:color="auto" w:fill="auto"/>
          </w:tcPr>
          <w:p w14:paraId="406FC0F8" w14:textId="10F292D4" w:rsidR="008772FC" w:rsidRPr="004E50E7" w:rsidRDefault="00314FA9" w:rsidP="008E1D91">
            <w:pPr>
              <w:ind w:right="-720"/>
              <w:rPr>
                <w:rFonts w:ascii="Calibri" w:hAnsi="Calibri"/>
                <w:sz w:val="20"/>
              </w:rPr>
            </w:pPr>
            <w:r>
              <w:rPr>
                <w:rFonts w:ascii="Calibri" w:hAnsi="Calibri"/>
                <w:sz w:val="20"/>
              </w:rPr>
              <w:t>1.2/</w:t>
            </w:r>
            <w:r w:rsidR="00687B76">
              <w:rPr>
                <w:rFonts w:ascii="Calibri" w:hAnsi="Calibri"/>
                <w:sz w:val="20"/>
              </w:rPr>
              <w:t>2.</w:t>
            </w:r>
            <w:r w:rsidR="008E1D91">
              <w:rPr>
                <w:rFonts w:ascii="Calibri" w:hAnsi="Calibri"/>
                <w:sz w:val="20"/>
              </w:rPr>
              <w:t>2</w:t>
            </w:r>
          </w:p>
        </w:tc>
        <w:tc>
          <w:tcPr>
            <w:tcW w:w="882" w:type="pct"/>
          </w:tcPr>
          <w:p w14:paraId="1A4AB912" w14:textId="69217650" w:rsidR="008772FC" w:rsidRPr="004E50E7" w:rsidRDefault="00314FA9" w:rsidP="008E1D91">
            <w:pPr>
              <w:ind w:right="-720"/>
              <w:rPr>
                <w:rFonts w:ascii="Calibri" w:hAnsi="Calibri"/>
                <w:sz w:val="20"/>
              </w:rPr>
            </w:pPr>
            <w:r>
              <w:rPr>
                <w:rFonts w:ascii="Calibri" w:hAnsi="Calibri"/>
                <w:sz w:val="20"/>
              </w:rPr>
              <w:t>3.</w:t>
            </w:r>
            <w:r w:rsidR="0000107D">
              <w:rPr>
                <w:rFonts w:ascii="Calibri" w:hAnsi="Calibri"/>
                <w:sz w:val="20"/>
              </w:rPr>
              <w:t>5</w:t>
            </w:r>
          </w:p>
        </w:tc>
        <w:tc>
          <w:tcPr>
            <w:tcW w:w="843" w:type="pct"/>
          </w:tcPr>
          <w:p w14:paraId="3FAAAC40" w14:textId="2844D36C" w:rsidR="008772FC" w:rsidRPr="004E50E7" w:rsidRDefault="00EB601D" w:rsidP="008E1D91">
            <w:pPr>
              <w:ind w:right="-720"/>
              <w:rPr>
                <w:rFonts w:ascii="Calibri" w:hAnsi="Calibri"/>
                <w:sz w:val="20"/>
              </w:rPr>
            </w:pPr>
            <w:r>
              <w:rPr>
                <w:rFonts w:ascii="Calibri" w:hAnsi="Calibri"/>
                <w:sz w:val="20"/>
              </w:rPr>
              <w:t>3.</w:t>
            </w:r>
            <w:r w:rsidR="00106CA9">
              <w:rPr>
                <w:rFonts w:ascii="Calibri" w:hAnsi="Calibri"/>
                <w:sz w:val="20"/>
              </w:rPr>
              <w:t>4</w:t>
            </w:r>
          </w:p>
        </w:tc>
      </w:tr>
      <w:tr w:rsidR="008772FC" w:rsidRPr="004E50E7" w14:paraId="4EDA7D0C" w14:textId="77777777" w:rsidTr="00456374">
        <w:tc>
          <w:tcPr>
            <w:tcW w:w="1637" w:type="pct"/>
          </w:tcPr>
          <w:p w14:paraId="167959DF" w14:textId="77777777" w:rsidR="008772FC" w:rsidRPr="004E50E7" w:rsidRDefault="008772FC" w:rsidP="008F2513">
            <w:pPr>
              <w:ind w:right="-720"/>
              <w:jc w:val="center"/>
              <w:rPr>
                <w:rFonts w:ascii="Calibri" w:hAnsi="Calibri"/>
                <w:sz w:val="20"/>
              </w:rPr>
            </w:pPr>
            <w:r w:rsidRPr="004E50E7">
              <w:rPr>
                <w:rFonts w:ascii="Calibri" w:hAnsi="Calibri"/>
                <w:sz w:val="20"/>
              </w:rPr>
              <w:t>3 Rooms</w:t>
            </w:r>
          </w:p>
        </w:tc>
        <w:tc>
          <w:tcPr>
            <w:tcW w:w="823" w:type="pct"/>
            <w:shd w:val="clear" w:color="auto" w:fill="auto"/>
          </w:tcPr>
          <w:p w14:paraId="48797150" w14:textId="4C7353AD" w:rsidR="008772FC" w:rsidRPr="004E50E7" w:rsidRDefault="00314FA9" w:rsidP="008E1D91">
            <w:pPr>
              <w:ind w:right="-720"/>
              <w:rPr>
                <w:rFonts w:ascii="Calibri" w:hAnsi="Calibri"/>
                <w:sz w:val="20"/>
              </w:rPr>
            </w:pPr>
            <w:r>
              <w:rPr>
                <w:rFonts w:ascii="Calibri" w:hAnsi="Calibri"/>
                <w:sz w:val="20"/>
              </w:rPr>
              <w:t>643/</w:t>
            </w:r>
            <w:r w:rsidR="008E1D91">
              <w:rPr>
                <w:rFonts w:ascii="Calibri" w:hAnsi="Calibri"/>
                <w:sz w:val="20"/>
              </w:rPr>
              <w:t>455</w:t>
            </w:r>
          </w:p>
        </w:tc>
        <w:tc>
          <w:tcPr>
            <w:tcW w:w="815" w:type="pct"/>
            <w:shd w:val="clear" w:color="auto" w:fill="auto"/>
          </w:tcPr>
          <w:p w14:paraId="75FCF7D4" w14:textId="04835B23" w:rsidR="008772FC" w:rsidRPr="004E50E7" w:rsidRDefault="00314FA9" w:rsidP="008E1D91">
            <w:pPr>
              <w:ind w:right="-720"/>
              <w:rPr>
                <w:rFonts w:ascii="Calibri" w:hAnsi="Calibri"/>
                <w:sz w:val="20"/>
              </w:rPr>
            </w:pPr>
            <w:r>
              <w:rPr>
                <w:rFonts w:ascii="Calibri" w:hAnsi="Calibri"/>
                <w:sz w:val="20"/>
              </w:rPr>
              <w:t>6.0/</w:t>
            </w:r>
            <w:r w:rsidR="008E1D91">
              <w:rPr>
                <w:rFonts w:ascii="Calibri" w:hAnsi="Calibri"/>
                <w:sz w:val="20"/>
              </w:rPr>
              <w:t>4.1</w:t>
            </w:r>
          </w:p>
        </w:tc>
        <w:tc>
          <w:tcPr>
            <w:tcW w:w="882" w:type="pct"/>
          </w:tcPr>
          <w:p w14:paraId="04BC8431" w14:textId="18122261" w:rsidR="008772FC" w:rsidRPr="004E50E7" w:rsidRDefault="0000107D" w:rsidP="008E1D91">
            <w:pPr>
              <w:ind w:right="-720"/>
              <w:rPr>
                <w:rFonts w:ascii="Calibri" w:hAnsi="Calibri"/>
                <w:sz w:val="20"/>
              </w:rPr>
            </w:pPr>
            <w:r>
              <w:rPr>
                <w:rFonts w:ascii="Calibri" w:hAnsi="Calibri"/>
                <w:sz w:val="20"/>
              </w:rPr>
              <w:t>10.5</w:t>
            </w:r>
          </w:p>
        </w:tc>
        <w:tc>
          <w:tcPr>
            <w:tcW w:w="843" w:type="pct"/>
          </w:tcPr>
          <w:p w14:paraId="4F280F29" w14:textId="1CFC6F03" w:rsidR="008772FC" w:rsidRPr="004E50E7" w:rsidRDefault="00EB601D" w:rsidP="008E1D91">
            <w:pPr>
              <w:ind w:right="-720"/>
              <w:rPr>
                <w:rFonts w:ascii="Calibri" w:hAnsi="Calibri"/>
                <w:sz w:val="20"/>
              </w:rPr>
            </w:pPr>
            <w:r>
              <w:rPr>
                <w:rFonts w:ascii="Calibri" w:hAnsi="Calibri"/>
                <w:sz w:val="20"/>
              </w:rPr>
              <w:t>10.</w:t>
            </w:r>
            <w:r w:rsidR="00106CA9">
              <w:rPr>
                <w:rFonts w:ascii="Calibri" w:hAnsi="Calibri"/>
                <w:sz w:val="20"/>
              </w:rPr>
              <w:t>0</w:t>
            </w:r>
          </w:p>
        </w:tc>
      </w:tr>
      <w:tr w:rsidR="008772FC" w:rsidRPr="004E50E7" w14:paraId="5B7A3AEE" w14:textId="77777777" w:rsidTr="00456374">
        <w:tc>
          <w:tcPr>
            <w:tcW w:w="1637" w:type="pct"/>
          </w:tcPr>
          <w:p w14:paraId="2EFC1771" w14:textId="77777777" w:rsidR="008772FC" w:rsidRPr="004E50E7" w:rsidRDefault="008772FC" w:rsidP="008F2513">
            <w:pPr>
              <w:ind w:right="-720"/>
              <w:jc w:val="center"/>
              <w:rPr>
                <w:rFonts w:ascii="Calibri" w:hAnsi="Calibri"/>
                <w:sz w:val="20"/>
              </w:rPr>
            </w:pPr>
            <w:r w:rsidRPr="004E50E7">
              <w:rPr>
                <w:rFonts w:ascii="Calibri" w:hAnsi="Calibri"/>
                <w:sz w:val="20"/>
              </w:rPr>
              <w:t>4 Rooms</w:t>
            </w:r>
          </w:p>
        </w:tc>
        <w:tc>
          <w:tcPr>
            <w:tcW w:w="823" w:type="pct"/>
            <w:shd w:val="clear" w:color="auto" w:fill="auto"/>
          </w:tcPr>
          <w:p w14:paraId="181C1AFA" w14:textId="73D90CD6" w:rsidR="008772FC" w:rsidRPr="004E50E7" w:rsidRDefault="00314FA9" w:rsidP="008E1D91">
            <w:pPr>
              <w:ind w:right="-720"/>
              <w:rPr>
                <w:rFonts w:ascii="Calibri" w:hAnsi="Calibri"/>
                <w:sz w:val="20"/>
              </w:rPr>
            </w:pPr>
            <w:r>
              <w:rPr>
                <w:rFonts w:ascii="Calibri" w:hAnsi="Calibri"/>
                <w:sz w:val="20"/>
              </w:rPr>
              <w:t>810/</w:t>
            </w:r>
            <w:r w:rsidR="008E1D91">
              <w:rPr>
                <w:rFonts w:ascii="Calibri" w:hAnsi="Calibri"/>
                <w:sz w:val="20"/>
              </w:rPr>
              <w:t>682</w:t>
            </w:r>
          </w:p>
        </w:tc>
        <w:tc>
          <w:tcPr>
            <w:tcW w:w="815" w:type="pct"/>
            <w:shd w:val="clear" w:color="auto" w:fill="auto"/>
          </w:tcPr>
          <w:p w14:paraId="0943A2E5" w14:textId="5068852A" w:rsidR="008772FC" w:rsidRPr="004E50E7" w:rsidRDefault="00314FA9" w:rsidP="008E1D91">
            <w:pPr>
              <w:ind w:right="-720"/>
              <w:rPr>
                <w:rFonts w:ascii="Calibri" w:hAnsi="Calibri"/>
                <w:sz w:val="20"/>
              </w:rPr>
            </w:pPr>
            <w:r>
              <w:rPr>
                <w:rFonts w:ascii="Calibri" w:hAnsi="Calibri"/>
                <w:sz w:val="20"/>
              </w:rPr>
              <w:t>7.5/</w:t>
            </w:r>
            <w:r w:rsidR="00687B76">
              <w:rPr>
                <w:rFonts w:ascii="Calibri" w:hAnsi="Calibri"/>
                <w:sz w:val="20"/>
              </w:rPr>
              <w:t>6.</w:t>
            </w:r>
            <w:r w:rsidR="008E1D91">
              <w:rPr>
                <w:rFonts w:ascii="Calibri" w:hAnsi="Calibri"/>
                <w:sz w:val="20"/>
              </w:rPr>
              <w:t>1</w:t>
            </w:r>
          </w:p>
        </w:tc>
        <w:tc>
          <w:tcPr>
            <w:tcW w:w="882" w:type="pct"/>
          </w:tcPr>
          <w:p w14:paraId="02CCD5E8" w14:textId="2981D72B" w:rsidR="008772FC" w:rsidRPr="004E50E7" w:rsidRDefault="00314FA9" w:rsidP="008E1D91">
            <w:pPr>
              <w:ind w:right="-720"/>
              <w:rPr>
                <w:rFonts w:ascii="Calibri" w:hAnsi="Calibri"/>
                <w:sz w:val="20"/>
              </w:rPr>
            </w:pPr>
            <w:r>
              <w:rPr>
                <w:rFonts w:ascii="Calibri" w:hAnsi="Calibri"/>
                <w:sz w:val="20"/>
              </w:rPr>
              <w:t>13.</w:t>
            </w:r>
            <w:r w:rsidR="0000107D">
              <w:rPr>
                <w:rFonts w:ascii="Calibri" w:hAnsi="Calibri"/>
                <w:sz w:val="20"/>
              </w:rPr>
              <w:t>7</w:t>
            </w:r>
          </w:p>
        </w:tc>
        <w:tc>
          <w:tcPr>
            <w:tcW w:w="843" w:type="pct"/>
          </w:tcPr>
          <w:p w14:paraId="0736C6EE" w14:textId="5C29D7E4" w:rsidR="008772FC" w:rsidRPr="004E50E7" w:rsidRDefault="00EB601D" w:rsidP="008E1D91">
            <w:pPr>
              <w:ind w:right="-720"/>
              <w:rPr>
                <w:rFonts w:ascii="Calibri" w:hAnsi="Calibri"/>
                <w:sz w:val="20"/>
              </w:rPr>
            </w:pPr>
            <w:r>
              <w:rPr>
                <w:rFonts w:ascii="Calibri" w:hAnsi="Calibri"/>
                <w:sz w:val="20"/>
              </w:rPr>
              <w:t>15.7</w:t>
            </w:r>
          </w:p>
        </w:tc>
      </w:tr>
      <w:tr w:rsidR="008772FC" w:rsidRPr="004E50E7" w14:paraId="132682FA" w14:textId="77777777" w:rsidTr="00456374">
        <w:tc>
          <w:tcPr>
            <w:tcW w:w="1637" w:type="pct"/>
          </w:tcPr>
          <w:p w14:paraId="7B339C35" w14:textId="77777777" w:rsidR="008772FC" w:rsidRPr="004E50E7" w:rsidRDefault="008772FC" w:rsidP="008F2513">
            <w:pPr>
              <w:ind w:right="-720"/>
              <w:jc w:val="center"/>
              <w:rPr>
                <w:rFonts w:ascii="Calibri" w:hAnsi="Calibri"/>
                <w:sz w:val="20"/>
              </w:rPr>
            </w:pPr>
            <w:r w:rsidRPr="004E50E7">
              <w:rPr>
                <w:rFonts w:ascii="Calibri" w:hAnsi="Calibri"/>
                <w:sz w:val="20"/>
              </w:rPr>
              <w:t>5 Rooms</w:t>
            </w:r>
          </w:p>
        </w:tc>
        <w:tc>
          <w:tcPr>
            <w:tcW w:w="823" w:type="pct"/>
            <w:shd w:val="clear" w:color="auto" w:fill="auto"/>
          </w:tcPr>
          <w:p w14:paraId="05FC936B" w14:textId="7AD0D3B0" w:rsidR="008772FC" w:rsidRPr="004E50E7" w:rsidRDefault="00314FA9" w:rsidP="008E1D91">
            <w:pPr>
              <w:ind w:right="-720"/>
              <w:rPr>
                <w:rFonts w:ascii="Calibri" w:hAnsi="Calibri"/>
                <w:sz w:val="20"/>
              </w:rPr>
            </w:pPr>
            <w:r>
              <w:rPr>
                <w:rFonts w:ascii="Calibri" w:hAnsi="Calibri"/>
                <w:sz w:val="20"/>
              </w:rPr>
              <w:t>700/</w:t>
            </w:r>
            <w:r w:rsidR="008E1D91">
              <w:rPr>
                <w:rFonts w:ascii="Calibri" w:hAnsi="Calibri"/>
                <w:sz w:val="20"/>
              </w:rPr>
              <w:t>796</w:t>
            </w:r>
          </w:p>
        </w:tc>
        <w:tc>
          <w:tcPr>
            <w:tcW w:w="815" w:type="pct"/>
            <w:shd w:val="clear" w:color="auto" w:fill="auto"/>
          </w:tcPr>
          <w:p w14:paraId="45B03495" w14:textId="360F9EEB" w:rsidR="008772FC" w:rsidRPr="004E50E7" w:rsidRDefault="00314FA9" w:rsidP="008E1D91">
            <w:pPr>
              <w:ind w:right="-720"/>
              <w:rPr>
                <w:rFonts w:ascii="Calibri" w:hAnsi="Calibri"/>
                <w:sz w:val="20"/>
              </w:rPr>
            </w:pPr>
            <w:r>
              <w:rPr>
                <w:rFonts w:ascii="Calibri" w:hAnsi="Calibri"/>
                <w:sz w:val="20"/>
              </w:rPr>
              <w:t>6.5/</w:t>
            </w:r>
            <w:r w:rsidR="008E1D91">
              <w:rPr>
                <w:rFonts w:ascii="Calibri" w:hAnsi="Calibri"/>
                <w:sz w:val="20"/>
              </w:rPr>
              <w:t>7.1</w:t>
            </w:r>
          </w:p>
        </w:tc>
        <w:tc>
          <w:tcPr>
            <w:tcW w:w="882" w:type="pct"/>
          </w:tcPr>
          <w:p w14:paraId="13DE0143" w14:textId="13F3C084" w:rsidR="008772FC" w:rsidRPr="004E50E7" w:rsidRDefault="00314FA9" w:rsidP="008E1D91">
            <w:pPr>
              <w:ind w:right="-720"/>
              <w:rPr>
                <w:rFonts w:ascii="Calibri" w:hAnsi="Calibri"/>
                <w:sz w:val="20"/>
              </w:rPr>
            </w:pPr>
            <w:r>
              <w:rPr>
                <w:rFonts w:ascii="Calibri" w:hAnsi="Calibri"/>
                <w:sz w:val="20"/>
              </w:rPr>
              <w:t>12.9</w:t>
            </w:r>
          </w:p>
        </w:tc>
        <w:tc>
          <w:tcPr>
            <w:tcW w:w="843" w:type="pct"/>
          </w:tcPr>
          <w:p w14:paraId="46E3259B" w14:textId="2D02BDF7" w:rsidR="008772FC" w:rsidRPr="004E50E7" w:rsidRDefault="00EB601D" w:rsidP="008E1D91">
            <w:pPr>
              <w:ind w:right="-720"/>
              <w:rPr>
                <w:rFonts w:ascii="Calibri" w:hAnsi="Calibri"/>
                <w:sz w:val="20"/>
              </w:rPr>
            </w:pPr>
            <w:r>
              <w:rPr>
                <w:rFonts w:ascii="Calibri" w:hAnsi="Calibri"/>
                <w:sz w:val="20"/>
              </w:rPr>
              <w:t>17.</w:t>
            </w:r>
            <w:r w:rsidR="002B2C25">
              <w:rPr>
                <w:rFonts w:ascii="Calibri" w:hAnsi="Calibri"/>
                <w:sz w:val="20"/>
              </w:rPr>
              <w:t>7</w:t>
            </w:r>
          </w:p>
        </w:tc>
      </w:tr>
      <w:tr w:rsidR="008772FC" w:rsidRPr="004E50E7" w14:paraId="5A2EE438" w14:textId="77777777" w:rsidTr="00456374">
        <w:tc>
          <w:tcPr>
            <w:tcW w:w="1637" w:type="pct"/>
          </w:tcPr>
          <w:p w14:paraId="477B783A" w14:textId="77777777" w:rsidR="008772FC" w:rsidRPr="004E50E7" w:rsidRDefault="008772FC" w:rsidP="008F2513">
            <w:pPr>
              <w:ind w:right="-720"/>
              <w:jc w:val="center"/>
              <w:rPr>
                <w:rFonts w:ascii="Calibri" w:hAnsi="Calibri"/>
                <w:sz w:val="20"/>
              </w:rPr>
            </w:pPr>
            <w:r w:rsidRPr="004E50E7">
              <w:rPr>
                <w:rFonts w:ascii="Calibri" w:hAnsi="Calibri"/>
                <w:sz w:val="20"/>
              </w:rPr>
              <w:t>6 Rooms</w:t>
            </w:r>
          </w:p>
        </w:tc>
        <w:tc>
          <w:tcPr>
            <w:tcW w:w="823" w:type="pct"/>
            <w:shd w:val="clear" w:color="auto" w:fill="auto"/>
          </w:tcPr>
          <w:p w14:paraId="66C026E1" w14:textId="37C87D2B" w:rsidR="008772FC" w:rsidRPr="004E50E7" w:rsidRDefault="00314FA9" w:rsidP="008E1D91">
            <w:pPr>
              <w:ind w:right="-720"/>
              <w:rPr>
                <w:rFonts w:ascii="Calibri" w:hAnsi="Calibri"/>
                <w:sz w:val="20"/>
              </w:rPr>
            </w:pPr>
            <w:r>
              <w:rPr>
                <w:rFonts w:ascii="Calibri" w:hAnsi="Calibri"/>
                <w:sz w:val="20"/>
              </w:rPr>
              <w:t>1,749/</w:t>
            </w:r>
            <w:r w:rsidR="001B4BBA">
              <w:rPr>
                <w:rFonts w:ascii="Calibri" w:hAnsi="Calibri"/>
                <w:sz w:val="20"/>
              </w:rPr>
              <w:t>1,</w:t>
            </w:r>
            <w:r w:rsidR="008E1D91">
              <w:rPr>
                <w:rFonts w:ascii="Calibri" w:hAnsi="Calibri"/>
                <w:sz w:val="20"/>
              </w:rPr>
              <w:t>426</w:t>
            </w:r>
          </w:p>
        </w:tc>
        <w:tc>
          <w:tcPr>
            <w:tcW w:w="815" w:type="pct"/>
            <w:shd w:val="clear" w:color="auto" w:fill="auto"/>
          </w:tcPr>
          <w:p w14:paraId="74A06F76" w14:textId="61606B43" w:rsidR="008772FC" w:rsidRPr="004E50E7" w:rsidRDefault="007E512D" w:rsidP="008E1D91">
            <w:pPr>
              <w:ind w:right="-720"/>
              <w:rPr>
                <w:rFonts w:ascii="Calibri" w:hAnsi="Calibri"/>
                <w:sz w:val="20"/>
              </w:rPr>
            </w:pPr>
            <w:r>
              <w:rPr>
                <w:rFonts w:ascii="Calibri" w:hAnsi="Calibri"/>
                <w:sz w:val="20"/>
              </w:rPr>
              <w:t>16.2/</w:t>
            </w:r>
            <w:r w:rsidR="001B4BBA">
              <w:rPr>
                <w:rFonts w:ascii="Calibri" w:hAnsi="Calibri"/>
                <w:sz w:val="20"/>
              </w:rPr>
              <w:t>12.</w:t>
            </w:r>
            <w:r w:rsidR="008E1D91">
              <w:rPr>
                <w:rFonts w:ascii="Calibri" w:hAnsi="Calibri"/>
                <w:sz w:val="20"/>
              </w:rPr>
              <w:t>7</w:t>
            </w:r>
          </w:p>
        </w:tc>
        <w:tc>
          <w:tcPr>
            <w:tcW w:w="882" w:type="pct"/>
          </w:tcPr>
          <w:p w14:paraId="49E0E705" w14:textId="25B6BF2B" w:rsidR="008772FC" w:rsidRPr="004E50E7" w:rsidRDefault="00314FA9" w:rsidP="008E1D91">
            <w:pPr>
              <w:ind w:right="-720"/>
              <w:rPr>
                <w:rFonts w:ascii="Calibri" w:hAnsi="Calibri"/>
                <w:sz w:val="20"/>
              </w:rPr>
            </w:pPr>
            <w:r>
              <w:rPr>
                <w:rFonts w:ascii="Calibri" w:hAnsi="Calibri"/>
                <w:sz w:val="20"/>
              </w:rPr>
              <w:t>15.</w:t>
            </w:r>
            <w:r w:rsidR="0000107D">
              <w:rPr>
                <w:rFonts w:ascii="Calibri" w:hAnsi="Calibri"/>
                <w:sz w:val="20"/>
              </w:rPr>
              <w:t>7</w:t>
            </w:r>
          </w:p>
        </w:tc>
        <w:tc>
          <w:tcPr>
            <w:tcW w:w="843" w:type="pct"/>
          </w:tcPr>
          <w:p w14:paraId="540B8D0C" w14:textId="3F0E8B21" w:rsidR="008772FC" w:rsidRPr="004E50E7" w:rsidRDefault="00EB601D" w:rsidP="008E1D91">
            <w:pPr>
              <w:ind w:right="-720"/>
              <w:rPr>
                <w:rFonts w:ascii="Calibri" w:hAnsi="Calibri"/>
                <w:sz w:val="20"/>
              </w:rPr>
            </w:pPr>
            <w:r>
              <w:rPr>
                <w:rFonts w:ascii="Calibri" w:hAnsi="Calibri"/>
                <w:sz w:val="20"/>
              </w:rPr>
              <w:t>17.</w:t>
            </w:r>
            <w:r w:rsidR="002B2C25">
              <w:rPr>
                <w:rFonts w:ascii="Calibri" w:hAnsi="Calibri"/>
                <w:sz w:val="20"/>
              </w:rPr>
              <w:t>1</w:t>
            </w:r>
          </w:p>
        </w:tc>
      </w:tr>
      <w:tr w:rsidR="008772FC" w:rsidRPr="004E50E7" w14:paraId="5FB34E50" w14:textId="77777777" w:rsidTr="00456374">
        <w:tc>
          <w:tcPr>
            <w:tcW w:w="1637" w:type="pct"/>
          </w:tcPr>
          <w:p w14:paraId="53F61089" w14:textId="77777777" w:rsidR="008772FC" w:rsidRPr="004E50E7" w:rsidRDefault="008772FC" w:rsidP="008F2513">
            <w:pPr>
              <w:ind w:right="-720"/>
              <w:jc w:val="center"/>
              <w:rPr>
                <w:rFonts w:ascii="Calibri" w:hAnsi="Calibri"/>
                <w:sz w:val="20"/>
              </w:rPr>
            </w:pPr>
            <w:r w:rsidRPr="004E50E7">
              <w:rPr>
                <w:rFonts w:ascii="Calibri" w:hAnsi="Calibri"/>
                <w:sz w:val="20"/>
              </w:rPr>
              <w:t>7 Rooms</w:t>
            </w:r>
          </w:p>
        </w:tc>
        <w:tc>
          <w:tcPr>
            <w:tcW w:w="823" w:type="pct"/>
            <w:shd w:val="clear" w:color="auto" w:fill="auto"/>
          </w:tcPr>
          <w:p w14:paraId="21E52998" w14:textId="36200505" w:rsidR="008772FC" w:rsidRPr="004E50E7" w:rsidRDefault="007E512D" w:rsidP="008E1D91">
            <w:pPr>
              <w:ind w:right="-720"/>
              <w:rPr>
                <w:rFonts w:ascii="Calibri" w:hAnsi="Calibri"/>
                <w:sz w:val="20"/>
              </w:rPr>
            </w:pPr>
            <w:r>
              <w:rPr>
                <w:rFonts w:ascii="Calibri" w:hAnsi="Calibri"/>
                <w:sz w:val="20"/>
              </w:rPr>
              <w:t>1,896/</w:t>
            </w:r>
            <w:r w:rsidR="008E1D91">
              <w:rPr>
                <w:rFonts w:ascii="Calibri" w:hAnsi="Calibri"/>
                <w:sz w:val="20"/>
              </w:rPr>
              <w:t>1,720</w:t>
            </w:r>
          </w:p>
        </w:tc>
        <w:tc>
          <w:tcPr>
            <w:tcW w:w="815" w:type="pct"/>
            <w:shd w:val="clear" w:color="auto" w:fill="auto"/>
          </w:tcPr>
          <w:p w14:paraId="6F796D2E" w14:textId="3DD1FB98" w:rsidR="008772FC" w:rsidRPr="004E50E7" w:rsidRDefault="007E512D" w:rsidP="008E1D91">
            <w:pPr>
              <w:ind w:right="-720"/>
              <w:rPr>
                <w:rFonts w:ascii="Calibri" w:hAnsi="Calibri"/>
                <w:sz w:val="20"/>
              </w:rPr>
            </w:pPr>
            <w:r>
              <w:rPr>
                <w:rFonts w:ascii="Calibri" w:hAnsi="Calibri"/>
                <w:sz w:val="20"/>
              </w:rPr>
              <w:t>17.6/</w:t>
            </w:r>
            <w:r w:rsidR="001B4BBA">
              <w:rPr>
                <w:rFonts w:ascii="Calibri" w:hAnsi="Calibri"/>
                <w:sz w:val="20"/>
              </w:rPr>
              <w:t>1</w:t>
            </w:r>
            <w:r w:rsidR="008E1D91">
              <w:rPr>
                <w:rFonts w:ascii="Calibri" w:hAnsi="Calibri"/>
                <w:sz w:val="20"/>
              </w:rPr>
              <w:t>5.3</w:t>
            </w:r>
          </w:p>
        </w:tc>
        <w:tc>
          <w:tcPr>
            <w:tcW w:w="882" w:type="pct"/>
          </w:tcPr>
          <w:p w14:paraId="205E6A0F" w14:textId="53355F68" w:rsidR="008772FC" w:rsidRPr="004E50E7" w:rsidRDefault="00314FA9" w:rsidP="008E1D91">
            <w:pPr>
              <w:ind w:right="-720"/>
              <w:rPr>
                <w:rFonts w:ascii="Calibri" w:hAnsi="Calibri"/>
                <w:sz w:val="20"/>
              </w:rPr>
            </w:pPr>
            <w:r>
              <w:rPr>
                <w:rFonts w:ascii="Calibri" w:hAnsi="Calibri"/>
                <w:sz w:val="20"/>
              </w:rPr>
              <w:t>13.</w:t>
            </w:r>
            <w:r w:rsidR="0000107D">
              <w:rPr>
                <w:rFonts w:ascii="Calibri" w:hAnsi="Calibri"/>
                <w:sz w:val="20"/>
              </w:rPr>
              <w:t>4</w:t>
            </w:r>
          </w:p>
        </w:tc>
        <w:tc>
          <w:tcPr>
            <w:tcW w:w="843" w:type="pct"/>
          </w:tcPr>
          <w:p w14:paraId="61178E19" w14:textId="2D6BD1F0" w:rsidR="008772FC" w:rsidRPr="004E50E7" w:rsidRDefault="00EB601D" w:rsidP="008E1D91">
            <w:pPr>
              <w:ind w:right="-720"/>
              <w:rPr>
                <w:rFonts w:ascii="Calibri" w:hAnsi="Calibri"/>
                <w:sz w:val="20"/>
              </w:rPr>
            </w:pPr>
            <w:r>
              <w:rPr>
                <w:rFonts w:ascii="Calibri" w:hAnsi="Calibri"/>
                <w:sz w:val="20"/>
              </w:rPr>
              <w:t>12.2</w:t>
            </w:r>
          </w:p>
        </w:tc>
      </w:tr>
      <w:tr w:rsidR="008772FC" w:rsidRPr="004E50E7" w14:paraId="7E04DE02" w14:textId="77777777" w:rsidTr="00456374">
        <w:tc>
          <w:tcPr>
            <w:tcW w:w="1637" w:type="pct"/>
          </w:tcPr>
          <w:p w14:paraId="7CD04F37" w14:textId="77777777" w:rsidR="008772FC" w:rsidRPr="004E50E7" w:rsidRDefault="008772FC" w:rsidP="008F2513">
            <w:pPr>
              <w:ind w:right="-720"/>
              <w:jc w:val="center"/>
              <w:rPr>
                <w:rFonts w:ascii="Calibri" w:hAnsi="Calibri"/>
                <w:sz w:val="20"/>
              </w:rPr>
            </w:pPr>
            <w:r w:rsidRPr="004E50E7">
              <w:rPr>
                <w:rFonts w:ascii="Calibri" w:hAnsi="Calibri"/>
                <w:sz w:val="20"/>
              </w:rPr>
              <w:t>8 Rooms</w:t>
            </w:r>
          </w:p>
        </w:tc>
        <w:tc>
          <w:tcPr>
            <w:tcW w:w="823" w:type="pct"/>
            <w:shd w:val="clear" w:color="auto" w:fill="auto"/>
          </w:tcPr>
          <w:p w14:paraId="5E7BF05B" w14:textId="0190EAD9" w:rsidR="008772FC" w:rsidRPr="004E50E7" w:rsidRDefault="007E512D" w:rsidP="008E1D91">
            <w:pPr>
              <w:ind w:right="-720"/>
              <w:rPr>
                <w:rFonts w:ascii="Calibri" w:hAnsi="Calibri"/>
                <w:sz w:val="20"/>
              </w:rPr>
            </w:pPr>
            <w:r>
              <w:rPr>
                <w:rFonts w:ascii="Calibri" w:hAnsi="Calibri"/>
                <w:sz w:val="20"/>
              </w:rPr>
              <w:t>1,827/</w:t>
            </w:r>
            <w:r w:rsidR="002851DD">
              <w:rPr>
                <w:rFonts w:ascii="Calibri" w:hAnsi="Calibri"/>
                <w:sz w:val="20"/>
              </w:rPr>
              <w:t>1,628</w:t>
            </w:r>
          </w:p>
        </w:tc>
        <w:tc>
          <w:tcPr>
            <w:tcW w:w="815" w:type="pct"/>
            <w:shd w:val="clear" w:color="auto" w:fill="auto"/>
          </w:tcPr>
          <w:p w14:paraId="53C0CB2B" w14:textId="29CFDC32" w:rsidR="008772FC" w:rsidRPr="004E50E7" w:rsidRDefault="007E512D" w:rsidP="008E1D91">
            <w:pPr>
              <w:ind w:right="-720"/>
              <w:rPr>
                <w:rFonts w:ascii="Calibri" w:hAnsi="Calibri"/>
                <w:sz w:val="20"/>
              </w:rPr>
            </w:pPr>
            <w:r>
              <w:rPr>
                <w:rFonts w:ascii="Calibri" w:hAnsi="Calibri"/>
                <w:sz w:val="20"/>
              </w:rPr>
              <w:t>16.9/</w:t>
            </w:r>
            <w:r w:rsidR="001B4BBA">
              <w:rPr>
                <w:rFonts w:ascii="Calibri" w:hAnsi="Calibri"/>
                <w:sz w:val="20"/>
              </w:rPr>
              <w:t>1</w:t>
            </w:r>
            <w:r w:rsidR="002851DD">
              <w:rPr>
                <w:rFonts w:ascii="Calibri" w:hAnsi="Calibri"/>
                <w:sz w:val="20"/>
              </w:rPr>
              <w:t>4.</w:t>
            </w:r>
            <w:r w:rsidR="001B4BBA">
              <w:rPr>
                <w:rFonts w:ascii="Calibri" w:hAnsi="Calibri"/>
                <w:sz w:val="20"/>
              </w:rPr>
              <w:t>5</w:t>
            </w:r>
          </w:p>
        </w:tc>
        <w:tc>
          <w:tcPr>
            <w:tcW w:w="882" w:type="pct"/>
          </w:tcPr>
          <w:p w14:paraId="263F10FB" w14:textId="49A19392" w:rsidR="008772FC" w:rsidRPr="004E50E7" w:rsidRDefault="00314FA9" w:rsidP="008E1D91">
            <w:pPr>
              <w:ind w:right="-720"/>
              <w:rPr>
                <w:rFonts w:ascii="Calibri" w:hAnsi="Calibri"/>
                <w:sz w:val="20"/>
              </w:rPr>
            </w:pPr>
            <w:r>
              <w:rPr>
                <w:rFonts w:ascii="Calibri" w:hAnsi="Calibri"/>
                <w:sz w:val="20"/>
              </w:rPr>
              <w:t>11.</w:t>
            </w:r>
            <w:r w:rsidR="0000107D">
              <w:rPr>
                <w:rFonts w:ascii="Calibri" w:hAnsi="Calibri"/>
                <w:sz w:val="20"/>
              </w:rPr>
              <w:t>7</w:t>
            </w:r>
          </w:p>
        </w:tc>
        <w:tc>
          <w:tcPr>
            <w:tcW w:w="843" w:type="pct"/>
          </w:tcPr>
          <w:p w14:paraId="5C7B3749" w14:textId="38480BFD" w:rsidR="008772FC" w:rsidRPr="004E50E7" w:rsidRDefault="00EB601D" w:rsidP="008E1D91">
            <w:pPr>
              <w:ind w:right="-720"/>
              <w:rPr>
                <w:rFonts w:ascii="Calibri" w:hAnsi="Calibri"/>
                <w:sz w:val="20"/>
              </w:rPr>
            </w:pPr>
            <w:r>
              <w:rPr>
                <w:rFonts w:ascii="Calibri" w:hAnsi="Calibri"/>
                <w:sz w:val="20"/>
              </w:rPr>
              <w:t>9.3</w:t>
            </w:r>
          </w:p>
        </w:tc>
      </w:tr>
      <w:tr w:rsidR="008772FC" w:rsidRPr="004E50E7" w14:paraId="67BCD86A" w14:textId="77777777" w:rsidTr="00456374">
        <w:tc>
          <w:tcPr>
            <w:tcW w:w="1637" w:type="pct"/>
          </w:tcPr>
          <w:p w14:paraId="1BC5E18C" w14:textId="77777777" w:rsidR="008772FC" w:rsidRPr="004E50E7" w:rsidRDefault="008772FC" w:rsidP="008F2513">
            <w:pPr>
              <w:ind w:right="-720"/>
              <w:jc w:val="center"/>
              <w:rPr>
                <w:rFonts w:ascii="Calibri" w:hAnsi="Calibri"/>
                <w:sz w:val="20"/>
              </w:rPr>
            </w:pPr>
            <w:r w:rsidRPr="004E50E7">
              <w:rPr>
                <w:rFonts w:ascii="Calibri" w:hAnsi="Calibri"/>
                <w:sz w:val="20"/>
              </w:rPr>
              <w:t>9 or More Rooms</w:t>
            </w:r>
          </w:p>
        </w:tc>
        <w:tc>
          <w:tcPr>
            <w:tcW w:w="823" w:type="pct"/>
            <w:shd w:val="clear" w:color="auto" w:fill="auto"/>
          </w:tcPr>
          <w:p w14:paraId="116A8437" w14:textId="23901D45" w:rsidR="008772FC" w:rsidRPr="004E50E7" w:rsidRDefault="007E512D" w:rsidP="008E1D91">
            <w:pPr>
              <w:ind w:right="-720"/>
              <w:rPr>
                <w:rFonts w:ascii="Calibri" w:hAnsi="Calibri"/>
                <w:sz w:val="20"/>
              </w:rPr>
            </w:pPr>
            <w:r>
              <w:rPr>
                <w:rFonts w:ascii="Calibri" w:hAnsi="Calibri"/>
                <w:sz w:val="20"/>
              </w:rPr>
              <w:t>2,835/</w:t>
            </w:r>
            <w:r w:rsidR="002851DD">
              <w:rPr>
                <w:rFonts w:ascii="Calibri" w:hAnsi="Calibri"/>
                <w:sz w:val="20"/>
              </w:rPr>
              <w:t>4,030</w:t>
            </w:r>
          </w:p>
        </w:tc>
        <w:tc>
          <w:tcPr>
            <w:tcW w:w="815" w:type="pct"/>
            <w:shd w:val="clear" w:color="auto" w:fill="auto"/>
          </w:tcPr>
          <w:p w14:paraId="3E5EE8FA" w14:textId="5DB77117" w:rsidR="008772FC" w:rsidRPr="004E50E7" w:rsidRDefault="007E512D" w:rsidP="008E1D91">
            <w:pPr>
              <w:ind w:right="-720"/>
              <w:rPr>
                <w:rFonts w:ascii="Calibri" w:hAnsi="Calibri"/>
                <w:sz w:val="20"/>
              </w:rPr>
            </w:pPr>
            <w:r>
              <w:rPr>
                <w:rFonts w:ascii="Calibri" w:hAnsi="Calibri"/>
                <w:sz w:val="20"/>
              </w:rPr>
              <w:t>26.3/</w:t>
            </w:r>
            <w:r w:rsidR="002851DD">
              <w:rPr>
                <w:rFonts w:ascii="Calibri" w:hAnsi="Calibri"/>
                <w:sz w:val="20"/>
              </w:rPr>
              <w:t>35.9</w:t>
            </w:r>
          </w:p>
        </w:tc>
        <w:tc>
          <w:tcPr>
            <w:tcW w:w="882" w:type="pct"/>
          </w:tcPr>
          <w:p w14:paraId="5A1CA519" w14:textId="0C2E619F" w:rsidR="008772FC" w:rsidRPr="004E50E7" w:rsidRDefault="00314FA9" w:rsidP="008E1D91">
            <w:pPr>
              <w:ind w:right="-720"/>
              <w:rPr>
                <w:rFonts w:ascii="Calibri" w:hAnsi="Calibri"/>
                <w:sz w:val="20"/>
              </w:rPr>
            </w:pPr>
            <w:r>
              <w:rPr>
                <w:rFonts w:ascii="Calibri" w:hAnsi="Calibri"/>
                <w:sz w:val="20"/>
              </w:rPr>
              <w:t>16.5</w:t>
            </w:r>
          </w:p>
        </w:tc>
        <w:tc>
          <w:tcPr>
            <w:tcW w:w="843" w:type="pct"/>
          </w:tcPr>
          <w:p w14:paraId="17F6879A" w14:textId="238899D8" w:rsidR="008772FC" w:rsidRPr="004E50E7" w:rsidRDefault="002B2C25" w:rsidP="008E1D91">
            <w:pPr>
              <w:ind w:right="-720"/>
              <w:rPr>
                <w:rFonts w:ascii="Calibri" w:hAnsi="Calibri"/>
                <w:sz w:val="20"/>
              </w:rPr>
            </w:pPr>
            <w:r>
              <w:rPr>
                <w:rFonts w:ascii="Calibri" w:hAnsi="Calibri"/>
                <w:sz w:val="20"/>
              </w:rPr>
              <w:t>12.0</w:t>
            </w:r>
          </w:p>
        </w:tc>
      </w:tr>
      <w:tr w:rsidR="008772FC" w:rsidRPr="004E50E7" w14:paraId="10D3614D" w14:textId="77777777" w:rsidTr="00456374">
        <w:tc>
          <w:tcPr>
            <w:tcW w:w="1637" w:type="pct"/>
          </w:tcPr>
          <w:p w14:paraId="52C7408F" w14:textId="77777777" w:rsidR="008772FC" w:rsidRPr="004E50E7" w:rsidRDefault="008772FC" w:rsidP="008F2513">
            <w:pPr>
              <w:ind w:right="-720"/>
              <w:jc w:val="center"/>
              <w:rPr>
                <w:rFonts w:ascii="Calibri" w:hAnsi="Calibri"/>
                <w:sz w:val="20"/>
              </w:rPr>
            </w:pPr>
            <w:r w:rsidRPr="004E50E7">
              <w:rPr>
                <w:rFonts w:ascii="Calibri" w:hAnsi="Calibri"/>
                <w:sz w:val="20"/>
              </w:rPr>
              <w:t xml:space="preserve">Total </w:t>
            </w:r>
          </w:p>
        </w:tc>
        <w:tc>
          <w:tcPr>
            <w:tcW w:w="823" w:type="pct"/>
            <w:shd w:val="clear" w:color="auto" w:fill="auto"/>
          </w:tcPr>
          <w:p w14:paraId="410496ED" w14:textId="793924CD" w:rsidR="008772FC" w:rsidRPr="004E50E7" w:rsidRDefault="007E512D" w:rsidP="008E1D91">
            <w:pPr>
              <w:ind w:right="-720"/>
              <w:rPr>
                <w:rFonts w:ascii="Calibri" w:hAnsi="Calibri"/>
                <w:sz w:val="20"/>
              </w:rPr>
            </w:pPr>
            <w:r>
              <w:rPr>
                <w:rFonts w:ascii="Calibri" w:hAnsi="Calibri"/>
                <w:sz w:val="20"/>
              </w:rPr>
              <w:t>10,781/</w:t>
            </w:r>
            <w:r w:rsidR="001B4BBA">
              <w:rPr>
                <w:rFonts w:ascii="Calibri" w:hAnsi="Calibri"/>
                <w:sz w:val="20"/>
              </w:rPr>
              <w:t>11,</w:t>
            </w:r>
            <w:r w:rsidR="0000107D">
              <w:rPr>
                <w:rFonts w:ascii="Calibri" w:hAnsi="Calibri"/>
                <w:sz w:val="20"/>
              </w:rPr>
              <w:t>211</w:t>
            </w:r>
          </w:p>
        </w:tc>
        <w:tc>
          <w:tcPr>
            <w:tcW w:w="815" w:type="pct"/>
            <w:shd w:val="clear" w:color="auto" w:fill="auto"/>
          </w:tcPr>
          <w:p w14:paraId="681EC7EE" w14:textId="13A25B3D" w:rsidR="008772FC" w:rsidRPr="004E50E7" w:rsidRDefault="001B4BBA" w:rsidP="008E1D91">
            <w:pPr>
              <w:ind w:right="-720"/>
              <w:rPr>
                <w:rFonts w:ascii="Calibri" w:hAnsi="Calibri"/>
                <w:sz w:val="20"/>
              </w:rPr>
            </w:pPr>
            <w:r>
              <w:rPr>
                <w:rFonts w:ascii="Calibri" w:hAnsi="Calibri"/>
                <w:sz w:val="20"/>
              </w:rPr>
              <w:t>100.0</w:t>
            </w:r>
          </w:p>
        </w:tc>
        <w:tc>
          <w:tcPr>
            <w:tcW w:w="882" w:type="pct"/>
          </w:tcPr>
          <w:p w14:paraId="7FE8DA63" w14:textId="061C1F75" w:rsidR="008772FC" w:rsidRPr="004E50E7" w:rsidRDefault="00314FA9" w:rsidP="008E1D91">
            <w:pPr>
              <w:ind w:right="-720"/>
              <w:rPr>
                <w:rFonts w:ascii="Calibri" w:hAnsi="Calibri"/>
                <w:sz w:val="20"/>
              </w:rPr>
            </w:pPr>
            <w:r>
              <w:rPr>
                <w:rFonts w:ascii="Calibri" w:hAnsi="Calibri"/>
                <w:sz w:val="20"/>
              </w:rPr>
              <w:t>100.0</w:t>
            </w:r>
          </w:p>
        </w:tc>
        <w:tc>
          <w:tcPr>
            <w:tcW w:w="843" w:type="pct"/>
          </w:tcPr>
          <w:p w14:paraId="230EFB82" w14:textId="1E84DCD0" w:rsidR="008772FC" w:rsidRPr="004E50E7" w:rsidRDefault="00EB601D" w:rsidP="008E1D91">
            <w:pPr>
              <w:ind w:right="-720"/>
              <w:rPr>
                <w:rFonts w:ascii="Calibri" w:hAnsi="Calibri"/>
                <w:sz w:val="20"/>
              </w:rPr>
            </w:pPr>
            <w:r>
              <w:rPr>
                <w:rFonts w:ascii="Calibri" w:hAnsi="Calibri"/>
                <w:sz w:val="20"/>
              </w:rPr>
              <w:t>100.0</w:t>
            </w:r>
          </w:p>
        </w:tc>
      </w:tr>
      <w:tr w:rsidR="008772FC" w:rsidRPr="004E50E7" w14:paraId="215E7028" w14:textId="77777777" w:rsidTr="00456374">
        <w:trPr>
          <w:cantSplit/>
        </w:trPr>
        <w:tc>
          <w:tcPr>
            <w:tcW w:w="1637" w:type="pct"/>
          </w:tcPr>
          <w:p w14:paraId="18488DDC" w14:textId="77777777" w:rsidR="008772FC" w:rsidRPr="004E50E7" w:rsidRDefault="008772FC" w:rsidP="008F2513">
            <w:pPr>
              <w:ind w:right="-720"/>
              <w:jc w:val="center"/>
              <w:rPr>
                <w:rFonts w:ascii="Calibri" w:hAnsi="Calibri"/>
                <w:sz w:val="20"/>
              </w:rPr>
            </w:pPr>
            <w:r w:rsidRPr="004E50E7">
              <w:rPr>
                <w:rFonts w:ascii="Calibri" w:hAnsi="Calibri"/>
                <w:sz w:val="20"/>
              </w:rPr>
              <w:t>Median (Rooms)</w:t>
            </w:r>
          </w:p>
        </w:tc>
        <w:tc>
          <w:tcPr>
            <w:tcW w:w="1638" w:type="pct"/>
            <w:gridSpan w:val="2"/>
            <w:shd w:val="clear" w:color="auto" w:fill="auto"/>
          </w:tcPr>
          <w:p w14:paraId="3276DDF4" w14:textId="2AFCAD6A" w:rsidR="008772FC" w:rsidRPr="004E50E7" w:rsidRDefault="007E512D" w:rsidP="008E1D91">
            <w:pPr>
              <w:ind w:right="-720"/>
              <w:rPr>
                <w:rFonts w:ascii="Calibri" w:hAnsi="Calibri"/>
                <w:sz w:val="20"/>
              </w:rPr>
            </w:pPr>
            <w:r>
              <w:rPr>
                <w:rFonts w:ascii="Calibri" w:hAnsi="Calibri"/>
                <w:sz w:val="20"/>
              </w:rPr>
              <w:t>7.1/</w:t>
            </w:r>
            <w:r w:rsidR="001B4BBA">
              <w:rPr>
                <w:rFonts w:ascii="Calibri" w:hAnsi="Calibri"/>
                <w:sz w:val="20"/>
              </w:rPr>
              <w:t>7.5 rooms</w:t>
            </w:r>
          </w:p>
        </w:tc>
        <w:tc>
          <w:tcPr>
            <w:tcW w:w="882" w:type="pct"/>
          </w:tcPr>
          <w:p w14:paraId="152DB9DA" w14:textId="6157F932" w:rsidR="008772FC" w:rsidRPr="004E50E7" w:rsidRDefault="0000107D" w:rsidP="008E1D91">
            <w:pPr>
              <w:ind w:right="-720"/>
              <w:rPr>
                <w:rFonts w:ascii="Calibri" w:hAnsi="Calibri"/>
                <w:sz w:val="20"/>
              </w:rPr>
            </w:pPr>
            <w:r>
              <w:rPr>
                <w:rFonts w:ascii="Calibri" w:hAnsi="Calibri"/>
                <w:sz w:val="20"/>
              </w:rPr>
              <w:t>6.0</w:t>
            </w:r>
            <w:r w:rsidR="00EB601D">
              <w:rPr>
                <w:rFonts w:ascii="Calibri" w:hAnsi="Calibri"/>
                <w:sz w:val="20"/>
              </w:rPr>
              <w:t xml:space="preserve"> rooms</w:t>
            </w:r>
          </w:p>
        </w:tc>
        <w:tc>
          <w:tcPr>
            <w:tcW w:w="843" w:type="pct"/>
          </w:tcPr>
          <w:p w14:paraId="163F9C5E" w14:textId="37E6D78E" w:rsidR="008772FC" w:rsidRPr="004E50E7" w:rsidRDefault="00EB601D" w:rsidP="008E1D91">
            <w:pPr>
              <w:ind w:right="-720"/>
              <w:rPr>
                <w:rFonts w:ascii="Calibri" w:hAnsi="Calibri"/>
                <w:sz w:val="20"/>
              </w:rPr>
            </w:pPr>
            <w:r>
              <w:rPr>
                <w:rFonts w:ascii="Calibri" w:hAnsi="Calibri"/>
                <w:sz w:val="20"/>
              </w:rPr>
              <w:t>5.5 rooms</w:t>
            </w:r>
          </w:p>
        </w:tc>
      </w:tr>
    </w:tbl>
    <w:p w14:paraId="3F01763D" w14:textId="76032600" w:rsidR="00456374" w:rsidRDefault="008772FC" w:rsidP="008772FC">
      <w:pPr>
        <w:pStyle w:val="FootnoteText"/>
        <w:rPr>
          <w:rFonts w:ascii="Calibri" w:hAnsi="Calibri"/>
          <w:szCs w:val="24"/>
        </w:rPr>
      </w:pPr>
      <w:r w:rsidRPr="004E50E7">
        <w:rPr>
          <w:rFonts w:ascii="Calibri" w:hAnsi="Calibri"/>
          <w:szCs w:val="24"/>
        </w:rPr>
        <w:t>Source:  U.S. Census Bureau, American Community Survey</w:t>
      </w:r>
      <w:r>
        <w:rPr>
          <w:rFonts w:ascii="Calibri" w:hAnsi="Calibri"/>
          <w:szCs w:val="24"/>
        </w:rPr>
        <w:t xml:space="preserve"> </w:t>
      </w:r>
      <w:r w:rsidR="00456374">
        <w:rPr>
          <w:rFonts w:ascii="Calibri" w:hAnsi="Calibri"/>
          <w:szCs w:val="24"/>
        </w:rPr>
        <w:t>201</w:t>
      </w:r>
      <w:r w:rsidR="000F1084">
        <w:rPr>
          <w:rFonts w:ascii="Calibri" w:hAnsi="Calibri"/>
          <w:szCs w:val="24"/>
        </w:rPr>
        <w:t>6</w:t>
      </w:r>
      <w:r w:rsidR="00456374">
        <w:rPr>
          <w:rFonts w:ascii="Calibri" w:hAnsi="Calibri"/>
          <w:szCs w:val="24"/>
        </w:rPr>
        <w:t>-20</w:t>
      </w:r>
      <w:r w:rsidR="000F1084">
        <w:rPr>
          <w:rFonts w:ascii="Calibri" w:hAnsi="Calibri"/>
          <w:szCs w:val="24"/>
        </w:rPr>
        <w:t>20</w:t>
      </w:r>
      <w:r w:rsidR="00456374">
        <w:rPr>
          <w:rFonts w:ascii="Calibri" w:hAnsi="Calibri"/>
          <w:szCs w:val="24"/>
        </w:rPr>
        <w:t xml:space="preserve"> 5-Year Estimates.</w:t>
      </w:r>
    </w:p>
    <w:p w14:paraId="38F38433" w14:textId="77777777" w:rsidR="003921BF" w:rsidRDefault="003921BF" w:rsidP="00A90103">
      <w:pPr>
        <w:pStyle w:val="FootnoteText"/>
        <w:rPr>
          <w:rFonts w:ascii="Calibri" w:hAnsi="Calibri"/>
          <w:sz w:val="24"/>
          <w:szCs w:val="24"/>
        </w:rPr>
      </w:pPr>
    </w:p>
    <w:p w14:paraId="179D2D85" w14:textId="0944D9B0" w:rsidR="00C51928" w:rsidRPr="00670A12" w:rsidRDefault="00244F1E" w:rsidP="00C51928">
      <w:pPr>
        <w:pStyle w:val="BodyText"/>
        <w:spacing w:after="0"/>
        <w:jc w:val="both"/>
        <w:rPr>
          <w:rFonts w:ascii="Calibri" w:hAnsi="Calibri"/>
          <w:b/>
          <w:bCs/>
          <w:sz w:val="22"/>
          <w:szCs w:val="22"/>
        </w:rPr>
      </w:pPr>
      <w:r w:rsidRPr="00670A12">
        <w:rPr>
          <w:rFonts w:ascii="Calibri" w:hAnsi="Calibri"/>
          <w:b/>
          <w:bCs/>
          <w:sz w:val="22"/>
          <w:szCs w:val="22"/>
        </w:rPr>
        <w:t xml:space="preserve">Certainly, the demolition of smaller homes and replacement with much larger units explains some of these shifts </w:t>
      </w:r>
      <w:r w:rsidR="00270B57">
        <w:rPr>
          <w:rFonts w:ascii="Calibri" w:hAnsi="Calibri"/>
          <w:b/>
          <w:bCs/>
          <w:sz w:val="22"/>
          <w:szCs w:val="22"/>
        </w:rPr>
        <w:t xml:space="preserve">towards larger units </w:t>
      </w:r>
      <w:r w:rsidRPr="00670A12">
        <w:rPr>
          <w:rFonts w:ascii="Calibri" w:hAnsi="Calibri"/>
          <w:b/>
          <w:bCs/>
          <w:sz w:val="22"/>
          <w:szCs w:val="22"/>
        </w:rPr>
        <w:t>although other market dynamics are also at play</w:t>
      </w:r>
      <w:r w:rsidR="004C74DE" w:rsidRPr="00670A12">
        <w:rPr>
          <w:rFonts w:ascii="Calibri" w:hAnsi="Calibri"/>
          <w:b/>
          <w:bCs/>
          <w:sz w:val="22"/>
          <w:szCs w:val="22"/>
        </w:rPr>
        <w:t>.  The regional, and in many cases national,</w:t>
      </w:r>
      <w:r w:rsidRPr="00670A12">
        <w:rPr>
          <w:rFonts w:ascii="Calibri" w:hAnsi="Calibri"/>
          <w:b/>
          <w:bCs/>
          <w:sz w:val="22"/>
          <w:szCs w:val="22"/>
        </w:rPr>
        <w:t xml:space="preserve"> imbalance between housing supply and demand drives up property values</w:t>
      </w:r>
      <w:r w:rsidR="004C74DE" w:rsidRPr="00670A12">
        <w:rPr>
          <w:rFonts w:ascii="Calibri" w:hAnsi="Calibri"/>
          <w:b/>
          <w:bCs/>
          <w:sz w:val="22"/>
          <w:szCs w:val="22"/>
        </w:rPr>
        <w:t>, particularly land costs</w:t>
      </w:r>
      <w:r w:rsidR="00C015D9" w:rsidRPr="00670A12">
        <w:rPr>
          <w:rFonts w:ascii="Calibri" w:hAnsi="Calibri"/>
          <w:b/>
          <w:bCs/>
          <w:sz w:val="22"/>
          <w:szCs w:val="22"/>
        </w:rPr>
        <w:t>, and the pandemic has caused increases in construction costs</w:t>
      </w:r>
      <w:r w:rsidR="004C74DE" w:rsidRPr="00670A12">
        <w:rPr>
          <w:rFonts w:ascii="Calibri" w:hAnsi="Calibri"/>
          <w:b/>
          <w:bCs/>
          <w:sz w:val="22"/>
          <w:szCs w:val="22"/>
        </w:rPr>
        <w:t>.</w:t>
      </w:r>
      <w:r w:rsidRPr="00670A12">
        <w:rPr>
          <w:rFonts w:ascii="Calibri" w:hAnsi="Calibri"/>
          <w:b/>
          <w:bCs/>
          <w:sz w:val="22"/>
          <w:szCs w:val="22"/>
        </w:rPr>
        <w:t xml:space="preserve"> </w:t>
      </w:r>
      <w:r w:rsidR="00C015D9" w:rsidRPr="00670A12">
        <w:rPr>
          <w:rFonts w:ascii="Calibri" w:hAnsi="Calibri"/>
          <w:b/>
          <w:bCs/>
          <w:sz w:val="22"/>
          <w:szCs w:val="22"/>
        </w:rPr>
        <w:t>Such costs</w:t>
      </w:r>
      <w:r w:rsidRPr="00670A12">
        <w:rPr>
          <w:rFonts w:ascii="Calibri" w:hAnsi="Calibri"/>
          <w:b/>
          <w:bCs/>
          <w:sz w:val="22"/>
          <w:szCs w:val="22"/>
        </w:rPr>
        <w:t xml:space="preserve"> in turn compel developers to build </w:t>
      </w:r>
      <w:r w:rsidR="00C015D9" w:rsidRPr="00670A12">
        <w:rPr>
          <w:rFonts w:ascii="Calibri" w:hAnsi="Calibri"/>
          <w:b/>
          <w:bCs/>
          <w:sz w:val="22"/>
          <w:szCs w:val="22"/>
        </w:rPr>
        <w:t xml:space="preserve">larger homes at very high sales prices to </w:t>
      </w:r>
      <w:r w:rsidR="00670A12" w:rsidRPr="00670A12">
        <w:rPr>
          <w:rFonts w:ascii="Calibri" w:hAnsi="Calibri"/>
          <w:b/>
          <w:bCs/>
          <w:sz w:val="22"/>
          <w:szCs w:val="22"/>
        </w:rPr>
        <w:t>c</w:t>
      </w:r>
      <w:r w:rsidR="00C015D9" w:rsidRPr="00670A12">
        <w:rPr>
          <w:rFonts w:ascii="Calibri" w:hAnsi="Calibri"/>
          <w:b/>
          <w:bCs/>
          <w:sz w:val="22"/>
          <w:szCs w:val="22"/>
        </w:rPr>
        <w:t>o</w:t>
      </w:r>
      <w:r w:rsidR="00670A12" w:rsidRPr="00670A12">
        <w:rPr>
          <w:rFonts w:ascii="Calibri" w:hAnsi="Calibri"/>
          <w:b/>
          <w:bCs/>
          <w:sz w:val="22"/>
          <w:szCs w:val="22"/>
        </w:rPr>
        <w:t>v</w:t>
      </w:r>
      <w:r w:rsidR="00C015D9" w:rsidRPr="00670A12">
        <w:rPr>
          <w:rFonts w:ascii="Calibri" w:hAnsi="Calibri"/>
          <w:b/>
          <w:bCs/>
          <w:sz w:val="22"/>
          <w:szCs w:val="22"/>
        </w:rPr>
        <w:t>er their investment and</w:t>
      </w:r>
      <w:r w:rsidR="00670A12" w:rsidRPr="00670A12">
        <w:rPr>
          <w:rFonts w:ascii="Calibri" w:hAnsi="Calibri"/>
          <w:b/>
          <w:bCs/>
          <w:sz w:val="22"/>
          <w:szCs w:val="22"/>
        </w:rPr>
        <w:t xml:space="preserve"> deliver a </w:t>
      </w:r>
      <w:r w:rsidR="00C51928" w:rsidRPr="00670A12">
        <w:rPr>
          <w:rFonts w:ascii="Calibri" w:hAnsi="Calibri"/>
          <w:b/>
          <w:bCs/>
          <w:sz w:val="22"/>
          <w:szCs w:val="22"/>
        </w:rPr>
        <w:t xml:space="preserve">profit when zoning limits the number of units that can be created.  </w:t>
      </w:r>
      <w:r w:rsidR="00DF7999">
        <w:rPr>
          <w:rFonts w:ascii="Calibri" w:hAnsi="Calibri"/>
          <w:b/>
          <w:bCs/>
          <w:sz w:val="22"/>
          <w:szCs w:val="22"/>
        </w:rPr>
        <w:t>E</w:t>
      </w:r>
      <w:r w:rsidR="00C51928" w:rsidRPr="00670A12">
        <w:rPr>
          <w:rFonts w:ascii="Calibri" w:hAnsi="Calibri"/>
          <w:b/>
          <w:bCs/>
          <w:sz w:val="22"/>
          <w:szCs w:val="22"/>
        </w:rPr>
        <w:t xml:space="preserve">scalating market </w:t>
      </w:r>
      <w:r w:rsidR="00C51928">
        <w:rPr>
          <w:rFonts w:ascii="Calibri" w:hAnsi="Calibri"/>
          <w:b/>
          <w:bCs/>
          <w:sz w:val="22"/>
          <w:szCs w:val="22"/>
        </w:rPr>
        <w:t>price</w:t>
      </w:r>
      <w:r w:rsidR="00DF7999">
        <w:rPr>
          <w:rFonts w:ascii="Calibri" w:hAnsi="Calibri"/>
          <w:b/>
          <w:bCs/>
          <w:sz w:val="22"/>
          <w:szCs w:val="22"/>
        </w:rPr>
        <w:t>s have</w:t>
      </w:r>
      <w:r w:rsidR="00C51928" w:rsidRPr="00670A12">
        <w:rPr>
          <w:rFonts w:ascii="Calibri" w:hAnsi="Calibri"/>
          <w:b/>
          <w:bCs/>
          <w:sz w:val="22"/>
          <w:szCs w:val="22"/>
        </w:rPr>
        <w:t xml:space="preserve"> been further fueled by low mortgage interest rates.  Consequently, Needham has experienced a housing market where very large and expensive homes set the bar for real estate expectations.</w:t>
      </w:r>
    </w:p>
    <w:p w14:paraId="4807F711" w14:textId="749E3218" w:rsidR="002132B6" w:rsidRDefault="002132B6" w:rsidP="00A90103">
      <w:pPr>
        <w:pStyle w:val="FootnoteText"/>
        <w:rPr>
          <w:rFonts w:ascii="Calibri" w:hAnsi="Calibri"/>
          <w:sz w:val="24"/>
          <w:szCs w:val="24"/>
        </w:rPr>
      </w:pPr>
    </w:p>
    <w:p w14:paraId="4B07A8EC" w14:textId="77777777" w:rsidR="008772FC" w:rsidRPr="00851077" w:rsidRDefault="008772FC" w:rsidP="00A90103">
      <w:pPr>
        <w:pStyle w:val="FootnoteText"/>
        <w:rPr>
          <w:rFonts w:ascii="Calibri" w:hAnsi="Calibri"/>
          <w:b/>
          <w:bCs/>
          <w:color w:val="1F497D" w:themeColor="text2"/>
          <w:sz w:val="24"/>
          <w:szCs w:val="24"/>
        </w:rPr>
      </w:pPr>
      <w:r w:rsidRPr="00851077">
        <w:rPr>
          <w:rFonts w:ascii="Calibri" w:hAnsi="Calibri"/>
          <w:b/>
          <w:bCs/>
          <w:color w:val="1F497D" w:themeColor="text2"/>
          <w:sz w:val="24"/>
          <w:szCs w:val="24"/>
        </w:rPr>
        <w:t>4.</w:t>
      </w:r>
      <w:r w:rsidRPr="00851077">
        <w:rPr>
          <w:rFonts w:ascii="Calibri" w:hAnsi="Calibri"/>
          <w:b/>
          <w:bCs/>
          <w:color w:val="1F497D" w:themeColor="text2"/>
          <w:sz w:val="24"/>
          <w:szCs w:val="24"/>
        </w:rPr>
        <w:tab/>
        <w:t>Housing Values – Extremely high</w:t>
      </w:r>
      <w:r w:rsidR="007A335B">
        <w:rPr>
          <w:rFonts w:ascii="Calibri" w:hAnsi="Calibri"/>
          <w:b/>
          <w:bCs/>
          <w:color w:val="1F497D" w:themeColor="text2"/>
          <w:sz w:val="24"/>
          <w:szCs w:val="24"/>
        </w:rPr>
        <w:t xml:space="preserve"> and rising</w:t>
      </w:r>
      <w:r w:rsidRPr="00851077">
        <w:rPr>
          <w:rFonts w:ascii="Calibri" w:hAnsi="Calibri"/>
          <w:b/>
          <w:bCs/>
          <w:color w:val="1F497D" w:themeColor="text2"/>
          <w:sz w:val="24"/>
          <w:szCs w:val="24"/>
        </w:rPr>
        <w:t xml:space="preserve"> housing costs</w:t>
      </w:r>
    </w:p>
    <w:p w14:paraId="7FE84C62" w14:textId="5DE12F7A" w:rsidR="008772FC" w:rsidRPr="008339A5" w:rsidRDefault="008772FC" w:rsidP="008E5934">
      <w:pPr>
        <w:pStyle w:val="Heading9"/>
        <w:spacing w:before="0"/>
        <w:jc w:val="both"/>
        <w:rPr>
          <w:rFonts w:ascii="Calibri" w:hAnsi="Calibri"/>
          <w:bCs/>
          <w:i w:val="0"/>
          <w:sz w:val="22"/>
          <w:szCs w:val="22"/>
        </w:rPr>
      </w:pPr>
      <w:r w:rsidRPr="008339A5">
        <w:rPr>
          <w:rFonts w:ascii="Calibri" w:hAnsi="Calibri"/>
          <w:bCs/>
          <w:i w:val="0"/>
          <w:sz w:val="22"/>
          <w:szCs w:val="22"/>
        </w:rPr>
        <w:t xml:space="preserve">The following analysis of the housing market </w:t>
      </w:r>
      <w:r w:rsidR="00DB4213">
        <w:rPr>
          <w:rFonts w:ascii="Calibri" w:hAnsi="Calibri"/>
          <w:bCs/>
          <w:i w:val="0"/>
          <w:sz w:val="22"/>
          <w:szCs w:val="22"/>
        </w:rPr>
        <w:t>examines</w:t>
      </w:r>
      <w:r w:rsidRPr="008339A5">
        <w:rPr>
          <w:rFonts w:ascii="Calibri" w:hAnsi="Calibri"/>
          <w:bCs/>
          <w:i w:val="0"/>
          <w:sz w:val="22"/>
          <w:szCs w:val="22"/>
        </w:rPr>
        <w:t xml:space="preserve"> values of homeownership and rental housing from a number of data sources including:</w:t>
      </w:r>
    </w:p>
    <w:p w14:paraId="0DC745F6" w14:textId="77777777" w:rsidR="008772FC" w:rsidRPr="004E50E7" w:rsidRDefault="008772FC" w:rsidP="008E5934">
      <w:pPr>
        <w:jc w:val="both"/>
      </w:pPr>
    </w:p>
    <w:p w14:paraId="30D3B9AC" w14:textId="4FDF2FE6" w:rsidR="008772FC" w:rsidRPr="004E50E7" w:rsidRDefault="008772FC" w:rsidP="008E5934">
      <w:pPr>
        <w:tabs>
          <w:tab w:val="num" w:pos="720"/>
        </w:tabs>
        <w:ind w:left="720" w:hanging="360"/>
        <w:jc w:val="both"/>
        <w:rPr>
          <w:rFonts w:ascii="Calibri" w:hAnsi="Calibri"/>
          <w:sz w:val="22"/>
        </w:rPr>
      </w:pPr>
      <w:r w:rsidRPr="004E50E7">
        <w:rPr>
          <w:rFonts w:ascii="Calibri" w:hAnsi="Calibri"/>
          <w:sz w:val="22"/>
        </w:rPr>
        <w:t>The 1990, 2000</w:t>
      </w:r>
      <w:r w:rsidR="00670A12">
        <w:rPr>
          <w:rFonts w:ascii="Calibri" w:hAnsi="Calibri"/>
          <w:sz w:val="22"/>
        </w:rPr>
        <w:t>,</w:t>
      </w:r>
      <w:r w:rsidRPr="004E50E7">
        <w:rPr>
          <w:rFonts w:ascii="Calibri" w:hAnsi="Calibri"/>
          <w:sz w:val="22"/>
        </w:rPr>
        <w:t xml:space="preserve"> 2010</w:t>
      </w:r>
      <w:r w:rsidR="00670A12">
        <w:rPr>
          <w:rFonts w:ascii="Calibri" w:hAnsi="Calibri"/>
          <w:sz w:val="22"/>
        </w:rPr>
        <w:t xml:space="preserve"> and 2020</w:t>
      </w:r>
      <w:r w:rsidRPr="004E50E7">
        <w:rPr>
          <w:rFonts w:ascii="Calibri" w:hAnsi="Calibri"/>
          <w:sz w:val="22"/>
        </w:rPr>
        <w:t xml:space="preserve"> Decennial U.S. Census figures</w:t>
      </w:r>
    </w:p>
    <w:p w14:paraId="4586C404" w14:textId="2467B57B" w:rsidR="008772FC" w:rsidRPr="004E50E7" w:rsidRDefault="008772FC" w:rsidP="008E5934">
      <w:pPr>
        <w:tabs>
          <w:tab w:val="num" w:pos="720"/>
        </w:tabs>
        <w:ind w:left="720" w:hanging="360"/>
        <w:jc w:val="both"/>
        <w:rPr>
          <w:rFonts w:ascii="Calibri" w:hAnsi="Calibri"/>
          <w:sz w:val="22"/>
        </w:rPr>
      </w:pPr>
      <w:r w:rsidRPr="004E50E7">
        <w:rPr>
          <w:rFonts w:ascii="Calibri" w:hAnsi="Calibri"/>
          <w:sz w:val="22"/>
        </w:rPr>
        <w:t xml:space="preserve">The U.S. Census Bureau’s </w:t>
      </w:r>
      <w:r w:rsidR="00615DA4">
        <w:rPr>
          <w:rFonts w:ascii="Calibri" w:hAnsi="Calibri"/>
          <w:sz w:val="22"/>
        </w:rPr>
        <w:t>2006-2010 and 201</w:t>
      </w:r>
      <w:r w:rsidR="002851DD">
        <w:rPr>
          <w:rFonts w:ascii="Calibri" w:hAnsi="Calibri"/>
          <w:sz w:val="22"/>
        </w:rPr>
        <w:t>6</w:t>
      </w:r>
      <w:r w:rsidR="00615DA4">
        <w:rPr>
          <w:rFonts w:ascii="Calibri" w:hAnsi="Calibri"/>
          <w:sz w:val="22"/>
        </w:rPr>
        <w:t>-20</w:t>
      </w:r>
      <w:r w:rsidR="002851DD">
        <w:rPr>
          <w:rFonts w:ascii="Calibri" w:hAnsi="Calibri"/>
          <w:sz w:val="22"/>
        </w:rPr>
        <w:t>20</w:t>
      </w:r>
      <w:r w:rsidRPr="004E50E7">
        <w:rPr>
          <w:rFonts w:ascii="Calibri" w:hAnsi="Calibri"/>
          <w:sz w:val="22"/>
        </w:rPr>
        <w:t xml:space="preserve"> American Community Survey</w:t>
      </w:r>
      <w:r w:rsidR="00615DA4">
        <w:rPr>
          <w:rFonts w:ascii="Calibri" w:hAnsi="Calibri"/>
          <w:sz w:val="22"/>
        </w:rPr>
        <w:t xml:space="preserve"> 5-Year Estimates</w:t>
      </w:r>
      <w:r w:rsidRPr="004E50E7">
        <w:rPr>
          <w:rFonts w:ascii="Calibri" w:hAnsi="Calibri"/>
          <w:sz w:val="22"/>
        </w:rPr>
        <w:t xml:space="preserve"> </w:t>
      </w:r>
    </w:p>
    <w:p w14:paraId="5E1AA0B2" w14:textId="7B1C32BB" w:rsidR="008772FC" w:rsidRPr="004E50E7" w:rsidRDefault="008772FC" w:rsidP="008E5934">
      <w:pPr>
        <w:tabs>
          <w:tab w:val="num" w:pos="720"/>
        </w:tabs>
        <w:ind w:left="720" w:hanging="360"/>
        <w:jc w:val="both"/>
        <w:rPr>
          <w:rFonts w:ascii="Calibri" w:hAnsi="Calibri"/>
          <w:sz w:val="22"/>
        </w:rPr>
      </w:pPr>
      <w:r w:rsidRPr="004E50E7">
        <w:rPr>
          <w:rFonts w:ascii="Calibri" w:hAnsi="Calibri"/>
          <w:sz w:val="22"/>
        </w:rPr>
        <w:t>The Warren Group’s median sales price statistics and sales volume by year</w:t>
      </w:r>
    </w:p>
    <w:p w14:paraId="3E93C54D" w14:textId="77777777" w:rsidR="008772FC" w:rsidRPr="004E50E7" w:rsidRDefault="008772FC" w:rsidP="008E5934">
      <w:pPr>
        <w:tabs>
          <w:tab w:val="num" w:pos="720"/>
        </w:tabs>
        <w:ind w:left="720" w:hanging="360"/>
        <w:jc w:val="both"/>
        <w:rPr>
          <w:rFonts w:ascii="Calibri" w:hAnsi="Calibri"/>
          <w:sz w:val="22"/>
        </w:rPr>
      </w:pPr>
      <w:r w:rsidRPr="004E50E7">
        <w:rPr>
          <w:rFonts w:ascii="Calibri" w:hAnsi="Calibri"/>
          <w:sz w:val="22"/>
        </w:rPr>
        <w:t>Multiple Listing Service data</w:t>
      </w:r>
    </w:p>
    <w:p w14:paraId="4604DF62" w14:textId="77777777" w:rsidR="008772FC" w:rsidRPr="004E50E7" w:rsidRDefault="008772FC" w:rsidP="008E5934">
      <w:pPr>
        <w:tabs>
          <w:tab w:val="num" w:pos="720"/>
        </w:tabs>
        <w:ind w:left="720" w:hanging="360"/>
        <w:jc w:val="both"/>
        <w:rPr>
          <w:rFonts w:ascii="Calibri" w:hAnsi="Calibri"/>
          <w:sz w:val="22"/>
        </w:rPr>
      </w:pPr>
      <w:r w:rsidRPr="004E50E7">
        <w:rPr>
          <w:rFonts w:ascii="Calibri" w:hAnsi="Calibri"/>
          <w:sz w:val="22"/>
        </w:rPr>
        <w:t>Town Assessor’s data</w:t>
      </w:r>
    </w:p>
    <w:p w14:paraId="43FA8639" w14:textId="03D336BC" w:rsidR="008772FC" w:rsidRDefault="008772FC" w:rsidP="00DB4213">
      <w:pPr>
        <w:tabs>
          <w:tab w:val="num" w:pos="720"/>
        </w:tabs>
        <w:ind w:left="720" w:hanging="360"/>
        <w:jc w:val="both"/>
        <w:rPr>
          <w:rFonts w:ascii="Calibri" w:hAnsi="Calibri"/>
          <w:sz w:val="22"/>
        </w:rPr>
      </w:pPr>
      <w:r w:rsidRPr="004E50E7">
        <w:rPr>
          <w:rFonts w:ascii="Calibri" w:hAnsi="Calibri"/>
          <w:sz w:val="22"/>
        </w:rPr>
        <w:t xml:space="preserve">Internet rental listings </w:t>
      </w:r>
    </w:p>
    <w:p w14:paraId="7CFC0774" w14:textId="77777777" w:rsidR="00DB4213" w:rsidRPr="004E50E7" w:rsidRDefault="00DB4213" w:rsidP="00DB4213">
      <w:pPr>
        <w:tabs>
          <w:tab w:val="num" w:pos="720"/>
        </w:tabs>
        <w:ind w:left="720" w:hanging="360"/>
        <w:jc w:val="both"/>
        <w:rPr>
          <w:rFonts w:ascii="Calibri" w:hAnsi="Calibri"/>
          <w:b/>
          <w:bCs/>
        </w:rPr>
      </w:pPr>
    </w:p>
    <w:p w14:paraId="6BB6E9AB" w14:textId="0A033966" w:rsidR="008772FC" w:rsidRPr="008339A5" w:rsidRDefault="008772FC" w:rsidP="008E5934">
      <w:pPr>
        <w:pStyle w:val="Heading9"/>
        <w:spacing w:before="0"/>
        <w:jc w:val="both"/>
        <w:rPr>
          <w:rFonts w:ascii="Calibri" w:hAnsi="Calibri"/>
          <w:b/>
          <w:i w:val="0"/>
          <w:iCs w:val="0"/>
          <w:color w:val="auto"/>
          <w:sz w:val="22"/>
          <w:szCs w:val="22"/>
        </w:rPr>
      </w:pPr>
      <w:r w:rsidRPr="008339A5">
        <w:rPr>
          <w:rFonts w:ascii="Calibri" w:hAnsi="Calibri"/>
          <w:b/>
          <w:i w:val="0"/>
          <w:iCs w:val="0"/>
          <w:color w:val="auto"/>
          <w:sz w:val="22"/>
          <w:szCs w:val="22"/>
        </w:rPr>
        <w:t xml:space="preserve">Homeownership – </w:t>
      </w:r>
      <w:r w:rsidR="007D0AC5">
        <w:rPr>
          <w:rFonts w:ascii="Calibri" w:hAnsi="Calibri"/>
          <w:b/>
          <w:i w:val="0"/>
          <w:iCs w:val="0"/>
          <w:color w:val="auto"/>
          <w:sz w:val="22"/>
          <w:szCs w:val="22"/>
        </w:rPr>
        <w:t>Unprecedently high housing values</w:t>
      </w:r>
    </w:p>
    <w:p w14:paraId="632F4120" w14:textId="48374E6D" w:rsidR="00EF0B39" w:rsidRDefault="008772FC" w:rsidP="008E5934">
      <w:pPr>
        <w:jc w:val="both"/>
        <w:rPr>
          <w:rFonts w:ascii="Calibri" w:hAnsi="Calibri"/>
          <w:sz w:val="22"/>
          <w:szCs w:val="22"/>
        </w:rPr>
      </w:pPr>
      <w:r w:rsidRPr="004E50E7">
        <w:rPr>
          <w:rFonts w:ascii="Calibri" w:hAnsi="Calibri"/>
          <w:i/>
          <w:iCs/>
          <w:sz w:val="22"/>
          <w:szCs w:val="22"/>
        </w:rPr>
        <w:t>Census data</w:t>
      </w:r>
      <w:r w:rsidRPr="004E50E7">
        <w:rPr>
          <w:rFonts w:ascii="Calibri" w:hAnsi="Calibri"/>
          <w:sz w:val="22"/>
          <w:szCs w:val="22"/>
        </w:rPr>
        <w:t xml:space="preserve"> </w:t>
      </w:r>
      <w:r w:rsidR="00171D85">
        <w:rPr>
          <w:rFonts w:ascii="Calibri" w:hAnsi="Calibri"/>
          <w:sz w:val="22"/>
          <w:szCs w:val="22"/>
        </w:rPr>
        <w:t xml:space="preserve">also </w:t>
      </w:r>
      <w:r w:rsidRPr="004E50E7">
        <w:rPr>
          <w:rFonts w:ascii="Calibri" w:hAnsi="Calibri"/>
          <w:sz w:val="22"/>
          <w:szCs w:val="22"/>
        </w:rPr>
        <w:t>provides information on housing va</w:t>
      </w:r>
      <w:r>
        <w:rPr>
          <w:rFonts w:ascii="Calibri" w:hAnsi="Calibri"/>
          <w:sz w:val="22"/>
          <w:szCs w:val="22"/>
        </w:rPr>
        <w:t xml:space="preserve">lues, </w:t>
      </w:r>
      <w:r w:rsidRPr="004E50E7">
        <w:rPr>
          <w:rFonts w:ascii="Calibri" w:hAnsi="Calibri"/>
          <w:sz w:val="22"/>
          <w:szCs w:val="22"/>
        </w:rPr>
        <w:t xml:space="preserve">summarized </w:t>
      </w:r>
      <w:r w:rsidR="00171D85">
        <w:rPr>
          <w:rFonts w:ascii="Calibri" w:hAnsi="Calibri"/>
          <w:sz w:val="22"/>
          <w:szCs w:val="22"/>
        </w:rPr>
        <w:t>for owner-occupied units</w:t>
      </w:r>
      <w:r w:rsidR="00C51928">
        <w:rPr>
          <w:rFonts w:ascii="Calibri" w:hAnsi="Calibri"/>
          <w:sz w:val="22"/>
          <w:szCs w:val="22"/>
        </w:rPr>
        <w:t xml:space="preserve"> (</w:t>
      </w:r>
      <w:r w:rsidR="00A05A8E">
        <w:rPr>
          <w:rFonts w:ascii="Calibri" w:hAnsi="Calibri"/>
          <w:sz w:val="22"/>
          <w:szCs w:val="22"/>
        </w:rPr>
        <w:t>includes single-family and two-family homes as well as condominium units)</w:t>
      </w:r>
      <w:r w:rsidR="00171D85">
        <w:rPr>
          <w:rFonts w:ascii="Calibri" w:hAnsi="Calibri"/>
          <w:sz w:val="22"/>
          <w:szCs w:val="22"/>
        </w:rPr>
        <w:t xml:space="preserve"> </w:t>
      </w:r>
      <w:r w:rsidRPr="004E50E7">
        <w:rPr>
          <w:rFonts w:ascii="Calibri" w:hAnsi="Calibri"/>
          <w:sz w:val="22"/>
          <w:szCs w:val="22"/>
        </w:rPr>
        <w:t xml:space="preserve">in Table </w:t>
      </w:r>
      <w:r w:rsidR="0028014C">
        <w:rPr>
          <w:rFonts w:ascii="Calibri" w:hAnsi="Calibri"/>
          <w:sz w:val="22"/>
          <w:szCs w:val="22"/>
        </w:rPr>
        <w:t>III-28</w:t>
      </w:r>
      <w:r w:rsidRPr="004E50E7">
        <w:rPr>
          <w:rFonts w:ascii="Calibri" w:hAnsi="Calibri"/>
          <w:sz w:val="22"/>
          <w:szCs w:val="22"/>
        </w:rPr>
        <w:t xml:space="preserve">.  </w:t>
      </w:r>
      <w:r w:rsidR="00171D85" w:rsidRPr="004E50E7">
        <w:rPr>
          <w:rFonts w:ascii="Calibri" w:hAnsi="Calibri"/>
          <w:sz w:val="22"/>
          <w:szCs w:val="22"/>
        </w:rPr>
        <w:t>The</w:t>
      </w:r>
      <w:r w:rsidR="00171D85">
        <w:rPr>
          <w:rFonts w:ascii="Calibri" w:hAnsi="Calibri"/>
          <w:sz w:val="22"/>
          <w:szCs w:val="22"/>
        </w:rPr>
        <w:t xml:space="preserve"> 20</w:t>
      </w:r>
      <w:r w:rsidR="001C4974">
        <w:rPr>
          <w:rFonts w:ascii="Calibri" w:hAnsi="Calibri"/>
          <w:sz w:val="22"/>
          <w:szCs w:val="22"/>
        </w:rPr>
        <w:t>20</w:t>
      </w:r>
      <w:r w:rsidR="00171D85">
        <w:rPr>
          <w:rFonts w:ascii="Calibri" w:hAnsi="Calibri"/>
          <w:sz w:val="22"/>
          <w:szCs w:val="22"/>
        </w:rPr>
        <w:t xml:space="preserve"> census </w:t>
      </w:r>
      <w:r w:rsidR="003165F8">
        <w:rPr>
          <w:rFonts w:ascii="Calibri" w:hAnsi="Calibri"/>
          <w:sz w:val="22"/>
          <w:szCs w:val="22"/>
        </w:rPr>
        <w:t xml:space="preserve">estimates </w:t>
      </w:r>
      <w:r w:rsidR="00171D85" w:rsidRPr="004E50E7">
        <w:rPr>
          <w:rFonts w:ascii="Calibri" w:hAnsi="Calibri"/>
          <w:sz w:val="22"/>
          <w:szCs w:val="22"/>
        </w:rPr>
        <w:t xml:space="preserve">indicated </w:t>
      </w:r>
      <w:r w:rsidR="00171D85">
        <w:rPr>
          <w:rFonts w:ascii="Calibri" w:hAnsi="Calibri"/>
          <w:sz w:val="22"/>
          <w:szCs w:val="22"/>
        </w:rPr>
        <w:t>a</w:t>
      </w:r>
      <w:r w:rsidR="00171D85" w:rsidRPr="004E50E7">
        <w:rPr>
          <w:rFonts w:ascii="Calibri" w:hAnsi="Calibri"/>
          <w:sz w:val="22"/>
          <w:szCs w:val="22"/>
        </w:rPr>
        <w:t xml:space="preserve"> median house value </w:t>
      </w:r>
      <w:r w:rsidR="00171D85">
        <w:rPr>
          <w:rFonts w:ascii="Calibri" w:hAnsi="Calibri"/>
          <w:sz w:val="22"/>
          <w:szCs w:val="22"/>
        </w:rPr>
        <w:t>of $</w:t>
      </w:r>
      <w:r w:rsidR="001C4974">
        <w:rPr>
          <w:rFonts w:ascii="Calibri" w:hAnsi="Calibri"/>
          <w:sz w:val="22"/>
          <w:szCs w:val="22"/>
        </w:rPr>
        <w:t>900,200</w:t>
      </w:r>
      <w:r w:rsidR="00171D85" w:rsidRPr="004E50E7">
        <w:rPr>
          <w:rFonts w:ascii="Calibri" w:hAnsi="Calibri"/>
          <w:sz w:val="22"/>
          <w:szCs w:val="22"/>
        </w:rPr>
        <w:t>, up from the median of $</w:t>
      </w:r>
      <w:r w:rsidR="00171D85">
        <w:rPr>
          <w:rFonts w:ascii="Calibri" w:hAnsi="Calibri"/>
          <w:sz w:val="22"/>
          <w:szCs w:val="22"/>
        </w:rPr>
        <w:t>646,300</w:t>
      </w:r>
      <w:r w:rsidR="007D0AC5">
        <w:rPr>
          <w:rFonts w:ascii="Calibri" w:hAnsi="Calibri"/>
          <w:sz w:val="22"/>
          <w:szCs w:val="22"/>
        </w:rPr>
        <w:t xml:space="preserve"> in 2010</w:t>
      </w:r>
      <w:r w:rsidR="00171D85">
        <w:rPr>
          <w:rFonts w:ascii="Calibri" w:hAnsi="Calibri"/>
          <w:sz w:val="22"/>
          <w:szCs w:val="22"/>
        </w:rPr>
        <w:t xml:space="preserve"> and </w:t>
      </w:r>
      <w:r w:rsidR="007D0AC5">
        <w:rPr>
          <w:rFonts w:ascii="Calibri" w:hAnsi="Calibri"/>
          <w:sz w:val="22"/>
          <w:szCs w:val="22"/>
        </w:rPr>
        <w:t>more than</w:t>
      </w:r>
      <w:r w:rsidR="00171D85">
        <w:rPr>
          <w:rFonts w:ascii="Calibri" w:hAnsi="Calibri"/>
          <w:sz w:val="22"/>
          <w:szCs w:val="22"/>
        </w:rPr>
        <w:t xml:space="preserve"> </w:t>
      </w:r>
      <w:r w:rsidR="00C152A8">
        <w:rPr>
          <w:rFonts w:ascii="Calibri" w:hAnsi="Calibri"/>
          <w:sz w:val="22"/>
          <w:szCs w:val="22"/>
        </w:rPr>
        <w:t>triple</w:t>
      </w:r>
      <w:r w:rsidR="00171D85">
        <w:rPr>
          <w:rFonts w:ascii="Calibri" w:hAnsi="Calibri"/>
          <w:sz w:val="22"/>
          <w:szCs w:val="22"/>
        </w:rPr>
        <w:t xml:space="preserve"> t</w:t>
      </w:r>
      <w:r w:rsidR="00EF0B39">
        <w:rPr>
          <w:rFonts w:ascii="Calibri" w:hAnsi="Calibri"/>
          <w:sz w:val="22"/>
          <w:szCs w:val="22"/>
        </w:rPr>
        <w:t>he median in 1990 of $256,500.  Between 2000 and 20</w:t>
      </w:r>
      <w:r w:rsidR="004A1093">
        <w:rPr>
          <w:rFonts w:ascii="Calibri" w:hAnsi="Calibri"/>
          <w:sz w:val="22"/>
          <w:szCs w:val="22"/>
        </w:rPr>
        <w:t>20</w:t>
      </w:r>
      <w:r w:rsidR="00EF0B39">
        <w:rPr>
          <w:rFonts w:ascii="Calibri" w:hAnsi="Calibri"/>
          <w:sz w:val="22"/>
          <w:szCs w:val="22"/>
        </w:rPr>
        <w:t xml:space="preserve">, the median increased by </w:t>
      </w:r>
      <w:r w:rsidR="007D0AC5">
        <w:rPr>
          <w:rFonts w:ascii="Calibri" w:hAnsi="Calibri"/>
          <w:sz w:val="22"/>
          <w:szCs w:val="22"/>
        </w:rPr>
        <w:t>1</w:t>
      </w:r>
      <w:r w:rsidR="004A1093">
        <w:rPr>
          <w:rFonts w:ascii="Calibri" w:hAnsi="Calibri"/>
          <w:sz w:val="22"/>
          <w:szCs w:val="22"/>
        </w:rPr>
        <w:t>33</w:t>
      </w:r>
      <w:r w:rsidR="00EF0B39">
        <w:rPr>
          <w:rFonts w:ascii="Calibri" w:hAnsi="Calibri"/>
          <w:sz w:val="22"/>
          <w:szCs w:val="22"/>
        </w:rPr>
        <w:t xml:space="preserve">%, </w:t>
      </w:r>
      <w:r w:rsidR="007D0AC5">
        <w:rPr>
          <w:rFonts w:ascii="Calibri" w:hAnsi="Calibri"/>
          <w:sz w:val="22"/>
          <w:szCs w:val="22"/>
        </w:rPr>
        <w:t xml:space="preserve">considerably more than </w:t>
      </w:r>
      <w:r w:rsidR="00EF0B39">
        <w:rPr>
          <w:rFonts w:ascii="Calibri" w:hAnsi="Calibri"/>
          <w:sz w:val="22"/>
          <w:szCs w:val="22"/>
        </w:rPr>
        <w:t xml:space="preserve">the rate of inflation of </w:t>
      </w:r>
      <w:r w:rsidR="00B0712A">
        <w:rPr>
          <w:rFonts w:ascii="Calibri" w:hAnsi="Calibri"/>
          <w:sz w:val="22"/>
          <w:szCs w:val="22"/>
        </w:rPr>
        <w:t>50</w:t>
      </w:r>
      <w:r w:rsidR="00EF0B39">
        <w:rPr>
          <w:rFonts w:ascii="Calibri" w:hAnsi="Calibri"/>
          <w:sz w:val="22"/>
          <w:szCs w:val="22"/>
        </w:rPr>
        <w:t>% during this period.</w:t>
      </w:r>
    </w:p>
    <w:p w14:paraId="26E25A25" w14:textId="77777777" w:rsidR="00EF0B39" w:rsidRDefault="00EF0B39" w:rsidP="008E5934">
      <w:pPr>
        <w:jc w:val="both"/>
        <w:rPr>
          <w:rFonts w:ascii="Calibri" w:hAnsi="Calibri"/>
          <w:sz w:val="22"/>
          <w:szCs w:val="22"/>
        </w:rPr>
      </w:pPr>
    </w:p>
    <w:p w14:paraId="54A8F809" w14:textId="79B3B10B" w:rsidR="00171D85" w:rsidRPr="00171D85" w:rsidRDefault="00171D85" w:rsidP="008E5934">
      <w:pPr>
        <w:jc w:val="both"/>
        <w:rPr>
          <w:rFonts w:ascii="Calibri" w:hAnsi="Calibri"/>
          <w:i/>
          <w:iCs/>
          <w:color w:val="FF0000"/>
          <w:sz w:val="22"/>
          <w:szCs w:val="22"/>
        </w:rPr>
      </w:pPr>
      <w:r>
        <w:rPr>
          <w:rFonts w:ascii="Calibri" w:hAnsi="Calibri"/>
          <w:sz w:val="22"/>
          <w:szCs w:val="22"/>
        </w:rPr>
        <w:t>In 20</w:t>
      </w:r>
      <w:r w:rsidR="00B0712A">
        <w:rPr>
          <w:rFonts w:ascii="Calibri" w:hAnsi="Calibri"/>
          <w:sz w:val="22"/>
          <w:szCs w:val="22"/>
        </w:rPr>
        <w:t>20</w:t>
      </w:r>
      <w:r w:rsidRPr="004E50E7">
        <w:rPr>
          <w:rFonts w:ascii="Calibri" w:hAnsi="Calibri"/>
          <w:sz w:val="22"/>
          <w:szCs w:val="22"/>
        </w:rPr>
        <w:t xml:space="preserve">, </w:t>
      </w:r>
      <w:r>
        <w:rPr>
          <w:rFonts w:ascii="Calibri" w:hAnsi="Calibri"/>
          <w:sz w:val="22"/>
          <w:szCs w:val="22"/>
        </w:rPr>
        <w:t>t</w:t>
      </w:r>
      <w:r w:rsidRPr="004E50E7">
        <w:rPr>
          <w:rFonts w:ascii="Calibri" w:hAnsi="Calibri"/>
          <w:sz w:val="22"/>
          <w:szCs w:val="22"/>
        </w:rPr>
        <w:t xml:space="preserve">here were </w:t>
      </w:r>
      <w:r>
        <w:rPr>
          <w:rFonts w:ascii="Calibri" w:hAnsi="Calibri"/>
          <w:sz w:val="22"/>
          <w:szCs w:val="22"/>
        </w:rPr>
        <w:t xml:space="preserve">only </w:t>
      </w:r>
      <w:r w:rsidR="00B0712A">
        <w:rPr>
          <w:rFonts w:ascii="Calibri" w:hAnsi="Calibri"/>
          <w:sz w:val="22"/>
          <w:szCs w:val="22"/>
        </w:rPr>
        <w:t>8</w:t>
      </w:r>
      <w:r w:rsidR="007D0AC5">
        <w:rPr>
          <w:rFonts w:ascii="Calibri" w:hAnsi="Calibri"/>
          <w:sz w:val="22"/>
          <w:szCs w:val="22"/>
        </w:rPr>
        <w:t>1</w:t>
      </w:r>
      <w:r w:rsidRPr="004E50E7">
        <w:rPr>
          <w:rFonts w:ascii="Calibri" w:hAnsi="Calibri"/>
          <w:sz w:val="22"/>
          <w:szCs w:val="22"/>
        </w:rPr>
        <w:t xml:space="preserve"> units valued at less than $200,000</w:t>
      </w:r>
      <w:r>
        <w:rPr>
          <w:rFonts w:ascii="Calibri" w:hAnsi="Calibri"/>
          <w:sz w:val="22"/>
          <w:szCs w:val="22"/>
        </w:rPr>
        <w:t xml:space="preserve"> with another </w:t>
      </w:r>
      <w:r w:rsidR="00B0712A">
        <w:rPr>
          <w:rFonts w:ascii="Calibri" w:hAnsi="Calibri"/>
          <w:sz w:val="22"/>
          <w:szCs w:val="22"/>
        </w:rPr>
        <w:t>189</w:t>
      </w:r>
      <w:r>
        <w:rPr>
          <w:rFonts w:ascii="Calibri" w:hAnsi="Calibri"/>
          <w:sz w:val="22"/>
          <w:szCs w:val="22"/>
        </w:rPr>
        <w:t xml:space="preserve"> units in the $200,000 to $300,000 price range.  </w:t>
      </w:r>
      <w:r w:rsidRPr="004E50E7">
        <w:rPr>
          <w:rFonts w:ascii="Calibri" w:hAnsi="Calibri"/>
          <w:sz w:val="22"/>
          <w:szCs w:val="22"/>
        </w:rPr>
        <w:t xml:space="preserve">This demonstrates that very little of the community’s </w:t>
      </w:r>
      <w:r>
        <w:rPr>
          <w:rFonts w:ascii="Calibri" w:hAnsi="Calibri"/>
          <w:sz w:val="22"/>
          <w:szCs w:val="22"/>
        </w:rPr>
        <w:t xml:space="preserve">owner-occupied </w:t>
      </w:r>
      <w:r w:rsidRPr="004E50E7">
        <w:rPr>
          <w:rFonts w:ascii="Calibri" w:hAnsi="Calibri"/>
          <w:sz w:val="22"/>
          <w:szCs w:val="22"/>
        </w:rPr>
        <w:t>housing units were relatively affordable</w:t>
      </w:r>
      <w:r w:rsidR="00B0712A">
        <w:rPr>
          <w:rFonts w:ascii="Calibri" w:hAnsi="Calibri"/>
          <w:sz w:val="22"/>
          <w:szCs w:val="22"/>
        </w:rPr>
        <w:t xml:space="preserve"> to low- and moderate-income households</w:t>
      </w:r>
      <w:r w:rsidRPr="004E50E7">
        <w:rPr>
          <w:rFonts w:ascii="Calibri" w:hAnsi="Calibri"/>
          <w:sz w:val="22"/>
          <w:szCs w:val="22"/>
        </w:rPr>
        <w:t xml:space="preserve">. </w:t>
      </w:r>
      <w:r>
        <w:rPr>
          <w:rFonts w:ascii="Calibri" w:hAnsi="Calibri"/>
          <w:sz w:val="22"/>
          <w:szCs w:val="22"/>
        </w:rPr>
        <w:t xml:space="preserve"> </w:t>
      </w:r>
      <w:r w:rsidRPr="004E50E7">
        <w:rPr>
          <w:rFonts w:ascii="Calibri" w:hAnsi="Calibri"/>
          <w:sz w:val="22"/>
          <w:szCs w:val="22"/>
        </w:rPr>
        <w:t xml:space="preserve">On the other end of the price range, </w:t>
      </w:r>
      <w:r w:rsidR="007D0AC5">
        <w:rPr>
          <w:rFonts w:ascii="Calibri" w:hAnsi="Calibri"/>
          <w:i/>
          <w:sz w:val="22"/>
          <w:szCs w:val="22"/>
        </w:rPr>
        <w:t>3</w:t>
      </w:r>
      <w:r w:rsidR="00B0712A">
        <w:rPr>
          <w:rFonts w:ascii="Calibri" w:hAnsi="Calibri"/>
          <w:i/>
          <w:sz w:val="22"/>
          <w:szCs w:val="22"/>
        </w:rPr>
        <w:t>5</w:t>
      </w:r>
      <w:r>
        <w:rPr>
          <w:rFonts w:ascii="Calibri" w:hAnsi="Calibri"/>
          <w:i/>
          <w:sz w:val="22"/>
          <w:szCs w:val="22"/>
        </w:rPr>
        <w:t xml:space="preserve">% of the units were valued at over $1 million, </w:t>
      </w:r>
      <w:r w:rsidR="00B0712A">
        <w:rPr>
          <w:rFonts w:ascii="Calibri" w:hAnsi="Calibri"/>
          <w:i/>
          <w:sz w:val="22"/>
          <w:szCs w:val="22"/>
        </w:rPr>
        <w:t>almost triple</w:t>
      </w:r>
      <w:r>
        <w:rPr>
          <w:rFonts w:ascii="Calibri" w:hAnsi="Calibri"/>
          <w:i/>
          <w:sz w:val="22"/>
          <w:szCs w:val="22"/>
        </w:rPr>
        <w:t xml:space="preserve"> the 2010 level.  </w:t>
      </w:r>
    </w:p>
    <w:p w14:paraId="71404CC1" w14:textId="77777777" w:rsidR="008772FC" w:rsidRDefault="008772FC" w:rsidP="008772FC">
      <w:pPr>
        <w:ind w:right="-720"/>
        <w:rPr>
          <w:rFonts w:ascii="Calibri" w:hAnsi="Calibri"/>
          <w:sz w:val="22"/>
          <w:szCs w:val="22"/>
        </w:rPr>
      </w:pPr>
    </w:p>
    <w:p w14:paraId="175C66AE" w14:textId="49668508" w:rsidR="008772FC" w:rsidRPr="008339A5" w:rsidRDefault="008772FC" w:rsidP="00284CDE">
      <w:pPr>
        <w:pStyle w:val="Heading9"/>
        <w:spacing w:before="0"/>
        <w:ind w:left="1440" w:firstLine="720"/>
        <w:rPr>
          <w:rFonts w:ascii="Calibri" w:hAnsi="Calibri"/>
          <w:b/>
          <w:i w:val="0"/>
          <w:color w:val="auto"/>
          <w:sz w:val="22"/>
          <w:szCs w:val="22"/>
        </w:rPr>
      </w:pPr>
      <w:r w:rsidRPr="008339A5">
        <w:rPr>
          <w:rFonts w:ascii="Calibri" w:hAnsi="Calibri"/>
          <w:b/>
          <w:i w:val="0"/>
          <w:color w:val="auto"/>
          <w:sz w:val="22"/>
          <w:szCs w:val="22"/>
        </w:rPr>
        <w:t xml:space="preserve">Table </w:t>
      </w:r>
      <w:r w:rsidR="00A166AA">
        <w:rPr>
          <w:rFonts w:ascii="Calibri" w:hAnsi="Calibri"/>
          <w:b/>
          <w:i w:val="0"/>
          <w:color w:val="auto"/>
          <w:sz w:val="22"/>
          <w:szCs w:val="22"/>
        </w:rPr>
        <w:t>III-2</w:t>
      </w:r>
      <w:r w:rsidR="0028014C">
        <w:rPr>
          <w:rFonts w:ascii="Calibri" w:hAnsi="Calibri"/>
          <w:b/>
          <w:i w:val="0"/>
          <w:color w:val="auto"/>
          <w:sz w:val="22"/>
          <w:szCs w:val="22"/>
        </w:rPr>
        <w:t>8</w:t>
      </w:r>
      <w:r w:rsidRPr="008339A5">
        <w:rPr>
          <w:rFonts w:ascii="Calibri" w:hAnsi="Calibri"/>
          <w:b/>
          <w:i w:val="0"/>
          <w:color w:val="auto"/>
          <w:sz w:val="22"/>
          <w:szCs w:val="22"/>
        </w:rPr>
        <w:t>: Housing Values of Owner-</w:t>
      </w:r>
      <w:r w:rsidR="00DF7999">
        <w:rPr>
          <w:rFonts w:ascii="Calibri" w:hAnsi="Calibri"/>
          <w:b/>
          <w:i w:val="0"/>
          <w:color w:val="auto"/>
          <w:sz w:val="22"/>
          <w:szCs w:val="22"/>
        </w:rPr>
        <w:t>o</w:t>
      </w:r>
      <w:r w:rsidRPr="008339A5">
        <w:rPr>
          <w:rFonts w:ascii="Calibri" w:hAnsi="Calibri"/>
          <w:b/>
          <w:i w:val="0"/>
          <w:color w:val="auto"/>
          <w:sz w:val="22"/>
          <w:szCs w:val="22"/>
        </w:rPr>
        <w:t xml:space="preserve">ccupied Units, </w:t>
      </w:r>
      <w:r w:rsidRPr="008339A5">
        <w:rPr>
          <w:rFonts w:ascii="Calibri" w:hAnsi="Calibri"/>
          <w:b/>
          <w:bCs/>
          <w:i w:val="0"/>
          <w:color w:val="auto"/>
          <w:sz w:val="22"/>
          <w:szCs w:val="22"/>
        </w:rPr>
        <w:t>1990 to 20</w:t>
      </w:r>
      <w:r w:rsidR="002851DD">
        <w:rPr>
          <w:rFonts w:ascii="Calibri" w:hAnsi="Calibri"/>
          <w:b/>
          <w:bCs/>
          <w:i w:val="0"/>
          <w:color w:val="auto"/>
          <w:sz w:val="22"/>
          <w:szCs w:val="22"/>
        </w:rPr>
        <w:t>20</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900"/>
        <w:gridCol w:w="900"/>
        <w:gridCol w:w="900"/>
        <w:gridCol w:w="900"/>
        <w:gridCol w:w="798"/>
        <w:gridCol w:w="720"/>
        <w:gridCol w:w="810"/>
        <w:gridCol w:w="810"/>
      </w:tblGrid>
      <w:tr w:rsidR="00284CDE" w:rsidRPr="004E50E7" w14:paraId="6972C923" w14:textId="77777777" w:rsidTr="00851077">
        <w:trPr>
          <w:cantSplit/>
        </w:trPr>
        <w:tc>
          <w:tcPr>
            <w:tcW w:w="2100" w:type="dxa"/>
            <w:vMerge w:val="restart"/>
            <w:tcBorders>
              <w:top w:val="single" w:sz="4" w:space="0" w:color="auto"/>
              <w:left w:val="single" w:sz="4" w:space="0" w:color="auto"/>
            </w:tcBorders>
          </w:tcPr>
          <w:p w14:paraId="4EDBCDDE" w14:textId="77777777" w:rsidR="00284CDE" w:rsidRPr="004E50E7" w:rsidRDefault="00284CDE" w:rsidP="00284CDE">
            <w:pPr>
              <w:rPr>
                <w:rFonts w:ascii="Calibri" w:hAnsi="Calibri"/>
              </w:rPr>
            </w:pPr>
          </w:p>
          <w:p w14:paraId="6175A160" w14:textId="77777777" w:rsidR="00284CDE" w:rsidRPr="004E50E7" w:rsidRDefault="00284CDE" w:rsidP="00284CDE">
            <w:pPr>
              <w:rPr>
                <w:rFonts w:ascii="Calibri" w:hAnsi="Calibri"/>
                <w:b/>
                <w:bCs/>
              </w:rPr>
            </w:pPr>
            <w:r w:rsidRPr="004E50E7">
              <w:rPr>
                <w:rFonts w:ascii="Calibri" w:hAnsi="Calibri"/>
                <w:b/>
                <w:bCs/>
                <w:sz w:val="22"/>
              </w:rPr>
              <w:t>Price Range</w:t>
            </w:r>
          </w:p>
        </w:tc>
        <w:tc>
          <w:tcPr>
            <w:tcW w:w="1800" w:type="dxa"/>
            <w:gridSpan w:val="2"/>
          </w:tcPr>
          <w:p w14:paraId="78BCD702" w14:textId="77777777" w:rsidR="00284CDE" w:rsidRPr="004E50E7" w:rsidRDefault="00284CDE" w:rsidP="00284CDE">
            <w:pPr>
              <w:rPr>
                <w:rFonts w:ascii="Calibri" w:hAnsi="Calibri"/>
                <w:b/>
                <w:bCs/>
              </w:rPr>
            </w:pPr>
            <w:r w:rsidRPr="004E50E7">
              <w:rPr>
                <w:rFonts w:ascii="Calibri" w:hAnsi="Calibri"/>
                <w:b/>
                <w:bCs/>
                <w:sz w:val="22"/>
              </w:rPr>
              <w:t>1990</w:t>
            </w:r>
          </w:p>
        </w:tc>
        <w:tc>
          <w:tcPr>
            <w:tcW w:w="1800" w:type="dxa"/>
            <w:gridSpan w:val="2"/>
          </w:tcPr>
          <w:p w14:paraId="7F916095" w14:textId="77777777" w:rsidR="00284CDE" w:rsidRPr="004E50E7" w:rsidRDefault="00284CDE" w:rsidP="00284CDE">
            <w:pPr>
              <w:rPr>
                <w:rFonts w:ascii="Calibri" w:hAnsi="Calibri"/>
                <w:b/>
                <w:bCs/>
              </w:rPr>
            </w:pPr>
            <w:r w:rsidRPr="004E50E7">
              <w:rPr>
                <w:rFonts w:ascii="Calibri" w:hAnsi="Calibri"/>
                <w:b/>
                <w:bCs/>
                <w:sz w:val="22"/>
              </w:rPr>
              <w:t>2000</w:t>
            </w:r>
          </w:p>
        </w:tc>
        <w:tc>
          <w:tcPr>
            <w:tcW w:w="1518" w:type="dxa"/>
            <w:gridSpan w:val="2"/>
            <w:shd w:val="clear" w:color="auto" w:fill="auto"/>
          </w:tcPr>
          <w:p w14:paraId="073333E3" w14:textId="77777777" w:rsidR="00284CDE" w:rsidRPr="004E50E7" w:rsidRDefault="00284CDE" w:rsidP="00284CDE">
            <w:pPr>
              <w:rPr>
                <w:rFonts w:ascii="Calibri" w:hAnsi="Calibri"/>
                <w:b/>
                <w:bCs/>
              </w:rPr>
            </w:pPr>
            <w:r w:rsidRPr="004E50E7">
              <w:rPr>
                <w:rFonts w:ascii="Calibri" w:hAnsi="Calibri"/>
                <w:b/>
                <w:bCs/>
                <w:sz w:val="22"/>
              </w:rPr>
              <w:t>201</w:t>
            </w:r>
            <w:r>
              <w:rPr>
                <w:rFonts w:ascii="Calibri" w:hAnsi="Calibri"/>
                <w:b/>
                <w:bCs/>
                <w:sz w:val="22"/>
              </w:rPr>
              <w:t>0</w:t>
            </w:r>
          </w:p>
        </w:tc>
        <w:tc>
          <w:tcPr>
            <w:tcW w:w="1620" w:type="dxa"/>
            <w:gridSpan w:val="2"/>
            <w:shd w:val="clear" w:color="auto" w:fill="auto"/>
          </w:tcPr>
          <w:p w14:paraId="525A3367" w14:textId="77D953D5" w:rsidR="00284CDE" w:rsidRPr="004E50E7" w:rsidRDefault="00284CDE" w:rsidP="00284CDE">
            <w:pPr>
              <w:rPr>
                <w:rFonts w:ascii="Calibri" w:hAnsi="Calibri"/>
                <w:b/>
                <w:bCs/>
              </w:rPr>
            </w:pPr>
            <w:r>
              <w:rPr>
                <w:rFonts w:ascii="Calibri" w:hAnsi="Calibri"/>
                <w:b/>
                <w:bCs/>
                <w:sz w:val="22"/>
              </w:rPr>
              <w:t>20</w:t>
            </w:r>
            <w:r w:rsidR="002851DD">
              <w:rPr>
                <w:rFonts w:ascii="Calibri" w:hAnsi="Calibri"/>
                <w:b/>
                <w:bCs/>
                <w:sz w:val="22"/>
              </w:rPr>
              <w:t>20</w:t>
            </w:r>
          </w:p>
        </w:tc>
      </w:tr>
      <w:tr w:rsidR="00284CDE" w:rsidRPr="004E50E7" w14:paraId="77AAAE2B" w14:textId="77777777" w:rsidTr="00851077">
        <w:trPr>
          <w:cantSplit/>
        </w:trPr>
        <w:tc>
          <w:tcPr>
            <w:tcW w:w="2100" w:type="dxa"/>
            <w:vMerge/>
            <w:tcBorders>
              <w:left w:val="single" w:sz="4" w:space="0" w:color="auto"/>
            </w:tcBorders>
          </w:tcPr>
          <w:p w14:paraId="739B31EE" w14:textId="77777777" w:rsidR="00284CDE" w:rsidRPr="004E50E7" w:rsidRDefault="00284CDE" w:rsidP="008F2513">
            <w:pPr>
              <w:pStyle w:val="CommentText"/>
              <w:spacing w:line="240" w:lineRule="auto"/>
              <w:rPr>
                <w:rFonts w:ascii="Calibri" w:hAnsi="Calibri"/>
              </w:rPr>
            </w:pPr>
          </w:p>
        </w:tc>
        <w:tc>
          <w:tcPr>
            <w:tcW w:w="900" w:type="dxa"/>
          </w:tcPr>
          <w:p w14:paraId="23D77F15" w14:textId="77777777" w:rsidR="00284CDE" w:rsidRPr="004E50E7" w:rsidRDefault="00284CDE" w:rsidP="00DB4213">
            <w:pPr>
              <w:rPr>
                <w:rFonts w:ascii="Calibri" w:hAnsi="Calibri"/>
                <w:b/>
                <w:bCs/>
              </w:rPr>
            </w:pPr>
            <w:r w:rsidRPr="004E50E7">
              <w:rPr>
                <w:rFonts w:ascii="Calibri" w:hAnsi="Calibri"/>
                <w:b/>
                <w:bCs/>
                <w:sz w:val="22"/>
              </w:rPr>
              <w:t>#</w:t>
            </w:r>
          </w:p>
        </w:tc>
        <w:tc>
          <w:tcPr>
            <w:tcW w:w="900" w:type="dxa"/>
          </w:tcPr>
          <w:p w14:paraId="1D3319C7" w14:textId="77777777" w:rsidR="00284CDE" w:rsidRPr="004E50E7" w:rsidRDefault="00284CDE" w:rsidP="00DB4213">
            <w:pPr>
              <w:rPr>
                <w:rFonts w:ascii="Calibri" w:hAnsi="Calibri"/>
                <w:b/>
                <w:bCs/>
              </w:rPr>
            </w:pPr>
            <w:r w:rsidRPr="004E50E7">
              <w:rPr>
                <w:rFonts w:ascii="Calibri" w:hAnsi="Calibri"/>
                <w:b/>
                <w:bCs/>
                <w:sz w:val="22"/>
              </w:rPr>
              <w:t>%</w:t>
            </w:r>
          </w:p>
        </w:tc>
        <w:tc>
          <w:tcPr>
            <w:tcW w:w="900" w:type="dxa"/>
          </w:tcPr>
          <w:p w14:paraId="4C70B644" w14:textId="77777777" w:rsidR="00284CDE" w:rsidRPr="004E50E7" w:rsidRDefault="00284CDE" w:rsidP="00DB4213">
            <w:pPr>
              <w:rPr>
                <w:rFonts w:ascii="Calibri" w:hAnsi="Calibri"/>
                <w:b/>
                <w:bCs/>
              </w:rPr>
            </w:pPr>
            <w:r w:rsidRPr="004E50E7">
              <w:rPr>
                <w:rFonts w:ascii="Calibri" w:hAnsi="Calibri"/>
                <w:b/>
                <w:bCs/>
                <w:sz w:val="22"/>
              </w:rPr>
              <w:t>#</w:t>
            </w:r>
          </w:p>
        </w:tc>
        <w:tc>
          <w:tcPr>
            <w:tcW w:w="900" w:type="dxa"/>
          </w:tcPr>
          <w:p w14:paraId="1B0D39C7" w14:textId="77777777" w:rsidR="00284CDE" w:rsidRPr="004E50E7" w:rsidRDefault="00284CDE" w:rsidP="00DB4213">
            <w:pPr>
              <w:rPr>
                <w:rFonts w:ascii="Calibri" w:hAnsi="Calibri"/>
                <w:b/>
                <w:bCs/>
              </w:rPr>
            </w:pPr>
            <w:r w:rsidRPr="004E50E7">
              <w:rPr>
                <w:rFonts w:ascii="Calibri" w:hAnsi="Calibri"/>
                <w:b/>
                <w:bCs/>
                <w:sz w:val="22"/>
              </w:rPr>
              <w:t>%</w:t>
            </w:r>
          </w:p>
        </w:tc>
        <w:tc>
          <w:tcPr>
            <w:tcW w:w="798" w:type="dxa"/>
            <w:shd w:val="clear" w:color="auto" w:fill="auto"/>
          </w:tcPr>
          <w:p w14:paraId="656E506C" w14:textId="77777777" w:rsidR="00284CDE" w:rsidRPr="004E50E7" w:rsidRDefault="00284CDE" w:rsidP="008F2513">
            <w:pPr>
              <w:rPr>
                <w:rFonts w:ascii="Calibri" w:hAnsi="Calibri"/>
                <w:b/>
                <w:bCs/>
              </w:rPr>
            </w:pPr>
            <w:r w:rsidRPr="004E50E7">
              <w:rPr>
                <w:rFonts w:ascii="Calibri" w:hAnsi="Calibri"/>
                <w:b/>
                <w:bCs/>
                <w:sz w:val="22"/>
              </w:rPr>
              <w:t>#</w:t>
            </w:r>
          </w:p>
        </w:tc>
        <w:tc>
          <w:tcPr>
            <w:tcW w:w="720" w:type="dxa"/>
            <w:shd w:val="clear" w:color="auto" w:fill="auto"/>
          </w:tcPr>
          <w:p w14:paraId="541023DD" w14:textId="77777777" w:rsidR="00284CDE" w:rsidRPr="004E50E7" w:rsidRDefault="00284CDE" w:rsidP="008F2513">
            <w:pPr>
              <w:rPr>
                <w:rFonts w:ascii="Calibri" w:hAnsi="Calibri"/>
                <w:b/>
                <w:bCs/>
              </w:rPr>
            </w:pPr>
            <w:r w:rsidRPr="004E50E7">
              <w:rPr>
                <w:rFonts w:ascii="Calibri" w:hAnsi="Calibri"/>
                <w:b/>
                <w:bCs/>
                <w:sz w:val="22"/>
              </w:rPr>
              <w:t>%</w:t>
            </w:r>
          </w:p>
        </w:tc>
        <w:tc>
          <w:tcPr>
            <w:tcW w:w="810" w:type="dxa"/>
            <w:shd w:val="clear" w:color="auto" w:fill="auto"/>
          </w:tcPr>
          <w:p w14:paraId="0A3CACF4" w14:textId="77777777" w:rsidR="00284CDE" w:rsidRPr="004E50E7" w:rsidRDefault="00284CDE" w:rsidP="00EF0B39">
            <w:pPr>
              <w:rPr>
                <w:rFonts w:ascii="Calibri" w:hAnsi="Calibri"/>
                <w:b/>
                <w:bCs/>
              </w:rPr>
            </w:pPr>
            <w:r w:rsidRPr="004E50E7">
              <w:rPr>
                <w:rFonts w:ascii="Calibri" w:hAnsi="Calibri"/>
                <w:b/>
                <w:bCs/>
                <w:sz w:val="22"/>
              </w:rPr>
              <w:t>#</w:t>
            </w:r>
          </w:p>
        </w:tc>
        <w:tc>
          <w:tcPr>
            <w:tcW w:w="810" w:type="dxa"/>
            <w:shd w:val="clear" w:color="auto" w:fill="auto"/>
          </w:tcPr>
          <w:p w14:paraId="54C3D40C" w14:textId="77777777" w:rsidR="00284CDE" w:rsidRPr="004E50E7" w:rsidRDefault="00284CDE" w:rsidP="00EF0B39">
            <w:pPr>
              <w:rPr>
                <w:rFonts w:ascii="Calibri" w:hAnsi="Calibri"/>
                <w:b/>
                <w:bCs/>
              </w:rPr>
            </w:pPr>
            <w:r w:rsidRPr="004E50E7">
              <w:rPr>
                <w:rFonts w:ascii="Calibri" w:hAnsi="Calibri"/>
                <w:b/>
                <w:bCs/>
                <w:sz w:val="22"/>
              </w:rPr>
              <w:t>%</w:t>
            </w:r>
          </w:p>
        </w:tc>
      </w:tr>
      <w:tr w:rsidR="00284CDE" w:rsidRPr="008339A5" w14:paraId="2A7AB5C0" w14:textId="77777777" w:rsidTr="00851077">
        <w:tc>
          <w:tcPr>
            <w:tcW w:w="2100" w:type="dxa"/>
          </w:tcPr>
          <w:p w14:paraId="69E89158"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Less than $200,000</w:t>
            </w:r>
          </w:p>
        </w:tc>
        <w:tc>
          <w:tcPr>
            <w:tcW w:w="900" w:type="dxa"/>
          </w:tcPr>
          <w:p w14:paraId="1A1CC233"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1,126</w:t>
            </w:r>
          </w:p>
        </w:tc>
        <w:tc>
          <w:tcPr>
            <w:tcW w:w="900" w:type="dxa"/>
          </w:tcPr>
          <w:p w14:paraId="5C52E136"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15.8</w:t>
            </w:r>
          </w:p>
        </w:tc>
        <w:tc>
          <w:tcPr>
            <w:tcW w:w="900" w:type="dxa"/>
          </w:tcPr>
          <w:p w14:paraId="7296C7C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250</w:t>
            </w:r>
          </w:p>
        </w:tc>
        <w:tc>
          <w:tcPr>
            <w:tcW w:w="900" w:type="dxa"/>
          </w:tcPr>
          <w:p w14:paraId="1D7B247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3.2</w:t>
            </w:r>
          </w:p>
        </w:tc>
        <w:tc>
          <w:tcPr>
            <w:tcW w:w="798" w:type="dxa"/>
            <w:shd w:val="clear" w:color="auto" w:fill="auto"/>
          </w:tcPr>
          <w:p w14:paraId="1832B6C9" w14:textId="77777777" w:rsidR="00284CDE" w:rsidRPr="008339A5" w:rsidRDefault="00851077" w:rsidP="008F2513">
            <w:pPr>
              <w:rPr>
                <w:rFonts w:asciiTheme="minorHAnsi" w:hAnsiTheme="minorHAnsi"/>
                <w:sz w:val="20"/>
                <w:szCs w:val="20"/>
              </w:rPr>
            </w:pPr>
            <w:r>
              <w:rPr>
                <w:rFonts w:asciiTheme="minorHAnsi" w:hAnsiTheme="minorHAnsi"/>
                <w:sz w:val="20"/>
                <w:szCs w:val="20"/>
              </w:rPr>
              <w:t>148</w:t>
            </w:r>
          </w:p>
        </w:tc>
        <w:tc>
          <w:tcPr>
            <w:tcW w:w="720" w:type="dxa"/>
            <w:shd w:val="clear" w:color="auto" w:fill="auto"/>
          </w:tcPr>
          <w:p w14:paraId="6C9AF06B" w14:textId="77777777" w:rsidR="00284CDE" w:rsidRPr="008339A5" w:rsidRDefault="00851077" w:rsidP="008F2513">
            <w:pPr>
              <w:rPr>
                <w:rFonts w:asciiTheme="minorHAnsi" w:hAnsiTheme="minorHAnsi"/>
                <w:sz w:val="20"/>
                <w:szCs w:val="20"/>
              </w:rPr>
            </w:pPr>
            <w:r>
              <w:rPr>
                <w:rFonts w:asciiTheme="minorHAnsi" w:hAnsiTheme="minorHAnsi"/>
                <w:sz w:val="20"/>
                <w:szCs w:val="20"/>
              </w:rPr>
              <w:t>1.7</w:t>
            </w:r>
          </w:p>
        </w:tc>
        <w:tc>
          <w:tcPr>
            <w:tcW w:w="810" w:type="dxa"/>
            <w:shd w:val="clear" w:color="auto" w:fill="auto"/>
          </w:tcPr>
          <w:p w14:paraId="0F0629F1" w14:textId="7FAC32CC" w:rsidR="00284CDE" w:rsidRPr="008339A5" w:rsidRDefault="002851DD" w:rsidP="00851077">
            <w:pPr>
              <w:rPr>
                <w:rFonts w:asciiTheme="minorHAnsi" w:hAnsiTheme="minorHAnsi"/>
                <w:sz w:val="20"/>
                <w:szCs w:val="20"/>
              </w:rPr>
            </w:pPr>
            <w:r>
              <w:rPr>
                <w:rFonts w:asciiTheme="minorHAnsi" w:hAnsiTheme="minorHAnsi"/>
                <w:sz w:val="20"/>
                <w:szCs w:val="20"/>
              </w:rPr>
              <w:t>81</w:t>
            </w:r>
          </w:p>
        </w:tc>
        <w:tc>
          <w:tcPr>
            <w:tcW w:w="810" w:type="dxa"/>
            <w:shd w:val="clear" w:color="auto" w:fill="auto"/>
          </w:tcPr>
          <w:p w14:paraId="7A83B9C5" w14:textId="6EA29496" w:rsidR="00284CDE" w:rsidRPr="008339A5" w:rsidRDefault="002851DD" w:rsidP="00284CDE">
            <w:pPr>
              <w:rPr>
                <w:rFonts w:asciiTheme="minorHAnsi" w:hAnsiTheme="minorHAnsi"/>
                <w:sz w:val="20"/>
                <w:szCs w:val="20"/>
              </w:rPr>
            </w:pPr>
            <w:r>
              <w:rPr>
                <w:rFonts w:asciiTheme="minorHAnsi" w:hAnsiTheme="minorHAnsi"/>
                <w:sz w:val="20"/>
                <w:szCs w:val="20"/>
              </w:rPr>
              <w:t>0.9</w:t>
            </w:r>
          </w:p>
        </w:tc>
      </w:tr>
      <w:tr w:rsidR="00284CDE" w:rsidRPr="008339A5" w14:paraId="3DCAA6DD" w14:textId="77777777" w:rsidTr="00851077">
        <w:trPr>
          <w:cantSplit/>
        </w:trPr>
        <w:tc>
          <w:tcPr>
            <w:tcW w:w="2100" w:type="dxa"/>
          </w:tcPr>
          <w:p w14:paraId="409B51E7"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$200,000 to $299,999</w:t>
            </w:r>
          </w:p>
        </w:tc>
        <w:tc>
          <w:tcPr>
            <w:tcW w:w="900" w:type="dxa"/>
          </w:tcPr>
          <w:p w14:paraId="21A1EBE1"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3,988</w:t>
            </w:r>
          </w:p>
        </w:tc>
        <w:tc>
          <w:tcPr>
            <w:tcW w:w="900" w:type="dxa"/>
          </w:tcPr>
          <w:p w14:paraId="5BE2CBDC"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55.9</w:t>
            </w:r>
          </w:p>
        </w:tc>
        <w:tc>
          <w:tcPr>
            <w:tcW w:w="900" w:type="dxa"/>
          </w:tcPr>
          <w:p w14:paraId="26B3AECF"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1,471</w:t>
            </w:r>
          </w:p>
        </w:tc>
        <w:tc>
          <w:tcPr>
            <w:tcW w:w="900" w:type="dxa"/>
          </w:tcPr>
          <w:p w14:paraId="564606A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19.1</w:t>
            </w:r>
          </w:p>
        </w:tc>
        <w:tc>
          <w:tcPr>
            <w:tcW w:w="798" w:type="dxa"/>
            <w:shd w:val="clear" w:color="auto" w:fill="auto"/>
          </w:tcPr>
          <w:p w14:paraId="577A0B22" w14:textId="77777777" w:rsidR="00284CDE" w:rsidRPr="008339A5" w:rsidRDefault="00851077" w:rsidP="008F2513">
            <w:pPr>
              <w:rPr>
                <w:rFonts w:asciiTheme="minorHAnsi" w:hAnsiTheme="minorHAnsi"/>
                <w:sz w:val="20"/>
                <w:szCs w:val="20"/>
              </w:rPr>
            </w:pPr>
            <w:r>
              <w:rPr>
                <w:rFonts w:asciiTheme="minorHAnsi" w:hAnsiTheme="minorHAnsi"/>
                <w:sz w:val="20"/>
                <w:szCs w:val="20"/>
              </w:rPr>
              <w:t>239</w:t>
            </w:r>
          </w:p>
        </w:tc>
        <w:tc>
          <w:tcPr>
            <w:tcW w:w="720" w:type="dxa"/>
            <w:shd w:val="clear" w:color="auto" w:fill="auto"/>
          </w:tcPr>
          <w:p w14:paraId="000A08B9" w14:textId="77777777" w:rsidR="00284CDE" w:rsidRPr="008339A5" w:rsidRDefault="00851077" w:rsidP="008F2513">
            <w:pPr>
              <w:rPr>
                <w:rFonts w:asciiTheme="minorHAnsi" w:hAnsiTheme="minorHAnsi"/>
                <w:sz w:val="20"/>
                <w:szCs w:val="20"/>
              </w:rPr>
            </w:pPr>
            <w:r>
              <w:rPr>
                <w:rFonts w:asciiTheme="minorHAnsi" w:hAnsiTheme="minorHAnsi"/>
                <w:sz w:val="20"/>
                <w:szCs w:val="20"/>
              </w:rPr>
              <w:t>2.8</w:t>
            </w:r>
          </w:p>
        </w:tc>
        <w:tc>
          <w:tcPr>
            <w:tcW w:w="810" w:type="dxa"/>
            <w:shd w:val="clear" w:color="auto" w:fill="auto"/>
          </w:tcPr>
          <w:p w14:paraId="1BFD4DDE" w14:textId="31D199F9" w:rsidR="00284CDE" w:rsidRPr="008339A5" w:rsidRDefault="002851DD" w:rsidP="00284CDE">
            <w:pPr>
              <w:rPr>
                <w:rFonts w:asciiTheme="minorHAnsi" w:hAnsiTheme="minorHAnsi"/>
                <w:sz w:val="20"/>
                <w:szCs w:val="20"/>
              </w:rPr>
            </w:pPr>
            <w:r>
              <w:rPr>
                <w:rFonts w:asciiTheme="minorHAnsi" w:hAnsiTheme="minorHAnsi"/>
                <w:sz w:val="20"/>
                <w:szCs w:val="20"/>
              </w:rPr>
              <w:t>189</w:t>
            </w:r>
          </w:p>
        </w:tc>
        <w:tc>
          <w:tcPr>
            <w:tcW w:w="810" w:type="dxa"/>
            <w:shd w:val="clear" w:color="auto" w:fill="auto"/>
          </w:tcPr>
          <w:p w14:paraId="5FA0FB04" w14:textId="3DBB7D5D" w:rsidR="00284CDE" w:rsidRPr="008339A5" w:rsidRDefault="002851DD" w:rsidP="00284CDE">
            <w:pPr>
              <w:rPr>
                <w:rFonts w:asciiTheme="minorHAnsi" w:hAnsiTheme="minorHAnsi"/>
                <w:sz w:val="20"/>
                <w:szCs w:val="20"/>
              </w:rPr>
            </w:pPr>
            <w:r>
              <w:rPr>
                <w:rFonts w:asciiTheme="minorHAnsi" w:hAnsiTheme="minorHAnsi"/>
                <w:sz w:val="20"/>
                <w:szCs w:val="20"/>
              </w:rPr>
              <w:t>2.1</w:t>
            </w:r>
          </w:p>
        </w:tc>
      </w:tr>
      <w:tr w:rsidR="00284CDE" w:rsidRPr="008339A5" w14:paraId="642FA21E" w14:textId="77777777" w:rsidTr="00851077">
        <w:trPr>
          <w:cantSplit/>
        </w:trPr>
        <w:tc>
          <w:tcPr>
            <w:tcW w:w="2100" w:type="dxa"/>
          </w:tcPr>
          <w:p w14:paraId="22704108"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$300,000 to $499,999</w:t>
            </w:r>
          </w:p>
        </w:tc>
        <w:tc>
          <w:tcPr>
            <w:tcW w:w="900" w:type="dxa"/>
          </w:tcPr>
          <w:p w14:paraId="477B941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1,672</w:t>
            </w:r>
          </w:p>
        </w:tc>
        <w:tc>
          <w:tcPr>
            <w:tcW w:w="900" w:type="dxa"/>
          </w:tcPr>
          <w:p w14:paraId="6AED1B6E"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23.4</w:t>
            </w:r>
          </w:p>
        </w:tc>
        <w:tc>
          <w:tcPr>
            <w:tcW w:w="900" w:type="dxa"/>
          </w:tcPr>
          <w:p w14:paraId="25424C70"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4,274</w:t>
            </w:r>
          </w:p>
        </w:tc>
        <w:tc>
          <w:tcPr>
            <w:tcW w:w="900" w:type="dxa"/>
          </w:tcPr>
          <w:p w14:paraId="7B7B39BA"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55.5</w:t>
            </w:r>
          </w:p>
        </w:tc>
        <w:tc>
          <w:tcPr>
            <w:tcW w:w="798" w:type="dxa"/>
            <w:shd w:val="clear" w:color="auto" w:fill="auto"/>
          </w:tcPr>
          <w:p w14:paraId="41629AFE" w14:textId="77777777" w:rsidR="00284CDE" w:rsidRPr="008339A5" w:rsidRDefault="00851077" w:rsidP="008F2513">
            <w:pPr>
              <w:rPr>
                <w:rFonts w:asciiTheme="minorHAnsi" w:hAnsiTheme="minorHAnsi"/>
                <w:sz w:val="20"/>
                <w:szCs w:val="20"/>
              </w:rPr>
            </w:pPr>
            <w:r>
              <w:rPr>
                <w:rFonts w:asciiTheme="minorHAnsi" w:hAnsiTheme="minorHAnsi"/>
                <w:sz w:val="20"/>
                <w:szCs w:val="20"/>
              </w:rPr>
              <w:t>1,551</w:t>
            </w:r>
          </w:p>
        </w:tc>
        <w:tc>
          <w:tcPr>
            <w:tcW w:w="720" w:type="dxa"/>
            <w:shd w:val="clear" w:color="auto" w:fill="auto"/>
          </w:tcPr>
          <w:p w14:paraId="7EE0D704" w14:textId="77777777" w:rsidR="00284CDE" w:rsidRPr="008339A5" w:rsidRDefault="00851077" w:rsidP="008F2513">
            <w:pPr>
              <w:rPr>
                <w:rFonts w:asciiTheme="minorHAnsi" w:hAnsiTheme="minorHAnsi"/>
                <w:sz w:val="20"/>
                <w:szCs w:val="20"/>
              </w:rPr>
            </w:pPr>
            <w:r>
              <w:rPr>
                <w:rFonts w:asciiTheme="minorHAnsi" w:hAnsiTheme="minorHAnsi"/>
                <w:sz w:val="20"/>
                <w:szCs w:val="20"/>
              </w:rPr>
              <w:t>18.0</w:t>
            </w:r>
          </w:p>
        </w:tc>
        <w:tc>
          <w:tcPr>
            <w:tcW w:w="810" w:type="dxa"/>
            <w:shd w:val="clear" w:color="auto" w:fill="auto"/>
          </w:tcPr>
          <w:p w14:paraId="12A59F01" w14:textId="249BA460" w:rsidR="00284CDE" w:rsidRPr="008339A5" w:rsidRDefault="002851DD" w:rsidP="00284CDE">
            <w:pPr>
              <w:rPr>
                <w:rFonts w:asciiTheme="minorHAnsi" w:hAnsiTheme="minorHAnsi"/>
                <w:sz w:val="20"/>
                <w:szCs w:val="20"/>
              </w:rPr>
            </w:pPr>
            <w:r>
              <w:rPr>
                <w:rFonts w:asciiTheme="minorHAnsi" w:hAnsiTheme="minorHAnsi"/>
                <w:sz w:val="20"/>
                <w:szCs w:val="20"/>
              </w:rPr>
              <w:t>304</w:t>
            </w:r>
          </w:p>
        </w:tc>
        <w:tc>
          <w:tcPr>
            <w:tcW w:w="810" w:type="dxa"/>
            <w:shd w:val="clear" w:color="auto" w:fill="auto"/>
          </w:tcPr>
          <w:p w14:paraId="76D1A83A" w14:textId="3D1681DE" w:rsidR="00284CDE" w:rsidRPr="008339A5" w:rsidRDefault="002851DD" w:rsidP="00284CDE">
            <w:pPr>
              <w:rPr>
                <w:rFonts w:asciiTheme="minorHAnsi" w:hAnsiTheme="minorHAnsi"/>
                <w:sz w:val="20"/>
                <w:szCs w:val="20"/>
              </w:rPr>
            </w:pPr>
            <w:r>
              <w:rPr>
                <w:rFonts w:asciiTheme="minorHAnsi" w:hAnsiTheme="minorHAnsi"/>
                <w:sz w:val="20"/>
                <w:szCs w:val="20"/>
              </w:rPr>
              <w:t>3.3</w:t>
            </w:r>
          </w:p>
        </w:tc>
      </w:tr>
      <w:tr w:rsidR="00284CDE" w:rsidRPr="008339A5" w14:paraId="34C63C23" w14:textId="77777777" w:rsidTr="00851077">
        <w:trPr>
          <w:cantSplit/>
        </w:trPr>
        <w:tc>
          <w:tcPr>
            <w:tcW w:w="2100" w:type="dxa"/>
          </w:tcPr>
          <w:p w14:paraId="126B4C37"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$500,000 to $999,999</w:t>
            </w:r>
          </w:p>
        </w:tc>
        <w:tc>
          <w:tcPr>
            <w:tcW w:w="900" w:type="dxa"/>
            <w:vMerge w:val="restart"/>
          </w:tcPr>
          <w:p w14:paraId="3957A25D"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350</w:t>
            </w:r>
          </w:p>
        </w:tc>
        <w:tc>
          <w:tcPr>
            <w:tcW w:w="900" w:type="dxa"/>
            <w:vMerge w:val="restart"/>
          </w:tcPr>
          <w:p w14:paraId="71FC8F1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4.9</w:t>
            </w:r>
          </w:p>
        </w:tc>
        <w:tc>
          <w:tcPr>
            <w:tcW w:w="900" w:type="dxa"/>
          </w:tcPr>
          <w:p w14:paraId="010A663C"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1,577</w:t>
            </w:r>
          </w:p>
        </w:tc>
        <w:tc>
          <w:tcPr>
            <w:tcW w:w="900" w:type="dxa"/>
          </w:tcPr>
          <w:p w14:paraId="0700CF76"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20.5</w:t>
            </w:r>
          </w:p>
        </w:tc>
        <w:tc>
          <w:tcPr>
            <w:tcW w:w="798" w:type="dxa"/>
            <w:shd w:val="clear" w:color="auto" w:fill="auto"/>
          </w:tcPr>
          <w:p w14:paraId="4523962B" w14:textId="77777777" w:rsidR="00284CDE" w:rsidRPr="008339A5" w:rsidRDefault="00851077" w:rsidP="008F2513">
            <w:pPr>
              <w:rPr>
                <w:rFonts w:asciiTheme="minorHAnsi" w:hAnsiTheme="minorHAnsi"/>
                <w:sz w:val="20"/>
                <w:szCs w:val="20"/>
              </w:rPr>
            </w:pPr>
            <w:r>
              <w:rPr>
                <w:rFonts w:asciiTheme="minorHAnsi" w:hAnsiTheme="minorHAnsi"/>
                <w:sz w:val="20"/>
                <w:szCs w:val="20"/>
              </w:rPr>
              <w:t>5,525</w:t>
            </w:r>
          </w:p>
        </w:tc>
        <w:tc>
          <w:tcPr>
            <w:tcW w:w="720" w:type="dxa"/>
            <w:shd w:val="clear" w:color="auto" w:fill="auto"/>
          </w:tcPr>
          <w:p w14:paraId="0144CCB9" w14:textId="77777777" w:rsidR="00284CDE" w:rsidRPr="008339A5" w:rsidRDefault="00851077" w:rsidP="008F2513">
            <w:pPr>
              <w:rPr>
                <w:rFonts w:asciiTheme="minorHAnsi" w:hAnsiTheme="minorHAnsi"/>
                <w:sz w:val="20"/>
                <w:szCs w:val="20"/>
              </w:rPr>
            </w:pPr>
            <w:r>
              <w:rPr>
                <w:rFonts w:asciiTheme="minorHAnsi" w:hAnsiTheme="minorHAnsi"/>
                <w:sz w:val="20"/>
                <w:szCs w:val="20"/>
              </w:rPr>
              <w:t>64.2</w:t>
            </w:r>
          </w:p>
        </w:tc>
        <w:tc>
          <w:tcPr>
            <w:tcW w:w="810" w:type="dxa"/>
            <w:shd w:val="clear" w:color="auto" w:fill="auto"/>
          </w:tcPr>
          <w:p w14:paraId="476E8FF3" w14:textId="7AA503D1" w:rsidR="00284CDE" w:rsidRPr="008339A5" w:rsidRDefault="002851DD" w:rsidP="00284CDE">
            <w:pPr>
              <w:rPr>
                <w:rFonts w:asciiTheme="minorHAnsi" w:hAnsiTheme="minorHAnsi"/>
                <w:sz w:val="20"/>
                <w:szCs w:val="20"/>
              </w:rPr>
            </w:pPr>
            <w:r>
              <w:rPr>
                <w:rFonts w:asciiTheme="minorHAnsi" w:hAnsiTheme="minorHAnsi"/>
                <w:sz w:val="20"/>
                <w:szCs w:val="20"/>
              </w:rPr>
              <w:t>5,324</w:t>
            </w:r>
          </w:p>
        </w:tc>
        <w:tc>
          <w:tcPr>
            <w:tcW w:w="810" w:type="dxa"/>
            <w:shd w:val="clear" w:color="auto" w:fill="auto"/>
          </w:tcPr>
          <w:p w14:paraId="779546B3" w14:textId="33B1C8A9" w:rsidR="00284CDE" w:rsidRPr="008339A5" w:rsidRDefault="002851DD" w:rsidP="00284CDE">
            <w:pPr>
              <w:rPr>
                <w:rFonts w:asciiTheme="minorHAnsi" w:hAnsiTheme="minorHAnsi"/>
                <w:sz w:val="20"/>
                <w:szCs w:val="20"/>
              </w:rPr>
            </w:pPr>
            <w:r>
              <w:rPr>
                <w:rFonts w:asciiTheme="minorHAnsi" w:hAnsiTheme="minorHAnsi"/>
                <w:sz w:val="20"/>
                <w:szCs w:val="20"/>
              </w:rPr>
              <w:t>58.6</w:t>
            </w:r>
          </w:p>
        </w:tc>
      </w:tr>
      <w:tr w:rsidR="00284CDE" w:rsidRPr="008339A5" w14:paraId="5ABD953D" w14:textId="77777777" w:rsidTr="00851077">
        <w:trPr>
          <w:cantSplit/>
        </w:trPr>
        <w:tc>
          <w:tcPr>
            <w:tcW w:w="2100" w:type="dxa"/>
          </w:tcPr>
          <w:p w14:paraId="33FDCEFA"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$1 million or more</w:t>
            </w:r>
          </w:p>
        </w:tc>
        <w:tc>
          <w:tcPr>
            <w:tcW w:w="900" w:type="dxa"/>
            <w:vMerge/>
          </w:tcPr>
          <w:p w14:paraId="2AFA1281" w14:textId="77777777" w:rsidR="00284CDE" w:rsidRPr="008339A5" w:rsidRDefault="00284CDE" w:rsidP="008F2513">
            <w:pPr>
              <w:rPr>
                <w:rFonts w:asciiTheme="minorHAnsi" w:hAnsiTheme="minorHAnsi"/>
                <w:sz w:val="20"/>
                <w:szCs w:val="20"/>
              </w:rPr>
            </w:pPr>
          </w:p>
        </w:tc>
        <w:tc>
          <w:tcPr>
            <w:tcW w:w="900" w:type="dxa"/>
            <w:vMerge/>
          </w:tcPr>
          <w:p w14:paraId="56A4B5DB" w14:textId="77777777" w:rsidR="00284CDE" w:rsidRPr="008339A5" w:rsidRDefault="00284CDE" w:rsidP="008F2513">
            <w:pPr>
              <w:rPr>
                <w:rFonts w:asciiTheme="minorHAnsi" w:hAnsiTheme="minorHAnsi"/>
                <w:sz w:val="20"/>
                <w:szCs w:val="20"/>
              </w:rPr>
            </w:pPr>
          </w:p>
        </w:tc>
        <w:tc>
          <w:tcPr>
            <w:tcW w:w="900" w:type="dxa"/>
          </w:tcPr>
          <w:p w14:paraId="07E167FB"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126</w:t>
            </w:r>
          </w:p>
        </w:tc>
        <w:tc>
          <w:tcPr>
            <w:tcW w:w="900" w:type="dxa"/>
          </w:tcPr>
          <w:p w14:paraId="6D5EBE5B"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1.6</w:t>
            </w:r>
          </w:p>
        </w:tc>
        <w:tc>
          <w:tcPr>
            <w:tcW w:w="798" w:type="dxa"/>
            <w:shd w:val="clear" w:color="auto" w:fill="auto"/>
          </w:tcPr>
          <w:p w14:paraId="66B98F69" w14:textId="77777777" w:rsidR="00284CDE" w:rsidRPr="008339A5" w:rsidRDefault="00851077" w:rsidP="008F2513">
            <w:pPr>
              <w:rPr>
                <w:rFonts w:asciiTheme="minorHAnsi" w:hAnsiTheme="minorHAnsi"/>
                <w:sz w:val="20"/>
                <w:szCs w:val="20"/>
              </w:rPr>
            </w:pPr>
            <w:r>
              <w:rPr>
                <w:rFonts w:asciiTheme="minorHAnsi" w:hAnsiTheme="minorHAnsi"/>
                <w:sz w:val="20"/>
                <w:szCs w:val="20"/>
              </w:rPr>
              <w:t>1,144</w:t>
            </w:r>
          </w:p>
        </w:tc>
        <w:tc>
          <w:tcPr>
            <w:tcW w:w="720" w:type="dxa"/>
            <w:shd w:val="clear" w:color="auto" w:fill="auto"/>
          </w:tcPr>
          <w:p w14:paraId="77BF8DC7" w14:textId="77777777" w:rsidR="00284CDE" w:rsidRPr="008339A5" w:rsidRDefault="00851077" w:rsidP="008F2513">
            <w:pPr>
              <w:rPr>
                <w:rFonts w:asciiTheme="minorHAnsi" w:hAnsiTheme="minorHAnsi"/>
                <w:sz w:val="20"/>
                <w:szCs w:val="20"/>
              </w:rPr>
            </w:pPr>
            <w:r>
              <w:rPr>
                <w:rFonts w:asciiTheme="minorHAnsi" w:hAnsiTheme="minorHAnsi"/>
                <w:sz w:val="20"/>
                <w:szCs w:val="20"/>
              </w:rPr>
              <w:t>13.3</w:t>
            </w:r>
          </w:p>
        </w:tc>
        <w:tc>
          <w:tcPr>
            <w:tcW w:w="810" w:type="dxa"/>
            <w:shd w:val="clear" w:color="auto" w:fill="auto"/>
          </w:tcPr>
          <w:p w14:paraId="0AAEF4F2" w14:textId="7C06525A" w:rsidR="00284CDE" w:rsidRPr="008339A5" w:rsidRDefault="002851DD" w:rsidP="00284CDE">
            <w:pPr>
              <w:rPr>
                <w:rFonts w:asciiTheme="minorHAnsi" w:hAnsiTheme="minorHAnsi"/>
                <w:sz w:val="20"/>
                <w:szCs w:val="20"/>
              </w:rPr>
            </w:pPr>
            <w:r>
              <w:rPr>
                <w:rFonts w:asciiTheme="minorHAnsi" w:hAnsiTheme="minorHAnsi"/>
                <w:sz w:val="20"/>
                <w:szCs w:val="20"/>
              </w:rPr>
              <w:t>3,194</w:t>
            </w:r>
          </w:p>
        </w:tc>
        <w:tc>
          <w:tcPr>
            <w:tcW w:w="810" w:type="dxa"/>
            <w:shd w:val="clear" w:color="auto" w:fill="auto"/>
          </w:tcPr>
          <w:p w14:paraId="74F79FE2" w14:textId="14ED1C7C" w:rsidR="00284CDE" w:rsidRPr="008339A5" w:rsidRDefault="002851DD" w:rsidP="00284CDE">
            <w:pPr>
              <w:rPr>
                <w:rFonts w:asciiTheme="minorHAnsi" w:hAnsiTheme="minorHAnsi"/>
                <w:sz w:val="20"/>
                <w:szCs w:val="20"/>
              </w:rPr>
            </w:pPr>
            <w:r>
              <w:rPr>
                <w:rFonts w:asciiTheme="minorHAnsi" w:hAnsiTheme="minorHAnsi"/>
                <w:sz w:val="20"/>
                <w:szCs w:val="20"/>
              </w:rPr>
              <w:t>35.1</w:t>
            </w:r>
          </w:p>
        </w:tc>
      </w:tr>
      <w:tr w:rsidR="00284CDE" w:rsidRPr="008339A5" w14:paraId="43E4F429" w14:textId="77777777" w:rsidTr="00851077">
        <w:trPr>
          <w:cantSplit/>
        </w:trPr>
        <w:tc>
          <w:tcPr>
            <w:tcW w:w="2100" w:type="dxa"/>
          </w:tcPr>
          <w:p w14:paraId="361333FB"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Total</w:t>
            </w:r>
          </w:p>
        </w:tc>
        <w:tc>
          <w:tcPr>
            <w:tcW w:w="900" w:type="dxa"/>
          </w:tcPr>
          <w:p w14:paraId="19BDF077"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7,136</w:t>
            </w:r>
          </w:p>
        </w:tc>
        <w:tc>
          <w:tcPr>
            <w:tcW w:w="900" w:type="dxa"/>
          </w:tcPr>
          <w:p w14:paraId="26BEB543"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100.0</w:t>
            </w:r>
          </w:p>
        </w:tc>
        <w:tc>
          <w:tcPr>
            <w:tcW w:w="900" w:type="dxa"/>
          </w:tcPr>
          <w:p w14:paraId="7D3C8F5F"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7,698</w:t>
            </w:r>
          </w:p>
        </w:tc>
        <w:tc>
          <w:tcPr>
            <w:tcW w:w="900" w:type="dxa"/>
          </w:tcPr>
          <w:p w14:paraId="17552D05"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100.0</w:t>
            </w:r>
          </w:p>
        </w:tc>
        <w:tc>
          <w:tcPr>
            <w:tcW w:w="798" w:type="dxa"/>
            <w:shd w:val="clear" w:color="auto" w:fill="auto"/>
          </w:tcPr>
          <w:p w14:paraId="39ACD5E2" w14:textId="77777777" w:rsidR="00284CDE" w:rsidRPr="008339A5" w:rsidRDefault="00851077" w:rsidP="008F2513">
            <w:pPr>
              <w:rPr>
                <w:rFonts w:asciiTheme="minorHAnsi" w:hAnsiTheme="minorHAnsi"/>
                <w:sz w:val="20"/>
                <w:szCs w:val="20"/>
              </w:rPr>
            </w:pPr>
            <w:r>
              <w:rPr>
                <w:rFonts w:asciiTheme="minorHAnsi" w:hAnsiTheme="minorHAnsi"/>
                <w:sz w:val="20"/>
                <w:szCs w:val="20"/>
              </w:rPr>
              <w:t>8,607</w:t>
            </w:r>
          </w:p>
        </w:tc>
        <w:tc>
          <w:tcPr>
            <w:tcW w:w="720" w:type="dxa"/>
            <w:shd w:val="clear" w:color="auto" w:fill="auto"/>
          </w:tcPr>
          <w:p w14:paraId="36961A5D" w14:textId="77777777" w:rsidR="00284CDE" w:rsidRPr="008339A5" w:rsidRDefault="00851077" w:rsidP="008F2513">
            <w:pPr>
              <w:rPr>
                <w:rFonts w:asciiTheme="minorHAnsi" w:hAnsiTheme="minorHAnsi"/>
                <w:sz w:val="20"/>
                <w:szCs w:val="20"/>
              </w:rPr>
            </w:pPr>
            <w:r>
              <w:rPr>
                <w:rFonts w:asciiTheme="minorHAnsi" w:hAnsiTheme="minorHAnsi"/>
                <w:sz w:val="20"/>
                <w:szCs w:val="20"/>
              </w:rPr>
              <w:t>100.0</w:t>
            </w:r>
          </w:p>
        </w:tc>
        <w:tc>
          <w:tcPr>
            <w:tcW w:w="810" w:type="dxa"/>
            <w:shd w:val="clear" w:color="auto" w:fill="auto"/>
          </w:tcPr>
          <w:p w14:paraId="377E44C4" w14:textId="33290D85" w:rsidR="00284CDE" w:rsidRPr="008339A5" w:rsidRDefault="002851DD" w:rsidP="00284CDE">
            <w:pPr>
              <w:rPr>
                <w:rFonts w:asciiTheme="minorHAnsi" w:hAnsiTheme="minorHAnsi"/>
                <w:sz w:val="20"/>
                <w:szCs w:val="20"/>
              </w:rPr>
            </w:pPr>
            <w:r>
              <w:rPr>
                <w:rFonts w:asciiTheme="minorHAnsi" w:hAnsiTheme="minorHAnsi"/>
                <w:sz w:val="20"/>
                <w:szCs w:val="20"/>
              </w:rPr>
              <w:t>9,092</w:t>
            </w:r>
          </w:p>
        </w:tc>
        <w:tc>
          <w:tcPr>
            <w:tcW w:w="810" w:type="dxa"/>
            <w:shd w:val="clear" w:color="auto" w:fill="auto"/>
          </w:tcPr>
          <w:p w14:paraId="0220EB06" w14:textId="5B386B6C" w:rsidR="00284CDE" w:rsidRPr="008339A5" w:rsidRDefault="002851DD" w:rsidP="00284CDE">
            <w:pPr>
              <w:rPr>
                <w:rFonts w:asciiTheme="minorHAnsi" w:hAnsiTheme="minorHAnsi"/>
                <w:sz w:val="20"/>
                <w:szCs w:val="20"/>
              </w:rPr>
            </w:pPr>
            <w:r>
              <w:rPr>
                <w:rFonts w:asciiTheme="minorHAnsi" w:hAnsiTheme="minorHAnsi"/>
                <w:sz w:val="20"/>
                <w:szCs w:val="20"/>
              </w:rPr>
              <w:t>100.0</w:t>
            </w:r>
          </w:p>
        </w:tc>
      </w:tr>
      <w:tr w:rsidR="00284CDE" w:rsidRPr="008339A5" w14:paraId="00850DAC" w14:textId="77777777" w:rsidTr="00851077">
        <w:trPr>
          <w:cantSplit/>
        </w:trPr>
        <w:tc>
          <w:tcPr>
            <w:tcW w:w="2100" w:type="dxa"/>
          </w:tcPr>
          <w:p w14:paraId="41779E77" w14:textId="77777777" w:rsidR="00284CDE" w:rsidRPr="008339A5" w:rsidRDefault="00284CDE" w:rsidP="008F2513">
            <w:pPr>
              <w:pStyle w:val="BodyTextIndent"/>
              <w:spacing w:after="0"/>
              <w:ind w:left="0" w:right="-720"/>
              <w:rPr>
                <w:rFonts w:asciiTheme="minorHAnsi" w:hAnsiTheme="minorHAnsi"/>
                <w:sz w:val="20"/>
                <w:szCs w:val="20"/>
              </w:rPr>
            </w:pPr>
            <w:r w:rsidRPr="008339A5">
              <w:rPr>
                <w:rFonts w:asciiTheme="minorHAnsi" w:hAnsiTheme="minorHAnsi"/>
                <w:sz w:val="20"/>
                <w:szCs w:val="20"/>
              </w:rPr>
              <w:t>Median (dollars)</w:t>
            </w:r>
          </w:p>
        </w:tc>
        <w:tc>
          <w:tcPr>
            <w:tcW w:w="1800" w:type="dxa"/>
            <w:gridSpan w:val="2"/>
          </w:tcPr>
          <w:p w14:paraId="25071658"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$256,500</w:t>
            </w:r>
          </w:p>
        </w:tc>
        <w:tc>
          <w:tcPr>
            <w:tcW w:w="1800" w:type="dxa"/>
            <w:gridSpan w:val="2"/>
          </w:tcPr>
          <w:p w14:paraId="1BF10304" w14:textId="77777777" w:rsidR="00284CDE" w:rsidRPr="008339A5" w:rsidRDefault="00284CDE" w:rsidP="008F2513">
            <w:pPr>
              <w:rPr>
                <w:rFonts w:asciiTheme="minorHAnsi" w:hAnsiTheme="minorHAnsi"/>
                <w:sz w:val="20"/>
                <w:szCs w:val="20"/>
              </w:rPr>
            </w:pPr>
            <w:r w:rsidRPr="008339A5">
              <w:rPr>
                <w:rFonts w:asciiTheme="minorHAnsi" w:hAnsiTheme="minorHAnsi"/>
                <w:sz w:val="20"/>
                <w:szCs w:val="20"/>
              </w:rPr>
              <w:t>$385,600</w:t>
            </w:r>
          </w:p>
        </w:tc>
        <w:tc>
          <w:tcPr>
            <w:tcW w:w="1518" w:type="dxa"/>
            <w:gridSpan w:val="2"/>
            <w:shd w:val="clear" w:color="auto" w:fill="auto"/>
          </w:tcPr>
          <w:p w14:paraId="080D6A27" w14:textId="77777777" w:rsidR="00284CDE" w:rsidRPr="008339A5" w:rsidRDefault="00851077" w:rsidP="008F2513">
            <w:pPr>
              <w:rPr>
                <w:rFonts w:asciiTheme="minorHAnsi" w:hAnsiTheme="minorHAnsi"/>
                <w:sz w:val="20"/>
                <w:szCs w:val="20"/>
              </w:rPr>
            </w:pPr>
            <w:r>
              <w:rPr>
                <w:rFonts w:asciiTheme="minorHAnsi" w:hAnsiTheme="minorHAnsi"/>
                <w:sz w:val="20"/>
                <w:szCs w:val="20"/>
              </w:rPr>
              <w:t>$646,300</w:t>
            </w:r>
          </w:p>
        </w:tc>
        <w:tc>
          <w:tcPr>
            <w:tcW w:w="1620" w:type="dxa"/>
            <w:gridSpan w:val="2"/>
            <w:shd w:val="clear" w:color="auto" w:fill="auto"/>
          </w:tcPr>
          <w:p w14:paraId="05AE0867" w14:textId="4BA10F7F" w:rsidR="00284CDE" w:rsidRPr="008339A5" w:rsidRDefault="002851DD" w:rsidP="00284CDE">
            <w:pPr>
              <w:rPr>
                <w:rFonts w:asciiTheme="minorHAnsi" w:hAnsiTheme="minorHAnsi"/>
                <w:sz w:val="20"/>
                <w:szCs w:val="20"/>
              </w:rPr>
            </w:pPr>
            <w:r>
              <w:rPr>
                <w:rFonts w:asciiTheme="minorHAnsi" w:hAnsiTheme="minorHAnsi"/>
                <w:sz w:val="20"/>
                <w:szCs w:val="20"/>
              </w:rPr>
              <w:t>$</w:t>
            </w:r>
            <w:r w:rsidR="002A6B66">
              <w:rPr>
                <w:rFonts w:asciiTheme="minorHAnsi" w:hAnsiTheme="minorHAnsi"/>
                <w:sz w:val="20"/>
                <w:szCs w:val="20"/>
              </w:rPr>
              <w:t>900,200</w:t>
            </w:r>
          </w:p>
        </w:tc>
      </w:tr>
    </w:tbl>
    <w:p w14:paraId="0B6A2015" w14:textId="70BDC0EB" w:rsidR="008772FC" w:rsidRPr="008339A5" w:rsidRDefault="008772FC" w:rsidP="00284CDE">
      <w:pPr>
        <w:pStyle w:val="FootnoteText"/>
        <w:rPr>
          <w:rFonts w:asciiTheme="minorHAnsi" w:hAnsiTheme="minorHAnsi"/>
        </w:rPr>
      </w:pPr>
      <w:r w:rsidRPr="008339A5">
        <w:rPr>
          <w:rFonts w:asciiTheme="minorHAnsi" w:hAnsiTheme="minorHAnsi"/>
        </w:rPr>
        <w:t>Source:  U.S. Census Bureau, 1990 and 2000, Summary File 1, and U.S. Census Bureau, 200</w:t>
      </w:r>
      <w:r w:rsidR="00284CDE">
        <w:rPr>
          <w:rFonts w:asciiTheme="minorHAnsi" w:hAnsiTheme="minorHAnsi"/>
        </w:rPr>
        <w:t>6</w:t>
      </w:r>
      <w:r w:rsidRPr="008339A5">
        <w:rPr>
          <w:rFonts w:asciiTheme="minorHAnsi" w:hAnsiTheme="minorHAnsi"/>
        </w:rPr>
        <w:t>-201</w:t>
      </w:r>
      <w:r w:rsidR="00284CDE">
        <w:rPr>
          <w:rFonts w:asciiTheme="minorHAnsi" w:hAnsiTheme="minorHAnsi"/>
        </w:rPr>
        <w:t>0 and 201</w:t>
      </w:r>
      <w:r w:rsidR="002851DD">
        <w:rPr>
          <w:rFonts w:asciiTheme="minorHAnsi" w:hAnsiTheme="minorHAnsi"/>
        </w:rPr>
        <w:t>6</w:t>
      </w:r>
      <w:r w:rsidR="00284CDE">
        <w:rPr>
          <w:rFonts w:asciiTheme="minorHAnsi" w:hAnsiTheme="minorHAnsi"/>
        </w:rPr>
        <w:t>-20</w:t>
      </w:r>
      <w:r w:rsidR="002851DD">
        <w:rPr>
          <w:rFonts w:asciiTheme="minorHAnsi" w:hAnsiTheme="minorHAnsi"/>
        </w:rPr>
        <w:t xml:space="preserve">20 </w:t>
      </w:r>
      <w:r w:rsidRPr="008339A5">
        <w:rPr>
          <w:rFonts w:asciiTheme="minorHAnsi" w:hAnsiTheme="minorHAnsi"/>
        </w:rPr>
        <w:t>American Community Survey</w:t>
      </w:r>
      <w:r w:rsidR="00284CDE">
        <w:rPr>
          <w:rFonts w:asciiTheme="minorHAnsi" w:hAnsiTheme="minorHAnsi"/>
        </w:rPr>
        <w:t xml:space="preserve"> 5-Year Estimates. </w:t>
      </w:r>
    </w:p>
    <w:p w14:paraId="015D79A2" w14:textId="77777777" w:rsidR="008772FC" w:rsidRDefault="008772FC" w:rsidP="008772FC">
      <w:pPr>
        <w:ind w:right="-720"/>
        <w:rPr>
          <w:rFonts w:ascii="Calibri" w:hAnsi="Calibri"/>
          <w:sz w:val="22"/>
          <w:szCs w:val="22"/>
        </w:rPr>
      </w:pPr>
    </w:p>
    <w:p w14:paraId="7A0FFD13" w14:textId="6EBC1EFE" w:rsidR="008772FC" w:rsidRPr="008339A5" w:rsidRDefault="008772FC" w:rsidP="00456374">
      <w:pPr>
        <w:pStyle w:val="BodyTextIndent"/>
        <w:spacing w:after="0"/>
        <w:ind w:left="0"/>
        <w:jc w:val="both"/>
        <w:rPr>
          <w:rFonts w:ascii="Calibri" w:hAnsi="Calibri"/>
          <w:sz w:val="22"/>
          <w:szCs w:val="22"/>
        </w:rPr>
      </w:pPr>
      <w:r w:rsidRPr="008339A5">
        <w:rPr>
          <w:rFonts w:ascii="Calibri" w:hAnsi="Calibri"/>
          <w:sz w:val="22"/>
          <w:szCs w:val="22"/>
        </w:rPr>
        <w:t xml:space="preserve">Table </w:t>
      </w:r>
      <w:r w:rsidR="00621244">
        <w:rPr>
          <w:rFonts w:ascii="Calibri" w:hAnsi="Calibri"/>
          <w:sz w:val="22"/>
          <w:szCs w:val="22"/>
        </w:rPr>
        <w:t>III-2</w:t>
      </w:r>
      <w:r w:rsidR="0028014C">
        <w:rPr>
          <w:rFonts w:ascii="Calibri" w:hAnsi="Calibri"/>
          <w:sz w:val="22"/>
          <w:szCs w:val="22"/>
        </w:rPr>
        <w:t>9</w:t>
      </w:r>
      <w:r w:rsidRPr="008339A5">
        <w:rPr>
          <w:rFonts w:ascii="Calibri" w:hAnsi="Calibri"/>
          <w:sz w:val="22"/>
          <w:szCs w:val="22"/>
        </w:rPr>
        <w:t xml:space="preserve"> provides </w:t>
      </w:r>
      <w:r w:rsidRPr="00271896">
        <w:rPr>
          <w:rFonts w:ascii="Calibri" w:hAnsi="Calibri"/>
          <w:iCs/>
          <w:sz w:val="22"/>
          <w:szCs w:val="22"/>
        </w:rPr>
        <w:t>The Warren Group data from</w:t>
      </w:r>
      <w:r w:rsidRPr="008339A5">
        <w:rPr>
          <w:rFonts w:ascii="Calibri" w:hAnsi="Calibri"/>
          <w:i/>
          <w:iCs/>
          <w:sz w:val="22"/>
          <w:szCs w:val="22"/>
        </w:rPr>
        <w:t xml:space="preserve"> Banker &amp; Tradesman</w:t>
      </w:r>
      <w:r w:rsidRPr="008339A5">
        <w:rPr>
          <w:rFonts w:ascii="Calibri" w:hAnsi="Calibri"/>
          <w:sz w:val="22"/>
          <w:szCs w:val="22"/>
        </w:rPr>
        <w:t xml:space="preserve"> on median sales prices and the number of sales from </w:t>
      </w:r>
      <w:r w:rsidR="00DD5497">
        <w:rPr>
          <w:rFonts w:ascii="Calibri" w:hAnsi="Calibri"/>
          <w:sz w:val="22"/>
          <w:szCs w:val="22"/>
        </w:rPr>
        <w:t>2000</w:t>
      </w:r>
      <w:r w:rsidRPr="008339A5">
        <w:rPr>
          <w:rFonts w:ascii="Calibri" w:hAnsi="Calibri"/>
          <w:sz w:val="22"/>
          <w:szCs w:val="22"/>
        </w:rPr>
        <w:t xml:space="preserve"> through </w:t>
      </w:r>
      <w:r w:rsidR="00621244">
        <w:rPr>
          <w:rFonts w:ascii="Calibri" w:hAnsi="Calibri"/>
          <w:sz w:val="22"/>
          <w:szCs w:val="22"/>
        </w:rPr>
        <w:t>2021</w:t>
      </w:r>
      <w:r w:rsidRPr="008339A5">
        <w:rPr>
          <w:rFonts w:ascii="Calibri" w:hAnsi="Calibri"/>
          <w:sz w:val="22"/>
          <w:szCs w:val="22"/>
        </w:rPr>
        <w:t xml:space="preserve">, offering a long-range perspective on sales activity. This data is tracked from Multiple Listing Service information based on actual sales.  </w:t>
      </w:r>
    </w:p>
    <w:p w14:paraId="526CB375" w14:textId="77777777" w:rsidR="008772FC" w:rsidRPr="008339A5" w:rsidRDefault="008772FC" w:rsidP="00456374">
      <w:pPr>
        <w:pStyle w:val="BodyTextIndent"/>
        <w:spacing w:after="0"/>
        <w:ind w:left="0"/>
        <w:jc w:val="both"/>
        <w:rPr>
          <w:rFonts w:ascii="Calibri" w:hAnsi="Calibri"/>
          <w:sz w:val="22"/>
          <w:szCs w:val="22"/>
        </w:rPr>
      </w:pPr>
    </w:p>
    <w:p w14:paraId="2F2D6C57" w14:textId="575610CD" w:rsidR="008772FC" w:rsidRPr="004E50E7" w:rsidRDefault="00456374" w:rsidP="00456374">
      <w:pPr>
        <w:pStyle w:val="BodyTextIndent"/>
        <w:pBdr>
          <w:top w:val="single" w:sz="4" w:space="1" w:color="auto"/>
          <w:left w:val="single" w:sz="4" w:space="4" w:color="auto"/>
          <w:bottom w:val="single" w:sz="4" w:space="1" w:color="auto"/>
          <w:right w:val="single" w:sz="4" w:space="4" w:color="auto"/>
        </w:pBdr>
        <w:shd w:val="clear" w:color="auto" w:fill="B6DDE8" w:themeFill="accent5" w:themeFillTint="66"/>
        <w:ind w:left="0"/>
        <w:jc w:val="center"/>
        <w:rPr>
          <w:rFonts w:ascii="Calibri" w:hAnsi="Calibri"/>
          <w:szCs w:val="22"/>
        </w:rPr>
      </w:pPr>
      <w:r>
        <w:rPr>
          <w:rFonts w:ascii="Calibri" w:hAnsi="Calibri"/>
          <w:szCs w:val="22"/>
        </w:rPr>
        <w:t xml:space="preserve">Needham </w:t>
      </w:r>
      <w:r w:rsidR="00EF54B8">
        <w:rPr>
          <w:rFonts w:ascii="Calibri" w:hAnsi="Calibri"/>
          <w:szCs w:val="22"/>
        </w:rPr>
        <w:t>joined</w:t>
      </w:r>
      <w:r>
        <w:rPr>
          <w:rFonts w:ascii="Calibri" w:hAnsi="Calibri"/>
          <w:szCs w:val="22"/>
        </w:rPr>
        <w:t xml:space="preserve"> the </w:t>
      </w:r>
      <w:r w:rsidR="0072155A">
        <w:rPr>
          <w:rFonts w:ascii="Calibri" w:hAnsi="Calibri"/>
          <w:szCs w:val="22"/>
        </w:rPr>
        <w:t>“</w:t>
      </w:r>
      <w:r>
        <w:rPr>
          <w:rFonts w:ascii="Calibri" w:hAnsi="Calibri"/>
          <w:szCs w:val="22"/>
        </w:rPr>
        <w:t>million</w:t>
      </w:r>
      <w:r w:rsidR="00621244">
        <w:rPr>
          <w:rFonts w:ascii="Calibri" w:hAnsi="Calibri"/>
          <w:szCs w:val="22"/>
        </w:rPr>
        <w:t>-</w:t>
      </w:r>
      <w:r>
        <w:rPr>
          <w:rFonts w:ascii="Calibri" w:hAnsi="Calibri"/>
          <w:szCs w:val="22"/>
        </w:rPr>
        <w:t>dollar club</w:t>
      </w:r>
      <w:r w:rsidR="0072155A">
        <w:rPr>
          <w:rFonts w:ascii="Calibri" w:hAnsi="Calibri"/>
          <w:szCs w:val="22"/>
        </w:rPr>
        <w:t>”</w:t>
      </w:r>
      <w:r>
        <w:rPr>
          <w:rFonts w:ascii="Calibri" w:hAnsi="Calibri"/>
          <w:szCs w:val="22"/>
        </w:rPr>
        <w:t xml:space="preserve"> </w:t>
      </w:r>
      <w:r w:rsidR="00621244">
        <w:rPr>
          <w:rFonts w:ascii="Calibri" w:hAnsi="Calibri"/>
          <w:szCs w:val="22"/>
        </w:rPr>
        <w:t xml:space="preserve">several years ago </w:t>
      </w:r>
      <w:r>
        <w:rPr>
          <w:rFonts w:ascii="Calibri" w:hAnsi="Calibri"/>
          <w:szCs w:val="22"/>
        </w:rPr>
        <w:t>as t</w:t>
      </w:r>
      <w:r w:rsidR="008772FC" w:rsidRPr="004E50E7">
        <w:rPr>
          <w:rFonts w:ascii="Calibri" w:hAnsi="Calibri"/>
          <w:szCs w:val="22"/>
        </w:rPr>
        <w:t xml:space="preserve">he median sales price of a single-family home </w:t>
      </w:r>
      <w:r>
        <w:rPr>
          <w:rFonts w:ascii="Calibri" w:hAnsi="Calibri"/>
          <w:szCs w:val="22"/>
        </w:rPr>
        <w:t>climbed to $1</w:t>
      </w:r>
      <w:r w:rsidR="00EF54B8">
        <w:rPr>
          <w:rFonts w:ascii="Calibri" w:hAnsi="Calibri"/>
          <w:szCs w:val="22"/>
        </w:rPr>
        <w:t>,102,000 as of January 2019 from $976,250 as of the end of 2018</w:t>
      </w:r>
      <w:r>
        <w:rPr>
          <w:rFonts w:ascii="Calibri" w:hAnsi="Calibri"/>
          <w:szCs w:val="22"/>
        </w:rPr>
        <w:t>.</w:t>
      </w:r>
      <w:r w:rsidR="00621244">
        <w:rPr>
          <w:rFonts w:ascii="Calibri" w:hAnsi="Calibri"/>
          <w:szCs w:val="22"/>
        </w:rPr>
        <w:t xml:space="preserve"> It subsequently gr</w:t>
      </w:r>
      <w:r w:rsidR="003165F8">
        <w:rPr>
          <w:rFonts w:ascii="Calibri" w:hAnsi="Calibri"/>
          <w:szCs w:val="22"/>
        </w:rPr>
        <w:t>e</w:t>
      </w:r>
      <w:r w:rsidR="00621244">
        <w:rPr>
          <w:rFonts w:ascii="Calibri" w:hAnsi="Calibri"/>
          <w:szCs w:val="22"/>
        </w:rPr>
        <w:t xml:space="preserve">w to </w:t>
      </w:r>
      <w:r w:rsidR="00271896">
        <w:rPr>
          <w:rFonts w:ascii="Calibri" w:hAnsi="Calibri"/>
          <w:szCs w:val="22"/>
        </w:rPr>
        <w:t xml:space="preserve">almost </w:t>
      </w:r>
      <w:r w:rsidR="00621244">
        <w:rPr>
          <w:rFonts w:ascii="Calibri" w:hAnsi="Calibri"/>
          <w:szCs w:val="22"/>
        </w:rPr>
        <w:t>$1.3 million</w:t>
      </w:r>
      <w:r w:rsidR="00F63B7E">
        <w:rPr>
          <w:rFonts w:ascii="Calibri" w:hAnsi="Calibri"/>
          <w:szCs w:val="22"/>
        </w:rPr>
        <w:t xml:space="preserve"> </w:t>
      </w:r>
      <w:r w:rsidR="00271896">
        <w:rPr>
          <w:rFonts w:ascii="Calibri" w:hAnsi="Calibri"/>
          <w:szCs w:val="22"/>
        </w:rPr>
        <w:t>in</w:t>
      </w:r>
      <w:r w:rsidR="00F63B7E">
        <w:rPr>
          <w:rFonts w:ascii="Calibri" w:hAnsi="Calibri"/>
          <w:szCs w:val="22"/>
        </w:rPr>
        <w:t xml:space="preserve"> 2021</w:t>
      </w:r>
      <w:r w:rsidR="00621244">
        <w:rPr>
          <w:rFonts w:ascii="Calibri" w:hAnsi="Calibri"/>
          <w:szCs w:val="22"/>
        </w:rPr>
        <w:t>.</w:t>
      </w:r>
    </w:p>
    <w:p w14:paraId="23B4A361" w14:textId="1BCF634A" w:rsidR="00A8625B" w:rsidRDefault="00171D85" w:rsidP="00CC7E80">
      <w:pPr>
        <w:pStyle w:val="BodyTextIndent"/>
        <w:spacing w:after="0"/>
        <w:ind w:left="0"/>
        <w:jc w:val="both"/>
        <w:rPr>
          <w:rFonts w:ascii="Calibri" w:hAnsi="Calibri"/>
          <w:sz w:val="22"/>
          <w:szCs w:val="22"/>
        </w:rPr>
      </w:pPr>
      <w:r w:rsidRPr="008339A5">
        <w:rPr>
          <w:rFonts w:ascii="Calibri" w:hAnsi="Calibri"/>
          <w:sz w:val="22"/>
          <w:szCs w:val="22"/>
        </w:rPr>
        <w:t>The lowest point of the market occurred in 1992 when the median single-family home was priced at $225,000, reflective of the economic recession in the early 1990s.  After that</w:t>
      </w:r>
      <w:r w:rsidR="003165F8">
        <w:rPr>
          <w:rFonts w:ascii="Calibri" w:hAnsi="Calibri"/>
          <w:sz w:val="22"/>
          <w:szCs w:val="22"/>
        </w:rPr>
        <w:t>,</w:t>
      </w:r>
      <w:r w:rsidRPr="008339A5">
        <w:rPr>
          <w:rFonts w:ascii="Calibri" w:hAnsi="Calibri"/>
          <w:sz w:val="22"/>
          <w:szCs w:val="22"/>
        </w:rPr>
        <w:t xml:space="preserve"> single-family home values climbed steadily until 2005 when </w:t>
      </w:r>
      <w:r w:rsidR="00271896">
        <w:rPr>
          <w:rFonts w:ascii="Calibri" w:hAnsi="Calibri"/>
          <w:sz w:val="22"/>
          <w:szCs w:val="22"/>
        </w:rPr>
        <w:t>they</w:t>
      </w:r>
      <w:r w:rsidRPr="008339A5">
        <w:rPr>
          <w:rFonts w:ascii="Calibri" w:hAnsi="Calibri"/>
          <w:sz w:val="22"/>
          <w:szCs w:val="22"/>
        </w:rPr>
        <w:t xml:space="preserve"> fluctuated a bit </w:t>
      </w:r>
      <w:r w:rsidR="00CC7E80">
        <w:rPr>
          <w:rFonts w:ascii="Calibri" w:hAnsi="Calibri"/>
          <w:sz w:val="22"/>
          <w:szCs w:val="22"/>
        </w:rPr>
        <w:t xml:space="preserve">due to the financial crisis </w:t>
      </w:r>
      <w:r w:rsidRPr="008339A5">
        <w:rPr>
          <w:rFonts w:ascii="Calibri" w:hAnsi="Calibri"/>
          <w:sz w:val="22"/>
          <w:szCs w:val="22"/>
        </w:rPr>
        <w:t xml:space="preserve">but remained above $600,000. </w:t>
      </w:r>
      <w:r w:rsidR="00A8625B">
        <w:rPr>
          <w:rFonts w:ascii="Calibri" w:hAnsi="Calibri"/>
          <w:sz w:val="22"/>
          <w:szCs w:val="22"/>
        </w:rPr>
        <w:t xml:space="preserve">Since then, </w:t>
      </w:r>
      <w:r w:rsidR="00271896">
        <w:rPr>
          <w:rFonts w:ascii="Calibri" w:hAnsi="Calibri"/>
          <w:sz w:val="22"/>
          <w:szCs w:val="22"/>
        </w:rPr>
        <w:t xml:space="preserve">the median </w:t>
      </w:r>
      <w:r w:rsidR="00A8625B">
        <w:rPr>
          <w:rFonts w:ascii="Calibri" w:hAnsi="Calibri"/>
          <w:sz w:val="22"/>
          <w:szCs w:val="22"/>
        </w:rPr>
        <w:t>has grown steadily, almost doubling from the 2005 median to $1</w:t>
      </w:r>
      <w:r w:rsidR="00271896">
        <w:rPr>
          <w:rFonts w:ascii="Calibri" w:hAnsi="Calibri"/>
          <w:sz w:val="22"/>
          <w:szCs w:val="22"/>
        </w:rPr>
        <w:t>,290,000 in</w:t>
      </w:r>
      <w:r w:rsidR="00A8625B">
        <w:rPr>
          <w:rFonts w:ascii="Calibri" w:hAnsi="Calibri"/>
          <w:sz w:val="22"/>
          <w:szCs w:val="22"/>
        </w:rPr>
        <w:t xml:space="preserve"> 2021.  Figure III-8 shows this pattern of increasing housing values.  COVID-19 did not have a negative impact on housing values</w:t>
      </w:r>
      <w:r w:rsidR="00271896">
        <w:rPr>
          <w:rFonts w:ascii="Calibri" w:hAnsi="Calibri"/>
          <w:sz w:val="22"/>
          <w:szCs w:val="22"/>
        </w:rPr>
        <w:t>, and m</w:t>
      </w:r>
      <w:r w:rsidR="006509BA">
        <w:rPr>
          <w:rFonts w:ascii="Calibri" w:hAnsi="Calibri"/>
          <w:sz w:val="22"/>
          <w:szCs w:val="22"/>
        </w:rPr>
        <w:t>uch of the increase in housing values is due</w:t>
      </w:r>
      <w:r w:rsidR="00034453">
        <w:rPr>
          <w:rFonts w:ascii="Calibri" w:hAnsi="Calibri"/>
          <w:sz w:val="22"/>
          <w:szCs w:val="22"/>
        </w:rPr>
        <w:t xml:space="preserve"> to the larger homes that are being built through teardown activity.</w:t>
      </w:r>
      <w:r w:rsidR="006509BA">
        <w:rPr>
          <w:rFonts w:ascii="Calibri" w:hAnsi="Calibri"/>
          <w:sz w:val="22"/>
          <w:szCs w:val="22"/>
        </w:rPr>
        <w:t xml:space="preserve"> </w:t>
      </w:r>
    </w:p>
    <w:p w14:paraId="04C63B20" w14:textId="77777777" w:rsidR="00A8625B" w:rsidRDefault="00A8625B" w:rsidP="00CC7E80">
      <w:pPr>
        <w:pStyle w:val="BodyTextIndent"/>
        <w:spacing w:after="0"/>
        <w:ind w:left="0"/>
        <w:jc w:val="both"/>
        <w:rPr>
          <w:rFonts w:ascii="Calibri" w:hAnsi="Calibri"/>
          <w:sz w:val="22"/>
          <w:szCs w:val="22"/>
        </w:rPr>
      </w:pPr>
    </w:p>
    <w:p w14:paraId="7CA22177" w14:textId="42B2CF1E" w:rsidR="00CC7E80" w:rsidRDefault="00171D85" w:rsidP="00CC7E80">
      <w:pPr>
        <w:pStyle w:val="BodyTextIndent"/>
        <w:spacing w:after="0"/>
        <w:ind w:left="0"/>
        <w:jc w:val="both"/>
        <w:rPr>
          <w:rFonts w:ascii="Calibri" w:hAnsi="Calibri"/>
          <w:sz w:val="22"/>
          <w:szCs w:val="22"/>
        </w:rPr>
      </w:pPr>
      <w:r w:rsidRPr="008339A5">
        <w:rPr>
          <w:rFonts w:ascii="Calibri" w:hAnsi="Calibri"/>
          <w:sz w:val="22"/>
          <w:szCs w:val="22"/>
        </w:rPr>
        <w:t>The number of single-family home sales</w:t>
      </w:r>
      <w:r w:rsidR="00CC7E80">
        <w:rPr>
          <w:rFonts w:ascii="Calibri" w:hAnsi="Calibri"/>
          <w:sz w:val="22"/>
          <w:szCs w:val="22"/>
        </w:rPr>
        <w:t xml:space="preserve"> has</w:t>
      </w:r>
      <w:r w:rsidRPr="008339A5">
        <w:rPr>
          <w:rFonts w:ascii="Calibri" w:hAnsi="Calibri"/>
          <w:sz w:val="22"/>
          <w:szCs w:val="22"/>
        </w:rPr>
        <w:t xml:space="preserve"> also fluctuated, declining </w:t>
      </w:r>
      <w:r w:rsidR="00CC7E80">
        <w:rPr>
          <w:rFonts w:ascii="Calibri" w:hAnsi="Calibri"/>
          <w:sz w:val="22"/>
          <w:szCs w:val="22"/>
        </w:rPr>
        <w:t>from 452 sales in 20</w:t>
      </w:r>
      <w:r w:rsidR="000C2772">
        <w:rPr>
          <w:rFonts w:ascii="Calibri" w:hAnsi="Calibri"/>
          <w:sz w:val="22"/>
          <w:szCs w:val="22"/>
        </w:rPr>
        <w:t>04</w:t>
      </w:r>
      <w:r w:rsidR="00CC7E80">
        <w:rPr>
          <w:rFonts w:ascii="Calibri" w:hAnsi="Calibri"/>
          <w:sz w:val="22"/>
          <w:szCs w:val="22"/>
        </w:rPr>
        <w:t>, to a low of 329 sales in 2008 in reaction to the recession</w:t>
      </w:r>
      <w:r w:rsidR="00DB4213">
        <w:rPr>
          <w:rFonts w:ascii="Calibri" w:hAnsi="Calibri"/>
          <w:sz w:val="22"/>
          <w:szCs w:val="22"/>
        </w:rPr>
        <w:t>,</w:t>
      </w:r>
      <w:r w:rsidR="00CC7E80">
        <w:rPr>
          <w:rFonts w:ascii="Calibri" w:hAnsi="Calibri"/>
          <w:sz w:val="22"/>
          <w:szCs w:val="22"/>
        </w:rPr>
        <w:t xml:space="preserve"> and then up and down after that</w:t>
      </w:r>
      <w:r w:rsidR="000C2772">
        <w:rPr>
          <w:rFonts w:ascii="Calibri" w:hAnsi="Calibri"/>
          <w:sz w:val="22"/>
          <w:szCs w:val="22"/>
        </w:rPr>
        <w:t xml:space="preserve"> to 384</w:t>
      </w:r>
      <w:r w:rsidR="00A8625B">
        <w:rPr>
          <w:rFonts w:ascii="Calibri" w:hAnsi="Calibri"/>
          <w:sz w:val="22"/>
          <w:szCs w:val="22"/>
        </w:rPr>
        <w:t xml:space="preserve"> and 383</w:t>
      </w:r>
      <w:r w:rsidR="000C2772">
        <w:rPr>
          <w:rFonts w:ascii="Calibri" w:hAnsi="Calibri"/>
          <w:sz w:val="22"/>
          <w:szCs w:val="22"/>
        </w:rPr>
        <w:t xml:space="preserve"> sales in 2018</w:t>
      </w:r>
      <w:r w:rsidR="00A8625B">
        <w:rPr>
          <w:rFonts w:ascii="Calibri" w:hAnsi="Calibri"/>
          <w:sz w:val="22"/>
          <w:szCs w:val="22"/>
        </w:rPr>
        <w:t xml:space="preserve"> and 2019, respectively</w:t>
      </w:r>
      <w:r w:rsidR="00CC7E80">
        <w:rPr>
          <w:rFonts w:ascii="Calibri" w:hAnsi="Calibri"/>
          <w:sz w:val="22"/>
          <w:szCs w:val="22"/>
        </w:rPr>
        <w:t xml:space="preserve">.  </w:t>
      </w:r>
      <w:r w:rsidRPr="008339A5">
        <w:rPr>
          <w:rFonts w:ascii="Calibri" w:hAnsi="Calibri"/>
          <w:sz w:val="22"/>
          <w:szCs w:val="22"/>
        </w:rPr>
        <w:t xml:space="preserve"> </w:t>
      </w:r>
      <w:r w:rsidR="00A8625B">
        <w:rPr>
          <w:rFonts w:ascii="Calibri" w:hAnsi="Calibri"/>
          <w:sz w:val="22"/>
          <w:szCs w:val="22"/>
        </w:rPr>
        <w:t>Sales activity decreased somewhat in 2020, to 366 sales, and</w:t>
      </w:r>
      <w:r w:rsidR="00271896">
        <w:rPr>
          <w:rFonts w:ascii="Calibri" w:hAnsi="Calibri"/>
          <w:sz w:val="22"/>
          <w:szCs w:val="22"/>
        </w:rPr>
        <w:t xml:space="preserve"> was up a bit to 372 sales</w:t>
      </w:r>
      <w:r w:rsidR="00A8625B">
        <w:rPr>
          <w:rFonts w:ascii="Calibri" w:hAnsi="Calibri"/>
          <w:sz w:val="22"/>
          <w:szCs w:val="22"/>
        </w:rPr>
        <w:t xml:space="preserve"> in 2021.</w:t>
      </w:r>
    </w:p>
    <w:p w14:paraId="0F34AC6F" w14:textId="52BBF5AA" w:rsidR="00A166AA" w:rsidRDefault="00A166AA" w:rsidP="00CC7E80">
      <w:pPr>
        <w:pStyle w:val="BodyTextIndent"/>
        <w:spacing w:after="0"/>
        <w:ind w:left="0"/>
        <w:jc w:val="both"/>
        <w:rPr>
          <w:rFonts w:ascii="Calibri" w:hAnsi="Calibri"/>
          <w:sz w:val="22"/>
          <w:szCs w:val="22"/>
        </w:rPr>
      </w:pPr>
    </w:p>
    <w:p w14:paraId="30235D3C" w14:textId="0A92FCCF" w:rsidR="00BE07CB" w:rsidRDefault="00BE07CB" w:rsidP="00BE07CB">
      <w:pPr>
        <w:pStyle w:val="BodyTextIndent"/>
        <w:spacing w:after="0"/>
        <w:ind w:left="0"/>
        <w:jc w:val="both"/>
        <w:rPr>
          <w:rFonts w:ascii="Calibri" w:hAnsi="Calibri"/>
          <w:sz w:val="22"/>
          <w:szCs w:val="22"/>
        </w:rPr>
      </w:pPr>
      <w:r w:rsidRPr="008339A5">
        <w:rPr>
          <w:rFonts w:ascii="Calibri" w:hAnsi="Calibri"/>
          <w:sz w:val="22"/>
          <w:szCs w:val="22"/>
        </w:rPr>
        <w:t>The condo</w:t>
      </w:r>
      <w:r w:rsidR="00A05A8E">
        <w:rPr>
          <w:rFonts w:ascii="Calibri" w:hAnsi="Calibri"/>
          <w:sz w:val="22"/>
          <w:szCs w:val="22"/>
        </w:rPr>
        <w:t>minium unit</w:t>
      </w:r>
      <w:r w:rsidRPr="008339A5">
        <w:rPr>
          <w:rFonts w:ascii="Calibri" w:hAnsi="Calibri"/>
          <w:sz w:val="22"/>
          <w:szCs w:val="22"/>
        </w:rPr>
        <w:t xml:space="preserve"> market has experienced more volatility, both in terms of values and number of sales.  Median prices reach</w:t>
      </w:r>
      <w:r>
        <w:rPr>
          <w:rFonts w:ascii="Calibri" w:hAnsi="Calibri"/>
          <w:sz w:val="22"/>
          <w:szCs w:val="22"/>
        </w:rPr>
        <w:t>ed</w:t>
      </w:r>
      <w:r w:rsidRPr="008339A5">
        <w:rPr>
          <w:rFonts w:ascii="Calibri" w:hAnsi="Calibri"/>
          <w:sz w:val="22"/>
          <w:szCs w:val="22"/>
        </w:rPr>
        <w:t xml:space="preserve"> a high of $593,750 in 2005 and then dropp</w:t>
      </w:r>
      <w:r>
        <w:rPr>
          <w:rFonts w:ascii="Calibri" w:hAnsi="Calibri"/>
          <w:sz w:val="22"/>
          <w:szCs w:val="22"/>
        </w:rPr>
        <w:t>ed</w:t>
      </w:r>
      <w:r w:rsidRPr="008339A5">
        <w:rPr>
          <w:rFonts w:ascii="Calibri" w:hAnsi="Calibri"/>
          <w:sz w:val="22"/>
          <w:szCs w:val="22"/>
        </w:rPr>
        <w:t xml:space="preserve"> to $297,750 by 2009</w:t>
      </w:r>
      <w:r>
        <w:rPr>
          <w:rFonts w:ascii="Calibri" w:hAnsi="Calibri"/>
          <w:sz w:val="22"/>
          <w:szCs w:val="22"/>
        </w:rPr>
        <w:t>, again in response to the recession</w:t>
      </w:r>
      <w:r w:rsidRPr="008339A5">
        <w:rPr>
          <w:rFonts w:ascii="Calibri" w:hAnsi="Calibri"/>
          <w:sz w:val="22"/>
          <w:szCs w:val="22"/>
        </w:rPr>
        <w:t xml:space="preserve">.  The condo market </w:t>
      </w:r>
      <w:r>
        <w:rPr>
          <w:rFonts w:ascii="Calibri" w:hAnsi="Calibri"/>
          <w:sz w:val="22"/>
          <w:szCs w:val="22"/>
        </w:rPr>
        <w:t>did not sur</w:t>
      </w:r>
      <w:r w:rsidRPr="008339A5">
        <w:rPr>
          <w:rFonts w:ascii="Calibri" w:hAnsi="Calibri"/>
          <w:sz w:val="22"/>
          <w:szCs w:val="22"/>
        </w:rPr>
        <w:t xml:space="preserve">pass pre-recession levels </w:t>
      </w:r>
      <w:r>
        <w:rPr>
          <w:rFonts w:ascii="Calibri" w:hAnsi="Calibri"/>
          <w:sz w:val="22"/>
          <w:szCs w:val="22"/>
        </w:rPr>
        <w:t xml:space="preserve">until 2015 when the median reached a high of $636,000.  After a decline in 2016, the median spiked to $767,000 in 2017 and was </w:t>
      </w:r>
      <w:r w:rsidR="00271896">
        <w:rPr>
          <w:rFonts w:ascii="Calibri" w:hAnsi="Calibri"/>
          <w:sz w:val="22"/>
          <w:szCs w:val="22"/>
        </w:rPr>
        <w:t>at its highest of $885,000 in 2021</w:t>
      </w:r>
      <w:r w:rsidRPr="008339A5">
        <w:rPr>
          <w:rFonts w:ascii="Calibri" w:hAnsi="Calibri"/>
          <w:sz w:val="22"/>
          <w:szCs w:val="22"/>
        </w:rPr>
        <w:t xml:space="preserve">.  </w:t>
      </w:r>
      <w:r>
        <w:rPr>
          <w:rFonts w:ascii="Calibri" w:hAnsi="Calibri"/>
          <w:sz w:val="22"/>
          <w:szCs w:val="22"/>
        </w:rPr>
        <w:t xml:space="preserve">The number of sales ranged from a low of 41 in 2000, to a high of 77 in 2015, then down again to 57 sales in 2016, and once again up to 69 in 2018 and 2019.  It has continued to increase, up to </w:t>
      </w:r>
      <w:r w:rsidR="00271896">
        <w:rPr>
          <w:rFonts w:ascii="Calibri" w:hAnsi="Calibri"/>
          <w:sz w:val="22"/>
          <w:szCs w:val="22"/>
        </w:rPr>
        <w:t>85</w:t>
      </w:r>
      <w:r>
        <w:rPr>
          <w:rFonts w:ascii="Calibri" w:hAnsi="Calibri"/>
          <w:sz w:val="22"/>
          <w:szCs w:val="22"/>
        </w:rPr>
        <w:t xml:space="preserve"> sales </w:t>
      </w:r>
      <w:r w:rsidR="00271896">
        <w:rPr>
          <w:rFonts w:ascii="Calibri" w:hAnsi="Calibri"/>
          <w:sz w:val="22"/>
          <w:szCs w:val="22"/>
        </w:rPr>
        <w:t xml:space="preserve">in </w:t>
      </w:r>
      <w:r>
        <w:rPr>
          <w:rFonts w:ascii="Calibri" w:hAnsi="Calibri"/>
          <w:sz w:val="22"/>
          <w:szCs w:val="22"/>
        </w:rPr>
        <w:t>2021.</w:t>
      </w:r>
    </w:p>
    <w:p w14:paraId="2A6FFB1C" w14:textId="25011998" w:rsidR="002A6B66" w:rsidRDefault="002A6B66" w:rsidP="00BE07CB">
      <w:pPr>
        <w:pStyle w:val="BodyTextIndent"/>
        <w:spacing w:after="0"/>
        <w:ind w:left="0"/>
        <w:jc w:val="both"/>
        <w:rPr>
          <w:rFonts w:ascii="Calibri" w:hAnsi="Calibri"/>
          <w:sz w:val="22"/>
          <w:szCs w:val="22"/>
        </w:rPr>
      </w:pPr>
    </w:p>
    <w:p w14:paraId="72EAC697" w14:textId="65BBA914" w:rsidR="008772FC" w:rsidRPr="008339A5" w:rsidRDefault="008772FC" w:rsidP="008772FC">
      <w:pPr>
        <w:pStyle w:val="BodyTextIndent"/>
        <w:spacing w:after="0"/>
        <w:ind w:left="0" w:right="-720"/>
        <w:jc w:val="center"/>
        <w:rPr>
          <w:rFonts w:ascii="Calibri" w:hAnsi="Calibri"/>
          <w:b/>
          <w:sz w:val="22"/>
          <w:szCs w:val="22"/>
        </w:rPr>
      </w:pPr>
      <w:r w:rsidRPr="008339A5">
        <w:rPr>
          <w:rFonts w:ascii="Calibri" w:hAnsi="Calibri"/>
          <w:b/>
          <w:bCs/>
          <w:sz w:val="22"/>
          <w:szCs w:val="22"/>
        </w:rPr>
        <w:lastRenderedPageBreak/>
        <w:t xml:space="preserve">Table </w:t>
      </w:r>
      <w:r w:rsidR="00A166AA">
        <w:rPr>
          <w:rFonts w:ascii="Calibri" w:hAnsi="Calibri"/>
          <w:b/>
          <w:bCs/>
          <w:sz w:val="22"/>
          <w:szCs w:val="22"/>
        </w:rPr>
        <w:t>III-2</w:t>
      </w:r>
      <w:r w:rsidR="0028014C">
        <w:rPr>
          <w:rFonts w:ascii="Calibri" w:hAnsi="Calibri"/>
          <w:b/>
          <w:bCs/>
          <w:sz w:val="22"/>
          <w:szCs w:val="22"/>
        </w:rPr>
        <w:t>9</w:t>
      </w:r>
      <w:r w:rsidRPr="008339A5">
        <w:rPr>
          <w:rFonts w:ascii="Calibri" w:hAnsi="Calibri"/>
          <w:b/>
          <w:bCs/>
          <w:sz w:val="22"/>
          <w:szCs w:val="22"/>
        </w:rPr>
        <w:t xml:space="preserve">: </w:t>
      </w:r>
      <w:r w:rsidRPr="008339A5">
        <w:rPr>
          <w:rFonts w:ascii="Calibri" w:hAnsi="Calibri"/>
          <w:b/>
          <w:sz w:val="22"/>
          <w:szCs w:val="22"/>
        </w:rPr>
        <w:t xml:space="preserve">Median Sales Prices and Number of Sales, </w:t>
      </w:r>
      <w:r w:rsidR="00284CDE">
        <w:rPr>
          <w:rFonts w:ascii="Calibri" w:hAnsi="Calibri"/>
          <w:b/>
          <w:sz w:val="22"/>
          <w:szCs w:val="22"/>
        </w:rPr>
        <w:t>200</w:t>
      </w:r>
      <w:r w:rsidRPr="008339A5">
        <w:rPr>
          <w:rFonts w:ascii="Calibri" w:hAnsi="Calibri"/>
          <w:b/>
          <w:sz w:val="22"/>
          <w:szCs w:val="22"/>
        </w:rPr>
        <w:t xml:space="preserve">0 to </w:t>
      </w:r>
      <w:r w:rsidR="00A166AA">
        <w:rPr>
          <w:rFonts w:ascii="Calibri" w:hAnsi="Calibri"/>
          <w:b/>
          <w:sz w:val="22"/>
          <w:szCs w:val="22"/>
        </w:rPr>
        <w:t>2021</w:t>
      </w:r>
      <w:r w:rsidRPr="008339A5">
        <w:rPr>
          <w:rFonts w:ascii="Calibri" w:hAnsi="Calibri"/>
          <w:b/>
          <w:sz w:val="22"/>
          <w:szCs w:val="22"/>
        </w:rPr>
        <w:t xml:space="preserve"> </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080"/>
        <w:gridCol w:w="1080"/>
        <w:gridCol w:w="900"/>
        <w:gridCol w:w="1080"/>
        <w:gridCol w:w="900"/>
        <w:gridCol w:w="1095"/>
        <w:gridCol w:w="885"/>
      </w:tblGrid>
      <w:tr w:rsidR="008772FC" w:rsidRPr="008339A5" w14:paraId="2BAC5D41" w14:textId="77777777" w:rsidTr="008F2513">
        <w:trPr>
          <w:cantSplit/>
        </w:trPr>
        <w:tc>
          <w:tcPr>
            <w:tcW w:w="798" w:type="dxa"/>
            <w:vMerge w:val="restart"/>
          </w:tcPr>
          <w:p w14:paraId="33D19281" w14:textId="77777777" w:rsidR="008772FC" w:rsidRPr="008339A5" w:rsidRDefault="008772FC" w:rsidP="008F2513">
            <w:pPr>
              <w:pStyle w:val="BodyTextIndent"/>
              <w:spacing w:after="0"/>
              <w:ind w:left="0" w:right="-720"/>
              <w:rPr>
                <w:rFonts w:ascii="Calibri" w:hAnsi="Calibri"/>
                <w:b/>
              </w:rPr>
            </w:pPr>
          </w:p>
          <w:p w14:paraId="09EE3E40"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Year</w:t>
            </w:r>
          </w:p>
        </w:tc>
        <w:tc>
          <w:tcPr>
            <w:tcW w:w="1080" w:type="dxa"/>
            <w:vMerge w:val="restart"/>
          </w:tcPr>
          <w:p w14:paraId="13D6D97F" w14:textId="77777777" w:rsidR="008772FC" w:rsidRPr="008339A5" w:rsidRDefault="008772FC" w:rsidP="008F2513">
            <w:pPr>
              <w:pStyle w:val="BodyTextIndent"/>
              <w:spacing w:after="0"/>
              <w:ind w:left="0" w:right="-720"/>
              <w:rPr>
                <w:rFonts w:ascii="Calibri" w:hAnsi="Calibri"/>
                <w:b/>
              </w:rPr>
            </w:pPr>
          </w:p>
          <w:p w14:paraId="3462921D"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Months</w:t>
            </w:r>
          </w:p>
        </w:tc>
        <w:tc>
          <w:tcPr>
            <w:tcW w:w="1980" w:type="dxa"/>
            <w:gridSpan w:val="2"/>
          </w:tcPr>
          <w:p w14:paraId="448C261F"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 xml:space="preserve">Single-family </w:t>
            </w:r>
          </w:p>
        </w:tc>
        <w:tc>
          <w:tcPr>
            <w:tcW w:w="1980" w:type="dxa"/>
            <w:gridSpan w:val="2"/>
          </w:tcPr>
          <w:p w14:paraId="4F9F46F5"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Condominiums</w:t>
            </w:r>
          </w:p>
        </w:tc>
        <w:tc>
          <w:tcPr>
            <w:tcW w:w="1980" w:type="dxa"/>
            <w:gridSpan w:val="2"/>
          </w:tcPr>
          <w:p w14:paraId="2C71FAB9"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All Sales</w:t>
            </w:r>
          </w:p>
        </w:tc>
      </w:tr>
      <w:tr w:rsidR="008772FC" w:rsidRPr="008339A5" w14:paraId="1883BA18" w14:textId="77777777" w:rsidTr="008F2513">
        <w:trPr>
          <w:cantSplit/>
        </w:trPr>
        <w:tc>
          <w:tcPr>
            <w:tcW w:w="798" w:type="dxa"/>
            <w:vMerge/>
          </w:tcPr>
          <w:p w14:paraId="0E825C7C" w14:textId="77777777" w:rsidR="008772FC" w:rsidRPr="008339A5" w:rsidRDefault="008772FC" w:rsidP="008F2513">
            <w:pPr>
              <w:pStyle w:val="BodyTextIndent"/>
              <w:spacing w:after="0"/>
              <w:ind w:left="0" w:right="-720"/>
              <w:rPr>
                <w:rFonts w:ascii="Calibri" w:hAnsi="Calibri"/>
                <w:b/>
              </w:rPr>
            </w:pPr>
          </w:p>
        </w:tc>
        <w:tc>
          <w:tcPr>
            <w:tcW w:w="1080" w:type="dxa"/>
            <w:vMerge/>
          </w:tcPr>
          <w:p w14:paraId="3A22BAAB" w14:textId="77777777" w:rsidR="008772FC" w:rsidRPr="008339A5" w:rsidRDefault="008772FC" w:rsidP="008F2513">
            <w:pPr>
              <w:pStyle w:val="BodyTextIndent"/>
              <w:spacing w:after="0"/>
              <w:ind w:left="0" w:right="-720"/>
              <w:rPr>
                <w:rFonts w:ascii="Calibri" w:hAnsi="Calibri"/>
                <w:b/>
              </w:rPr>
            </w:pPr>
          </w:p>
        </w:tc>
        <w:tc>
          <w:tcPr>
            <w:tcW w:w="1080" w:type="dxa"/>
          </w:tcPr>
          <w:p w14:paraId="615FFFBF"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Median</w:t>
            </w:r>
          </w:p>
        </w:tc>
        <w:tc>
          <w:tcPr>
            <w:tcW w:w="900" w:type="dxa"/>
          </w:tcPr>
          <w:p w14:paraId="3AE3231F"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 Sales</w:t>
            </w:r>
          </w:p>
        </w:tc>
        <w:tc>
          <w:tcPr>
            <w:tcW w:w="1080" w:type="dxa"/>
          </w:tcPr>
          <w:p w14:paraId="36C722D8"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Median</w:t>
            </w:r>
          </w:p>
        </w:tc>
        <w:tc>
          <w:tcPr>
            <w:tcW w:w="900" w:type="dxa"/>
          </w:tcPr>
          <w:p w14:paraId="1090965B"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 Sales</w:t>
            </w:r>
          </w:p>
        </w:tc>
        <w:tc>
          <w:tcPr>
            <w:tcW w:w="1095" w:type="dxa"/>
          </w:tcPr>
          <w:p w14:paraId="15E4EB64"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Median</w:t>
            </w:r>
          </w:p>
        </w:tc>
        <w:tc>
          <w:tcPr>
            <w:tcW w:w="885" w:type="dxa"/>
          </w:tcPr>
          <w:p w14:paraId="0A271600" w14:textId="77777777" w:rsidR="008772FC" w:rsidRPr="008339A5" w:rsidRDefault="008772FC" w:rsidP="008F2513">
            <w:pPr>
              <w:pStyle w:val="BodyTextIndent"/>
              <w:spacing w:after="0"/>
              <w:ind w:left="0" w:right="-720"/>
              <w:rPr>
                <w:rFonts w:ascii="Calibri" w:hAnsi="Calibri"/>
                <w:b/>
              </w:rPr>
            </w:pPr>
            <w:r w:rsidRPr="008339A5">
              <w:rPr>
                <w:rFonts w:ascii="Calibri" w:hAnsi="Calibri"/>
                <w:b/>
                <w:sz w:val="22"/>
                <w:szCs w:val="22"/>
              </w:rPr>
              <w:t># Sales</w:t>
            </w:r>
          </w:p>
        </w:tc>
      </w:tr>
      <w:tr w:rsidR="00A166AA" w:rsidRPr="008B375C" w14:paraId="09D766A7" w14:textId="77777777" w:rsidTr="008F2513">
        <w:tc>
          <w:tcPr>
            <w:tcW w:w="798" w:type="dxa"/>
          </w:tcPr>
          <w:p w14:paraId="0C595100" w14:textId="7819D057" w:rsidR="00A166AA" w:rsidRDefault="00A166AA" w:rsidP="008F2513">
            <w:pPr>
              <w:pStyle w:val="BodyTextIndent"/>
              <w:spacing w:after="0"/>
              <w:ind w:left="0" w:right="-720"/>
              <w:rPr>
                <w:rFonts w:ascii="Calibri" w:hAnsi="Calibri"/>
                <w:sz w:val="20"/>
                <w:szCs w:val="20"/>
              </w:rPr>
            </w:pPr>
            <w:r>
              <w:rPr>
                <w:rFonts w:ascii="Calibri" w:hAnsi="Calibri"/>
                <w:sz w:val="20"/>
                <w:szCs w:val="20"/>
              </w:rPr>
              <w:t>2021</w:t>
            </w:r>
          </w:p>
        </w:tc>
        <w:tc>
          <w:tcPr>
            <w:tcW w:w="1080" w:type="dxa"/>
          </w:tcPr>
          <w:p w14:paraId="59852DE3" w14:textId="5C23427B" w:rsidR="00A166AA" w:rsidRPr="008B375C" w:rsidRDefault="00A166AA" w:rsidP="00955D97">
            <w:pPr>
              <w:pStyle w:val="BodyTextIndent"/>
              <w:spacing w:after="0"/>
              <w:ind w:left="0" w:right="-720"/>
              <w:rPr>
                <w:rFonts w:ascii="Calibri" w:hAnsi="Calibri"/>
                <w:sz w:val="20"/>
                <w:szCs w:val="20"/>
              </w:rPr>
            </w:pPr>
            <w:r>
              <w:rPr>
                <w:rFonts w:ascii="Calibri" w:hAnsi="Calibri"/>
                <w:sz w:val="20"/>
                <w:szCs w:val="20"/>
              </w:rPr>
              <w:t xml:space="preserve">Jan – </w:t>
            </w:r>
            <w:r w:rsidR="00415FDD">
              <w:rPr>
                <w:rFonts w:ascii="Calibri" w:hAnsi="Calibri"/>
                <w:sz w:val="20"/>
                <w:szCs w:val="20"/>
              </w:rPr>
              <w:t>Dec</w:t>
            </w:r>
          </w:p>
        </w:tc>
        <w:tc>
          <w:tcPr>
            <w:tcW w:w="1080" w:type="dxa"/>
          </w:tcPr>
          <w:p w14:paraId="653E42D7" w14:textId="38FC1ADF" w:rsidR="00A166AA" w:rsidRDefault="00621244" w:rsidP="008F2513">
            <w:pPr>
              <w:pStyle w:val="BodyTextIndent"/>
              <w:spacing w:after="0"/>
              <w:ind w:left="0" w:right="-720"/>
              <w:rPr>
                <w:rFonts w:ascii="Calibri" w:hAnsi="Calibri"/>
                <w:sz w:val="20"/>
                <w:szCs w:val="20"/>
              </w:rPr>
            </w:pPr>
            <w:r>
              <w:rPr>
                <w:rFonts w:ascii="Calibri" w:hAnsi="Calibri"/>
                <w:sz w:val="20"/>
                <w:szCs w:val="20"/>
              </w:rPr>
              <w:t>$</w:t>
            </w:r>
            <w:r w:rsidR="00415FDD">
              <w:rPr>
                <w:rFonts w:ascii="Calibri" w:hAnsi="Calibri"/>
                <w:sz w:val="20"/>
                <w:szCs w:val="20"/>
              </w:rPr>
              <w:t>1,290,000</w:t>
            </w:r>
          </w:p>
        </w:tc>
        <w:tc>
          <w:tcPr>
            <w:tcW w:w="900" w:type="dxa"/>
          </w:tcPr>
          <w:p w14:paraId="20972918" w14:textId="5A1058CF" w:rsidR="00A166AA" w:rsidRDefault="00415FDD" w:rsidP="008F2513">
            <w:pPr>
              <w:pStyle w:val="BodyTextIndent"/>
              <w:spacing w:after="0"/>
              <w:ind w:left="0" w:right="-720"/>
              <w:rPr>
                <w:rFonts w:ascii="Calibri" w:hAnsi="Calibri"/>
                <w:sz w:val="20"/>
                <w:szCs w:val="20"/>
              </w:rPr>
            </w:pPr>
            <w:r>
              <w:rPr>
                <w:rFonts w:ascii="Calibri" w:hAnsi="Calibri"/>
                <w:sz w:val="20"/>
                <w:szCs w:val="20"/>
              </w:rPr>
              <w:t>372</w:t>
            </w:r>
          </w:p>
        </w:tc>
        <w:tc>
          <w:tcPr>
            <w:tcW w:w="1080" w:type="dxa"/>
          </w:tcPr>
          <w:p w14:paraId="62104247" w14:textId="741466FB" w:rsidR="00A166AA" w:rsidRDefault="00621244" w:rsidP="008F2513">
            <w:pPr>
              <w:pStyle w:val="BodyTextIndent"/>
              <w:spacing w:after="0"/>
              <w:ind w:left="0" w:right="-720"/>
              <w:rPr>
                <w:rFonts w:ascii="Calibri" w:hAnsi="Calibri"/>
                <w:sz w:val="20"/>
                <w:szCs w:val="20"/>
              </w:rPr>
            </w:pPr>
            <w:r>
              <w:rPr>
                <w:rFonts w:ascii="Calibri" w:hAnsi="Calibri"/>
                <w:sz w:val="20"/>
                <w:szCs w:val="20"/>
              </w:rPr>
              <w:t>$</w:t>
            </w:r>
            <w:r w:rsidR="00415FDD">
              <w:rPr>
                <w:rFonts w:ascii="Calibri" w:hAnsi="Calibri"/>
                <w:sz w:val="20"/>
                <w:szCs w:val="20"/>
              </w:rPr>
              <w:t>885,000</w:t>
            </w:r>
          </w:p>
        </w:tc>
        <w:tc>
          <w:tcPr>
            <w:tcW w:w="900" w:type="dxa"/>
          </w:tcPr>
          <w:p w14:paraId="24CB7F5A" w14:textId="2E1C85A9" w:rsidR="00A166AA" w:rsidRDefault="00415FDD" w:rsidP="008F2513">
            <w:pPr>
              <w:pStyle w:val="BodyTextIndent"/>
              <w:spacing w:after="0"/>
              <w:ind w:left="0" w:right="-720"/>
              <w:rPr>
                <w:rFonts w:ascii="Calibri" w:hAnsi="Calibri"/>
                <w:sz w:val="20"/>
                <w:szCs w:val="20"/>
              </w:rPr>
            </w:pPr>
            <w:r>
              <w:rPr>
                <w:rFonts w:ascii="Calibri" w:hAnsi="Calibri"/>
                <w:sz w:val="20"/>
                <w:szCs w:val="20"/>
              </w:rPr>
              <w:t>85</w:t>
            </w:r>
          </w:p>
        </w:tc>
        <w:tc>
          <w:tcPr>
            <w:tcW w:w="1095" w:type="dxa"/>
          </w:tcPr>
          <w:p w14:paraId="2DE16634" w14:textId="271C17F6" w:rsidR="00A166AA" w:rsidRDefault="00621244" w:rsidP="008F2513">
            <w:pPr>
              <w:pStyle w:val="BodyTextIndent"/>
              <w:spacing w:after="0"/>
              <w:ind w:left="0" w:right="-720"/>
              <w:rPr>
                <w:rFonts w:ascii="Calibri" w:hAnsi="Calibri"/>
                <w:sz w:val="20"/>
                <w:szCs w:val="20"/>
              </w:rPr>
            </w:pPr>
            <w:r>
              <w:rPr>
                <w:rFonts w:ascii="Calibri" w:hAnsi="Calibri"/>
                <w:sz w:val="20"/>
                <w:szCs w:val="20"/>
              </w:rPr>
              <w:t>$</w:t>
            </w:r>
            <w:r w:rsidR="00415FDD">
              <w:rPr>
                <w:rFonts w:ascii="Calibri" w:hAnsi="Calibri"/>
                <w:sz w:val="20"/>
                <w:szCs w:val="20"/>
              </w:rPr>
              <w:t>1,199,500</w:t>
            </w:r>
          </w:p>
        </w:tc>
        <w:tc>
          <w:tcPr>
            <w:tcW w:w="885" w:type="dxa"/>
          </w:tcPr>
          <w:p w14:paraId="3B1AAFCF" w14:textId="764F92B2" w:rsidR="00A166AA" w:rsidRDefault="00415FDD" w:rsidP="008F2513">
            <w:pPr>
              <w:pStyle w:val="BodyTextIndent"/>
              <w:spacing w:after="0"/>
              <w:ind w:left="0" w:right="-720"/>
              <w:rPr>
                <w:rFonts w:ascii="Calibri" w:hAnsi="Calibri"/>
                <w:sz w:val="20"/>
                <w:szCs w:val="20"/>
              </w:rPr>
            </w:pPr>
            <w:r>
              <w:rPr>
                <w:rFonts w:ascii="Calibri" w:hAnsi="Calibri"/>
                <w:sz w:val="20"/>
                <w:szCs w:val="20"/>
              </w:rPr>
              <w:t>494</w:t>
            </w:r>
          </w:p>
        </w:tc>
      </w:tr>
      <w:tr w:rsidR="00621244" w:rsidRPr="008B375C" w14:paraId="4F44A5D3" w14:textId="77777777" w:rsidTr="008F2513">
        <w:tc>
          <w:tcPr>
            <w:tcW w:w="798" w:type="dxa"/>
          </w:tcPr>
          <w:p w14:paraId="7135C181" w14:textId="7F662909" w:rsidR="00621244" w:rsidRDefault="00621244" w:rsidP="00621244">
            <w:pPr>
              <w:pStyle w:val="BodyTextIndent"/>
              <w:spacing w:after="0"/>
              <w:ind w:left="0" w:right="-720"/>
              <w:rPr>
                <w:rFonts w:ascii="Calibri" w:hAnsi="Calibri"/>
                <w:sz w:val="20"/>
                <w:szCs w:val="20"/>
              </w:rPr>
            </w:pPr>
            <w:r>
              <w:rPr>
                <w:rFonts w:ascii="Calibri" w:hAnsi="Calibri"/>
                <w:sz w:val="20"/>
                <w:szCs w:val="20"/>
              </w:rPr>
              <w:t>2020</w:t>
            </w:r>
          </w:p>
        </w:tc>
        <w:tc>
          <w:tcPr>
            <w:tcW w:w="1080" w:type="dxa"/>
          </w:tcPr>
          <w:p w14:paraId="364D74D7" w14:textId="3E39D792"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54882310" w14:textId="2E81375F" w:rsidR="00621244" w:rsidRDefault="00621244" w:rsidP="00621244">
            <w:pPr>
              <w:pStyle w:val="BodyTextIndent"/>
              <w:spacing w:after="0"/>
              <w:ind w:left="0" w:right="-720"/>
              <w:rPr>
                <w:rFonts w:ascii="Calibri" w:hAnsi="Calibri"/>
                <w:sz w:val="20"/>
                <w:szCs w:val="20"/>
              </w:rPr>
            </w:pPr>
            <w:r>
              <w:rPr>
                <w:rFonts w:ascii="Calibri" w:hAnsi="Calibri"/>
                <w:sz w:val="20"/>
                <w:szCs w:val="20"/>
              </w:rPr>
              <w:t>$1,170,000</w:t>
            </w:r>
          </w:p>
        </w:tc>
        <w:tc>
          <w:tcPr>
            <w:tcW w:w="900" w:type="dxa"/>
          </w:tcPr>
          <w:p w14:paraId="05B5F72E" w14:textId="023A601A" w:rsidR="00621244" w:rsidRDefault="00621244" w:rsidP="00621244">
            <w:pPr>
              <w:pStyle w:val="BodyTextIndent"/>
              <w:spacing w:after="0"/>
              <w:ind w:left="0" w:right="-720"/>
              <w:rPr>
                <w:rFonts w:ascii="Calibri" w:hAnsi="Calibri"/>
                <w:sz w:val="20"/>
                <w:szCs w:val="20"/>
              </w:rPr>
            </w:pPr>
            <w:r>
              <w:rPr>
                <w:rFonts w:ascii="Calibri" w:hAnsi="Calibri"/>
                <w:sz w:val="20"/>
                <w:szCs w:val="20"/>
              </w:rPr>
              <w:t>366</w:t>
            </w:r>
          </w:p>
        </w:tc>
        <w:tc>
          <w:tcPr>
            <w:tcW w:w="1080" w:type="dxa"/>
          </w:tcPr>
          <w:p w14:paraId="30D85570" w14:textId="6BAA1B79" w:rsidR="00621244" w:rsidRDefault="00621244" w:rsidP="00621244">
            <w:pPr>
              <w:pStyle w:val="BodyTextIndent"/>
              <w:spacing w:after="0"/>
              <w:ind w:left="0" w:right="-720"/>
              <w:rPr>
                <w:rFonts w:ascii="Calibri" w:hAnsi="Calibri"/>
                <w:sz w:val="20"/>
                <w:szCs w:val="20"/>
              </w:rPr>
            </w:pPr>
            <w:r>
              <w:rPr>
                <w:rFonts w:ascii="Calibri" w:hAnsi="Calibri"/>
                <w:sz w:val="20"/>
                <w:szCs w:val="20"/>
              </w:rPr>
              <w:t>$858,000</w:t>
            </w:r>
          </w:p>
        </w:tc>
        <w:tc>
          <w:tcPr>
            <w:tcW w:w="900" w:type="dxa"/>
          </w:tcPr>
          <w:p w14:paraId="7652663A" w14:textId="5D2CA20C" w:rsidR="00621244" w:rsidRDefault="00621244" w:rsidP="00621244">
            <w:pPr>
              <w:pStyle w:val="BodyTextIndent"/>
              <w:spacing w:after="0"/>
              <w:ind w:left="0" w:right="-720"/>
              <w:rPr>
                <w:rFonts w:ascii="Calibri" w:hAnsi="Calibri"/>
                <w:sz w:val="20"/>
                <w:szCs w:val="20"/>
              </w:rPr>
            </w:pPr>
            <w:r>
              <w:rPr>
                <w:rFonts w:ascii="Calibri" w:hAnsi="Calibri"/>
                <w:sz w:val="20"/>
                <w:szCs w:val="20"/>
              </w:rPr>
              <w:t>59</w:t>
            </w:r>
          </w:p>
        </w:tc>
        <w:tc>
          <w:tcPr>
            <w:tcW w:w="1095" w:type="dxa"/>
          </w:tcPr>
          <w:p w14:paraId="5228B648" w14:textId="7B6680ED" w:rsidR="00621244" w:rsidRDefault="00621244" w:rsidP="00621244">
            <w:pPr>
              <w:pStyle w:val="BodyTextIndent"/>
              <w:spacing w:after="0"/>
              <w:ind w:left="0" w:right="-720"/>
              <w:rPr>
                <w:rFonts w:ascii="Calibri" w:hAnsi="Calibri"/>
                <w:sz w:val="20"/>
                <w:szCs w:val="20"/>
              </w:rPr>
            </w:pPr>
            <w:r>
              <w:rPr>
                <w:rFonts w:ascii="Calibri" w:hAnsi="Calibri"/>
                <w:sz w:val="20"/>
                <w:szCs w:val="20"/>
              </w:rPr>
              <w:t>$1,100,000</w:t>
            </w:r>
          </w:p>
        </w:tc>
        <w:tc>
          <w:tcPr>
            <w:tcW w:w="885" w:type="dxa"/>
          </w:tcPr>
          <w:p w14:paraId="7EE5C1B1" w14:textId="3176A9CB" w:rsidR="00621244" w:rsidRDefault="00621244" w:rsidP="00621244">
            <w:pPr>
              <w:pStyle w:val="BodyTextIndent"/>
              <w:spacing w:after="0"/>
              <w:ind w:left="0" w:right="-720"/>
              <w:rPr>
                <w:rFonts w:ascii="Calibri" w:hAnsi="Calibri"/>
                <w:sz w:val="20"/>
                <w:szCs w:val="20"/>
              </w:rPr>
            </w:pPr>
            <w:r>
              <w:rPr>
                <w:rFonts w:ascii="Calibri" w:hAnsi="Calibri"/>
                <w:sz w:val="20"/>
                <w:szCs w:val="20"/>
              </w:rPr>
              <w:t>455</w:t>
            </w:r>
          </w:p>
        </w:tc>
      </w:tr>
      <w:tr w:rsidR="00621244" w:rsidRPr="008B375C" w14:paraId="1F9C9FF2" w14:textId="77777777" w:rsidTr="008F2513">
        <w:tc>
          <w:tcPr>
            <w:tcW w:w="798" w:type="dxa"/>
          </w:tcPr>
          <w:p w14:paraId="156E3EEE" w14:textId="227F8CCA" w:rsidR="00621244" w:rsidRDefault="00621244" w:rsidP="00621244">
            <w:pPr>
              <w:pStyle w:val="BodyTextIndent"/>
              <w:spacing w:after="0"/>
              <w:ind w:left="0" w:right="-720"/>
              <w:rPr>
                <w:rFonts w:ascii="Calibri" w:hAnsi="Calibri"/>
                <w:sz w:val="20"/>
                <w:szCs w:val="20"/>
              </w:rPr>
            </w:pPr>
            <w:r>
              <w:rPr>
                <w:rFonts w:ascii="Calibri" w:hAnsi="Calibri"/>
                <w:sz w:val="20"/>
                <w:szCs w:val="20"/>
              </w:rPr>
              <w:t>2019</w:t>
            </w:r>
          </w:p>
        </w:tc>
        <w:tc>
          <w:tcPr>
            <w:tcW w:w="1080" w:type="dxa"/>
          </w:tcPr>
          <w:p w14:paraId="4170FB9D" w14:textId="4C0FD068"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267196FF" w14:textId="0DBC222F" w:rsidR="00621244" w:rsidRDefault="00621244" w:rsidP="00621244">
            <w:pPr>
              <w:pStyle w:val="BodyTextIndent"/>
              <w:spacing w:after="0"/>
              <w:ind w:left="0" w:right="-720"/>
              <w:rPr>
                <w:rFonts w:ascii="Calibri" w:hAnsi="Calibri"/>
                <w:sz w:val="20"/>
                <w:szCs w:val="20"/>
              </w:rPr>
            </w:pPr>
            <w:r>
              <w:rPr>
                <w:rFonts w:ascii="Calibri" w:hAnsi="Calibri"/>
                <w:sz w:val="20"/>
                <w:szCs w:val="20"/>
              </w:rPr>
              <w:t>$1,065,000</w:t>
            </w:r>
          </w:p>
        </w:tc>
        <w:tc>
          <w:tcPr>
            <w:tcW w:w="900" w:type="dxa"/>
          </w:tcPr>
          <w:p w14:paraId="6EBA69C2" w14:textId="673902E2" w:rsidR="00621244" w:rsidRDefault="00621244" w:rsidP="00621244">
            <w:pPr>
              <w:pStyle w:val="BodyTextIndent"/>
              <w:spacing w:after="0"/>
              <w:ind w:left="0" w:right="-720"/>
              <w:rPr>
                <w:rFonts w:ascii="Calibri" w:hAnsi="Calibri"/>
                <w:sz w:val="20"/>
                <w:szCs w:val="20"/>
              </w:rPr>
            </w:pPr>
            <w:r>
              <w:rPr>
                <w:rFonts w:ascii="Calibri" w:hAnsi="Calibri"/>
                <w:sz w:val="20"/>
                <w:szCs w:val="20"/>
              </w:rPr>
              <w:t>383</w:t>
            </w:r>
          </w:p>
        </w:tc>
        <w:tc>
          <w:tcPr>
            <w:tcW w:w="1080" w:type="dxa"/>
          </w:tcPr>
          <w:p w14:paraId="00782F5E" w14:textId="207428E2" w:rsidR="00621244" w:rsidRDefault="00621244" w:rsidP="00621244">
            <w:pPr>
              <w:pStyle w:val="BodyTextIndent"/>
              <w:spacing w:after="0"/>
              <w:ind w:left="0" w:right="-720"/>
              <w:rPr>
                <w:rFonts w:ascii="Calibri" w:hAnsi="Calibri"/>
                <w:sz w:val="20"/>
                <w:szCs w:val="20"/>
              </w:rPr>
            </w:pPr>
            <w:r>
              <w:rPr>
                <w:rFonts w:ascii="Calibri" w:hAnsi="Calibri"/>
                <w:sz w:val="20"/>
                <w:szCs w:val="20"/>
              </w:rPr>
              <w:t>$805,000</w:t>
            </w:r>
          </w:p>
        </w:tc>
        <w:tc>
          <w:tcPr>
            <w:tcW w:w="900" w:type="dxa"/>
          </w:tcPr>
          <w:p w14:paraId="1DBDCE3E" w14:textId="0B28555F" w:rsidR="00621244" w:rsidRDefault="00621244" w:rsidP="00621244">
            <w:pPr>
              <w:pStyle w:val="BodyTextIndent"/>
              <w:spacing w:after="0"/>
              <w:ind w:left="0" w:right="-720"/>
              <w:rPr>
                <w:rFonts w:ascii="Calibri" w:hAnsi="Calibri"/>
                <w:sz w:val="20"/>
                <w:szCs w:val="20"/>
              </w:rPr>
            </w:pPr>
            <w:r>
              <w:rPr>
                <w:rFonts w:ascii="Calibri" w:hAnsi="Calibri"/>
                <w:sz w:val="20"/>
                <w:szCs w:val="20"/>
              </w:rPr>
              <w:t>69</w:t>
            </w:r>
          </w:p>
        </w:tc>
        <w:tc>
          <w:tcPr>
            <w:tcW w:w="1095" w:type="dxa"/>
          </w:tcPr>
          <w:p w14:paraId="159DD0A2" w14:textId="1F9AA3B8" w:rsidR="00621244" w:rsidRDefault="00621244" w:rsidP="00621244">
            <w:pPr>
              <w:pStyle w:val="BodyTextIndent"/>
              <w:spacing w:after="0"/>
              <w:ind w:left="0" w:right="-720"/>
              <w:rPr>
                <w:rFonts w:ascii="Calibri" w:hAnsi="Calibri"/>
                <w:sz w:val="20"/>
                <w:szCs w:val="20"/>
              </w:rPr>
            </w:pPr>
            <w:r>
              <w:rPr>
                <w:rFonts w:ascii="Calibri" w:hAnsi="Calibri"/>
                <w:sz w:val="20"/>
                <w:szCs w:val="20"/>
              </w:rPr>
              <w:t>$1,025,000</w:t>
            </w:r>
          </w:p>
        </w:tc>
        <w:tc>
          <w:tcPr>
            <w:tcW w:w="885" w:type="dxa"/>
          </w:tcPr>
          <w:p w14:paraId="625986FE" w14:textId="54A5E202" w:rsidR="00621244" w:rsidRDefault="00621244" w:rsidP="00621244">
            <w:pPr>
              <w:pStyle w:val="BodyTextIndent"/>
              <w:spacing w:after="0"/>
              <w:ind w:left="0" w:right="-720"/>
              <w:rPr>
                <w:rFonts w:ascii="Calibri" w:hAnsi="Calibri"/>
                <w:sz w:val="20"/>
                <w:szCs w:val="20"/>
              </w:rPr>
            </w:pPr>
            <w:r>
              <w:rPr>
                <w:rFonts w:ascii="Calibri" w:hAnsi="Calibri"/>
                <w:sz w:val="20"/>
                <w:szCs w:val="20"/>
              </w:rPr>
              <w:t>483</w:t>
            </w:r>
          </w:p>
        </w:tc>
      </w:tr>
      <w:tr w:rsidR="00621244" w:rsidRPr="008B375C" w14:paraId="5C939832" w14:textId="77777777" w:rsidTr="008F2513">
        <w:tc>
          <w:tcPr>
            <w:tcW w:w="798" w:type="dxa"/>
          </w:tcPr>
          <w:p w14:paraId="1086F81F"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2018</w:t>
            </w:r>
          </w:p>
        </w:tc>
        <w:tc>
          <w:tcPr>
            <w:tcW w:w="1080" w:type="dxa"/>
          </w:tcPr>
          <w:p w14:paraId="24E98917"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2E3D0A4D"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$976,250</w:t>
            </w:r>
          </w:p>
        </w:tc>
        <w:tc>
          <w:tcPr>
            <w:tcW w:w="900" w:type="dxa"/>
          </w:tcPr>
          <w:p w14:paraId="76C108BB"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384</w:t>
            </w:r>
          </w:p>
        </w:tc>
        <w:tc>
          <w:tcPr>
            <w:tcW w:w="1080" w:type="dxa"/>
          </w:tcPr>
          <w:p w14:paraId="6678E930"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$754,900</w:t>
            </w:r>
          </w:p>
        </w:tc>
        <w:tc>
          <w:tcPr>
            <w:tcW w:w="900" w:type="dxa"/>
          </w:tcPr>
          <w:p w14:paraId="4796CEFF"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69</w:t>
            </w:r>
          </w:p>
        </w:tc>
        <w:tc>
          <w:tcPr>
            <w:tcW w:w="1095" w:type="dxa"/>
          </w:tcPr>
          <w:p w14:paraId="7F8FF070"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$930,000</w:t>
            </w:r>
          </w:p>
        </w:tc>
        <w:tc>
          <w:tcPr>
            <w:tcW w:w="885" w:type="dxa"/>
          </w:tcPr>
          <w:p w14:paraId="5007F6CB"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488</w:t>
            </w:r>
          </w:p>
        </w:tc>
      </w:tr>
      <w:tr w:rsidR="00621244" w:rsidRPr="008B375C" w14:paraId="655F7D0F" w14:textId="77777777" w:rsidTr="008F2513">
        <w:tc>
          <w:tcPr>
            <w:tcW w:w="798" w:type="dxa"/>
          </w:tcPr>
          <w:p w14:paraId="254296D3"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2017</w:t>
            </w:r>
          </w:p>
        </w:tc>
        <w:tc>
          <w:tcPr>
            <w:tcW w:w="1080" w:type="dxa"/>
          </w:tcPr>
          <w:p w14:paraId="06A0DC45"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642EFEB5" w14:textId="7ADC4728"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$962,500</w:t>
            </w:r>
          </w:p>
        </w:tc>
        <w:tc>
          <w:tcPr>
            <w:tcW w:w="900" w:type="dxa"/>
          </w:tcPr>
          <w:p w14:paraId="79EE5611"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396</w:t>
            </w:r>
          </w:p>
        </w:tc>
        <w:tc>
          <w:tcPr>
            <w:tcW w:w="1080" w:type="dxa"/>
          </w:tcPr>
          <w:p w14:paraId="4768D518" w14:textId="33E8CC4E"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$767,000</w:t>
            </w:r>
          </w:p>
        </w:tc>
        <w:tc>
          <w:tcPr>
            <w:tcW w:w="900" w:type="dxa"/>
          </w:tcPr>
          <w:p w14:paraId="1BC3CA92"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58</w:t>
            </w:r>
          </w:p>
        </w:tc>
        <w:tc>
          <w:tcPr>
            <w:tcW w:w="1095" w:type="dxa"/>
          </w:tcPr>
          <w:p w14:paraId="413EF624" w14:textId="77FAE0AB"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$910,000</w:t>
            </w:r>
          </w:p>
        </w:tc>
        <w:tc>
          <w:tcPr>
            <w:tcW w:w="885" w:type="dxa"/>
          </w:tcPr>
          <w:p w14:paraId="27759846"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489</w:t>
            </w:r>
          </w:p>
        </w:tc>
      </w:tr>
      <w:tr w:rsidR="00621244" w:rsidRPr="008B375C" w14:paraId="59EC29D7" w14:textId="77777777" w:rsidTr="008F2513">
        <w:tc>
          <w:tcPr>
            <w:tcW w:w="798" w:type="dxa"/>
          </w:tcPr>
          <w:p w14:paraId="1B4D9B2B"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2016</w:t>
            </w:r>
          </w:p>
        </w:tc>
        <w:tc>
          <w:tcPr>
            <w:tcW w:w="1080" w:type="dxa"/>
          </w:tcPr>
          <w:p w14:paraId="0B46779F"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2967CEAD" w14:textId="6FA2C0F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$859,000</w:t>
            </w:r>
          </w:p>
        </w:tc>
        <w:tc>
          <w:tcPr>
            <w:tcW w:w="900" w:type="dxa"/>
          </w:tcPr>
          <w:p w14:paraId="0E709A5E"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422</w:t>
            </w:r>
          </w:p>
        </w:tc>
        <w:tc>
          <w:tcPr>
            <w:tcW w:w="1080" w:type="dxa"/>
          </w:tcPr>
          <w:p w14:paraId="10DEC19F" w14:textId="04F2A355"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$580,000</w:t>
            </w:r>
          </w:p>
        </w:tc>
        <w:tc>
          <w:tcPr>
            <w:tcW w:w="900" w:type="dxa"/>
          </w:tcPr>
          <w:p w14:paraId="4CB6B073"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57</w:t>
            </w:r>
          </w:p>
        </w:tc>
        <w:tc>
          <w:tcPr>
            <w:tcW w:w="1095" w:type="dxa"/>
          </w:tcPr>
          <w:p w14:paraId="179C14C1" w14:textId="6E89FE99"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$836,000</w:t>
            </w:r>
          </w:p>
        </w:tc>
        <w:tc>
          <w:tcPr>
            <w:tcW w:w="885" w:type="dxa"/>
          </w:tcPr>
          <w:p w14:paraId="59D4F5F2"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513</w:t>
            </w:r>
          </w:p>
        </w:tc>
      </w:tr>
      <w:tr w:rsidR="00621244" w:rsidRPr="008B375C" w14:paraId="5FC92746" w14:textId="77777777" w:rsidTr="008F2513">
        <w:tc>
          <w:tcPr>
            <w:tcW w:w="798" w:type="dxa"/>
          </w:tcPr>
          <w:p w14:paraId="540E10A5"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2015</w:t>
            </w:r>
          </w:p>
        </w:tc>
        <w:tc>
          <w:tcPr>
            <w:tcW w:w="1080" w:type="dxa"/>
          </w:tcPr>
          <w:p w14:paraId="3AA1673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5D01FB61" w14:textId="51D1B24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$848,250</w:t>
            </w:r>
          </w:p>
        </w:tc>
        <w:tc>
          <w:tcPr>
            <w:tcW w:w="900" w:type="dxa"/>
          </w:tcPr>
          <w:p w14:paraId="301593E0"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419</w:t>
            </w:r>
          </w:p>
        </w:tc>
        <w:tc>
          <w:tcPr>
            <w:tcW w:w="1080" w:type="dxa"/>
          </w:tcPr>
          <w:p w14:paraId="46D6D7D5" w14:textId="6B70A2EE"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$636,000</w:t>
            </w:r>
          </w:p>
        </w:tc>
        <w:tc>
          <w:tcPr>
            <w:tcW w:w="900" w:type="dxa"/>
          </w:tcPr>
          <w:p w14:paraId="3B22EFF4"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77</w:t>
            </w:r>
          </w:p>
        </w:tc>
        <w:tc>
          <w:tcPr>
            <w:tcW w:w="1095" w:type="dxa"/>
          </w:tcPr>
          <w:p w14:paraId="465C3ADB" w14:textId="3EF924C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$809,000</w:t>
            </w:r>
          </w:p>
        </w:tc>
        <w:tc>
          <w:tcPr>
            <w:tcW w:w="885" w:type="dxa"/>
          </w:tcPr>
          <w:p w14:paraId="5B4ACDE1"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537</w:t>
            </w:r>
          </w:p>
        </w:tc>
      </w:tr>
      <w:tr w:rsidR="00621244" w:rsidRPr="008B375C" w14:paraId="4EC628E5" w14:textId="77777777" w:rsidTr="008F2513">
        <w:tc>
          <w:tcPr>
            <w:tcW w:w="798" w:type="dxa"/>
          </w:tcPr>
          <w:p w14:paraId="42F48FE8"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2014</w:t>
            </w:r>
          </w:p>
        </w:tc>
        <w:tc>
          <w:tcPr>
            <w:tcW w:w="1080" w:type="dxa"/>
          </w:tcPr>
          <w:p w14:paraId="3B418B34"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5C860E26" w14:textId="74B0181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$810,000</w:t>
            </w:r>
          </w:p>
        </w:tc>
        <w:tc>
          <w:tcPr>
            <w:tcW w:w="900" w:type="dxa"/>
          </w:tcPr>
          <w:p w14:paraId="1DD9B3DB"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385</w:t>
            </w:r>
          </w:p>
        </w:tc>
        <w:tc>
          <w:tcPr>
            <w:tcW w:w="1080" w:type="dxa"/>
          </w:tcPr>
          <w:p w14:paraId="43D58930" w14:textId="5B27875C"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$550,000</w:t>
            </w:r>
          </w:p>
        </w:tc>
        <w:tc>
          <w:tcPr>
            <w:tcW w:w="900" w:type="dxa"/>
          </w:tcPr>
          <w:p w14:paraId="71FCCBDA"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75</w:t>
            </w:r>
          </w:p>
        </w:tc>
        <w:tc>
          <w:tcPr>
            <w:tcW w:w="1095" w:type="dxa"/>
          </w:tcPr>
          <w:p w14:paraId="0A256D19" w14:textId="770591A1"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$789,500</w:t>
            </w:r>
          </w:p>
        </w:tc>
        <w:tc>
          <w:tcPr>
            <w:tcW w:w="885" w:type="dxa"/>
          </w:tcPr>
          <w:p w14:paraId="58D71825"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496</w:t>
            </w:r>
          </w:p>
        </w:tc>
      </w:tr>
      <w:tr w:rsidR="00621244" w:rsidRPr="008B375C" w14:paraId="04D0716E" w14:textId="77777777" w:rsidTr="008F2513">
        <w:tc>
          <w:tcPr>
            <w:tcW w:w="798" w:type="dxa"/>
          </w:tcPr>
          <w:p w14:paraId="231BB0C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2013</w:t>
            </w:r>
          </w:p>
        </w:tc>
        <w:tc>
          <w:tcPr>
            <w:tcW w:w="1080" w:type="dxa"/>
          </w:tcPr>
          <w:p w14:paraId="7859CF74"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28789D70" w14:textId="22991834"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$749,500</w:t>
            </w:r>
          </w:p>
        </w:tc>
        <w:tc>
          <w:tcPr>
            <w:tcW w:w="900" w:type="dxa"/>
          </w:tcPr>
          <w:p w14:paraId="363C94C0"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424</w:t>
            </w:r>
          </w:p>
        </w:tc>
        <w:tc>
          <w:tcPr>
            <w:tcW w:w="1080" w:type="dxa"/>
          </w:tcPr>
          <w:p w14:paraId="4D235308" w14:textId="1680BADA"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$485,000</w:t>
            </w:r>
          </w:p>
        </w:tc>
        <w:tc>
          <w:tcPr>
            <w:tcW w:w="900" w:type="dxa"/>
          </w:tcPr>
          <w:p w14:paraId="5F35261B"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59</w:t>
            </w:r>
          </w:p>
        </w:tc>
        <w:tc>
          <w:tcPr>
            <w:tcW w:w="1095" w:type="dxa"/>
          </w:tcPr>
          <w:p w14:paraId="1503CF99" w14:textId="2BB0C06E"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$729,000</w:t>
            </w:r>
          </w:p>
        </w:tc>
        <w:tc>
          <w:tcPr>
            <w:tcW w:w="885" w:type="dxa"/>
          </w:tcPr>
          <w:p w14:paraId="4E3FE8BD" w14:textId="7777777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529</w:t>
            </w:r>
          </w:p>
        </w:tc>
      </w:tr>
      <w:tr w:rsidR="00621244" w:rsidRPr="008B375C" w14:paraId="705F77AE" w14:textId="77777777" w:rsidTr="008F2513">
        <w:tc>
          <w:tcPr>
            <w:tcW w:w="798" w:type="dxa"/>
          </w:tcPr>
          <w:p w14:paraId="4B9C497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2012</w:t>
            </w:r>
          </w:p>
        </w:tc>
        <w:tc>
          <w:tcPr>
            <w:tcW w:w="1080" w:type="dxa"/>
          </w:tcPr>
          <w:p w14:paraId="45BB8FDB"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478AA9C9" w14:textId="66424174"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672,100</w:t>
            </w:r>
          </w:p>
        </w:tc>
        <w:tc>
          <w:tcPr>
            <w:tcW w:w="900" w:type="dxa"/>
          </w:tcPr>
          <w:p w14:paraId="2DA06D1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396</w:t>
            </w:r>
          </w:p>
        </w:tc>
        <w:tc>
          <w:tcPr>
            <w:tcW w:w="1080" w:type="dxa"/>
          </w:tcPr>
          <w:p w14:paraId="7E851856" w14:textId="638CFC48"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445,000</w:t>
            </w:r>
          </w:p>
        </w:tc>
        <w:tc>
          <w:tcPr>
            <w:tcW w:w="900" w:type="dxa"/>
          </w:tcPr>
          <w:p w14:paraId="5303A26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47</w:t>
            </w:r>
          </w:p>
        </w:tc>
        <w:tc>
          <w:tcPr>
            <w:tcW w:w="1095" w:type="dxa"/>
          </w:tcPr>
          <w:p w14:paraId="4D7A8A0F" w14:textId="36D30804"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657,000</w:t>
            </w:r>
          </w:p>
        </w:tc>
        <w:tc>
          <w:tcPr>
            <w:tcW w:w="885" w:type="dxa"/>
          </w:tcPr>
          <w:p w14:paraId="710F3B3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491</w:t>
            </w:r>
          </w:p>
        </w:tc>
      </w:tr>
      <w:tr w:rsidR="00621244" w:rsidRPr="008B375C" w14:paraId="7F86A55D" w14:textId="77777777" w:rsidTr="008F2513">
        <w:tc>
          <w:tcPr>
            <w:tcW w:w="798" w:type="dxa"/>
          </w:tcPr>
          <w:p w14:paraId="197F522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2011</w:t>
            </w:r>
          </w:p>
        </w:tc>
        <w:tc>
          <w:tcPr>
            <w:tcW w:w="1080" w:type="dxa"/>
          </w:tcPr>
          <w:p w14:paraId="447FC3C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7486EE80" w14:textId="16D5F2AF"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656,500</w:t>
            </w:r>
          </w:p>
        </w:tc>
        <w:tc>
          <w:tcPr>
            <w:tcW w:w="900" w:type="dxa"/>
          </w:tcPr>
          <w:p w14:paraId="7778A7B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356</w:t>
            </w:r>
          </w:p>
        </w:tc>
        <w:tc>
          <w:tcPr>
            <w:tcW w:w="1080" w:type="dxa"/>
          </w:tcPr>
          <w:p w14:paraId="6AC659F6" w14:textId="32B7541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361,000</w:t>
            </w:r>
          </w:p>
        </w:tc>
        <w:tc>
          <w:tcPr>
            <w:tcW w:w="900" w:type="dxa"/>
          </w:tcPr>
          <w:p w14:paraId="56762DC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35</w:t>
            </w:r>
          </w:p>
        </w:tc>
        <w:tc>
          <w:tcPr>
            <w:tcW w:w="1095" w:type="dxa"/>
          </w:tcPr>
          <w:p w14:paraId="0EC6E511" w14:textId="58E742F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636,500</w:t>
            </w:r>
          </w:p>
        </w:tc>
        <w:tc>
          <w:tcPr>
            <w:tcW w:w="885" w:type="dxa"/>
          </w:tcPr>
          <w:p w14:paraId="7F4E725F"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428</w:t>
            </w:r>
          </w:p>
        </w:tc>
      </w:tr>
      <w:tr w:rsidR="00621244" w:rsidRPr="008B375C" w14:paraId="0D912A22" w14:textId="77777777" w:rsidTr="008F2513">
        <w:tc>
          <w:tcPr>
            <w:tcW w:w="798" w:type="dxa"/>
          </w:tcPr>
          <w:p w14:paraId="6B82CE8E"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2010</w:t>
            </w:r>
          </w:p>
        </w:tc>
        <w:tc>
          <w:tcPr>
            <w:tcW w:w="1080" w:type="dxa"/>
          </w:tcPr>
          <w:p w14:paraId="143AFB7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35CE1B5D" w14:textId="28CBDA8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632,500</w:t>
            </w:r>
          </w:p>
        </w:tc>
        <w:tc>
          <w:tcPr>
            <w:tcW w:w="900" w:type="dxa"/>
          </w:tcPr>
          <w:p w14:paraId="3EFC806C"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392</w:t>
            </w:r>
          </w:p>
        </w:tc>
        <w:tc>
          <w:tcPr>
            <w:tcW w:w="1080" w:type="dxa"/>
          </w:tcPr>
          <w:p w14:paraId="77D78D91" w14:textId="3E229CF9"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402,000</w:t>
            </w:r>
          </w:p>
        </w:tc>
        <w:tc>
          <w:tcPr>
            <w:tcW w:w="900" w:type="dxa"/>
          </w:tcPr>
          <w:p w14:paraId="235EE7D1"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52</w:t>
            </w:r>
          </w:p>
        </w:tc>
        <w:tc>
          <w:tcPr>
            <w:tcW w:w="1095" w:type="dxa"/>
          </w:tcPr>
          <w:p w14:paraId="0AF00563" w14:textId="3AFFE7F3"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625,500</w:t>
            </w:r>
          </w:p>
        </w:tc>
        <w:tc>
          <w:tcPr>
            <w:tcW w:w="885" w:type="dxa"/>
          </w:tcPr>
          <w:p w14:paraId="350B4CE1"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468</w:t>
            </w:r>
          </w:p>
        </w:tc>
      </w:tr>
      <w:tr w:rsidR="00621244" w:rsidRPr="008B375C" w14:paraId="2E926F50" w14:textId="77777777" w:rsidTr="008F2513">
        <w:tc>
          <w:tcPr>
            <w:tcW w:w="798" w:type="dxa"/>
          </w:tcPr>
          <w:p w14:paraId="150A1E64"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2009</w:t>
            </w:r>
          </w:p>
        </w:tc>
        <w:tc>
          <w:tcPr>
            <w:tcW w:w="1080" w:type="dxa"/>
          </w:tcPr>
          <w:p w14:paraId="403C931B"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6EE45629" w14:textId="2F8A1972"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650,000</w:t>
            </w:r>
          </w:p>
        </w:tc>
        <w:tc>
          <w:tcPr>
            <w:tcW w:w="900" w:type="dxa"/>
          </w:tcPr>
          <w:p w14:paraId="48CA5D8D"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331</w:t>
            </w:r>
          </w:p>
        </w:tc>
        <w:tc>
          <w:tcPr>
            <w:tcW w:w="1080" w:type="dxa"/>
          </w:tcPr>
          <w:p w14:paraId="1673D167" w14:textId="50ECDE63"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297,750</w:t>
            </w:r>
          </w:p>
        </w:tc>
        <w:tc>
          <w:tcPr>
            <w:tcW w:w="900" w:type="dxa"/>
          </w:tcPr>
          <w:p w14:paraId="7435147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54</w:t>
            </w:r>
          </w:p>
        </w:tc>
        <w:tc>
          <w:tcPr>
            <w:tcW w:w="1095" w:type="dxa"/>
          </w:tcPr>
          <w:p w14:paraId="335EEDFA" w14:textId="06722B4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620,000</w:t>
            </w:r>
          </w:p>
        </w:tc>
        <w:tc>
          <w:tcPr>
            <w:tcW w:w="885" w:type="dxa"/>
          </w:tcPr>
          <w:p w14:paraId="5BDC5414"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408</w:t>
            </w:r>
          </w:p>
        </w:tc>
      </w:tr>
      <w:tr w:rsidR="00621244" w:rsidRPr="008B375C" w14:paraId="33E9EA89" w14:textId="77777777" w:rsidTr="008F2513">
        <w:tc>
          <w:tcPr>
            <w:tcW w:w="798" w:type="dxa"/>
          </w:tcPr>
          <w:p w14:paraId="42C5270E"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2008</w:t>
            </w:r>
          </w:p>
        </w:tc>
        <w:tc>
          <w:tcPr>
            <w:tcW w:w="1080" w:type="dxa"/>
          </w:tcPr>
          <w:p w14:paraId="2078198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3A774666" w14:textId="5FFF060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645,000</w:t>
            </w:r>
          </w:p>
        </w:tc>
        <w:tc>
          <w:tcPr>
            <w:tcW w:w="900" w:type="dxa"/>
          </w:tcPr>
          <w:p w14:paraId="0CD49D6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329</w:t>
            </w:r>
          </w:p>
        </w:tc>
        <w:tc>
          <w:tcPr>
            <w:tcW w:w="1080" w:type="dxa"/>
          </w:tcPr>
          <w:p w14:paraId="53A77D44" w14:textId="2A1C6551"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415,000</w:t>
            </w:r>
          </w:p>
        </w:tc>
        <w:tc>
          <w:tcPr>
            <w:tcW w:w="900" w:type="dxa"/>
          </w:tcPr>
          <w:p w14:paraId="5B7D756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65</w:t>
            </w:r>
          </w:p>
        </w:tc>
        <w:tc>
          <w:tcPr>
            <w:tcW w:w="1095" w:type="dxa"/>
          </w:tcPr>
          <w:p w14:paraId="770E49EF" w14:textId="64F3CA2A"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625,000</w:t>
            </w:r>
          </w:p>
        </w:tc>
        <w:tc>
          <w:tcPr>
            <w:tcW w:w="885" w:type="dxa"/>
          </w:tcPr>
          <w:p w14:paraId="7A373B4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421</w:t>
            </w:r>
          </w:p>
        </w:tc>
      </w:tr>
      <w:tr w:rsidR="00621244" w:rsidRPr="008B375C" w14:paraId="1705DB2C" w14:textId="77777777" w:rsidTr="008F2513">
        <w:tc>
          <w:tcPr>
            <w:tcW w:w="798" w:type="dxa"/>
          </w:tcPr>
          <w:p w14:paraId="2FD7583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2007</w:t>
            </w:r>
          </w:p>
        </w:tc>
        <w:tc>
          <w:tcPr>
            <w:tcW w:w="1080" w:type="dxa"/>
          </w:tcPr>
          <w:p w14:paraId="73603D00"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4E110EFA" w14:textId="5598002E"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618,000</w:t>
            </w:r>
          </w:p>
        </w:tc>
        <w:tc>
          <w:tcPr>
            <w:tcW w:w="900" w:type="dxa"/>
          </w:tcPr>
          <w:p w14:paraId="7F786EE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441</w:t>
            </w:r>
          </w:p>
        </w:tc>
        <w:tc>
          <w:tcPr>
            <w:tcW w:w="1080" w:type="dxa"/>
          </w:tcPr>
          <w:p w14:paraId="4A4364D7" w14:textId="1E6796B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428,000</w:t>
            </w:r>
          </w:p>
        </w:tc>
        <w:tc>
          <w:tcPr>
            <w:tcW w:w="900" w:type="dxa"/>
          </w:tcPr>
          <w:p w14:paraId="16806C8B"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57</w:t>
            </w:r>
          </w:p>
        </w:tc>
        <w:tc>
          <w:tcPr>
            <w:tcW w:w="1095" w:type="dxa"/>
          </w:tcPr>
          <w:p w14:paraId="57D0BB34" w14:textId="779F990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610,000</w:t>
            </w:r>
          </w:p>
        </w:tc>
        <w:tc>
          <w:tcPr>
            <w:tcW w:w="885" w:type="dxa"/>
          </w:tcPr>
          <w:p w14:paraId="7DAAA84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527</w:t>
            </w:r>
          </w:p>
        </w:tc>
      </w:tr>
      <w:tr w:rsidR="00621244" w:rsidRPr="008B375C" w14:paraId="2AD4872A" w14:textId="77777777" w:rsidTr="008F2513">
        <w:tc>
          <w:tcPr>
            <w:tcW w:w="798" w:type="dxa"/>
          </w:tcPr>
          <w:p w14:paraId="56B5EFBD"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2006</w:t>
            </w:r>
          </w:p>
        </w:tc>
        <w:tc>
          <w:tcPr>
            <w:tcW w:w="1080" w:type="dxa"/>
          </w:tcPr>
          <w:p w14:paraId="1CBB0DD0"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4F0DAA78" w14:textId="434BCE49"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655,000</w:t>
            </w:r>
          </w:p>
        </w:tc>
        <w:tc>
          <w:tcPr>
            <w:tcW w:w="900" w:type="dxa"/>
          </w:tcPr>
          <w:p w14:paraId="5A51A97D"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368</w:t>
            </w:r>
          </w:p>
        </w:tc>
        <w:tc>
          <w:tcPr>
            <w:tcW w:w="1080" w:type="dxa"/>
          </w:tcPr>
          <w:p w14:paraId="09E00FD5" w14:textId="070EA0FD"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444,500</w:t>
            </w:r>
          </w:p>
        </w:tc>
        <w:tc>
          <w:tcPr>
            <w:tcW w:w="900" w:type="dxa"/>
          </w:tcPr>
          <w:p w14:paraId="73CC15AC"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44</w:t>
            </w:r>
          </w:p>
        </w:tc>
        <w:tc>
          <w:tcPr>
            <w:tcW w:w="1095" w:type="dxa"/>
          </w:tcPr>
          <w:p w14:paraId="776869A2" w14:textId="40BD9CD8"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636,000</w:t>
            </w:r>
          </w:p>
        </w:tc>
        <w:tc>
          <w:tcPr>
            <w:tcW w:w="885" w:type="dxa"/>
          </w:tcPr>
          <w:p w14:paraId="7BA9595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454</w:t>
            </w:r>
          </w:p>
        </w:tc>
      </w:tr>
      <w:tr w:rsidR="00621244" w:rsidRPr="008B375C" w14:paraId="0515C453" w14:textId="77777777" w:rsidTr="008F2513">
        <w:tc>
          <w:tcPr>
            <w:tcW w:w="798" w:type="dxa"/>
          </w:tcPr>
          <w:p w14:paraId="3652312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2005</w:t>
            </w:r>
          </w:p>
        </w:tc>
        <w:tc>
          <w:tcPr>
            <w:tcW w:w="1080" w:type="dxa"/>
          </w:tcPr>
          <w:p w14:paraId="0A343EF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115F8FFA" w14:textId="4E359DBC"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663,750</w:t>
            </w:r>
          </w:p>
        </w:tc>
        <w:tc>
          <w:tcPr>
            <w:tcW w:w="900" w:type="dxa"/>
          </w:tcPr>
          <w:p w14:paraId="1A2316EE"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364</w:t>
            </w:r>
          </w:p>
        </w:tc>
        <w:tc>
          <w:tcPr>
            <w:tcW w:w="1080" w:type="dxa"/>
          </w:tcPr>
          <w:p w14:paraId="4F336946" w14:textId="5742B298"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593,750</w:t>
            </w:r>
          </w:p>
        </w:tc>
        <w:tc>
          <w:tcPr>
            <w:tcW w:w="900" w:type="dxa"/>
          </w:tcPr>
          <w:p w14:paraId="025A80D8"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62</w:t>
            </w:r>
          </w:p>
        </w:tc>
        <w:tc>
          <w:tcPr>
            <w:tcW w:w="1095" w:type="dxa"/>
          </w:tcPr>
          <w:p w14:paraId="650D8CD9" w14:textId="4536F072"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650,000</w:t>
            </w:r>
          </w:p>
        </w:tc>
        <w:tc>
          <w:tcPr>
            <w:tcW w:w="885" w:type="dxa"/>
          </w:tcPr>
          <w:p w14:paraId="53E14B6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456</w:t>
            </w:r>
          </w:p>
        </w:tc>
      </w:tr>
      <w:tr w:rsidR="00621244" w:rsidRPr="008B375C" w14:paraId="35D30A81" w14:textId="77777777" w:rsidTr="008F2513">
        <w:tc>
          <w:tcPr>
            <w:tcW w:w="798" w:type="dxa"/>
          </w:tcPr>
          <w:p w14:paraId="2F194FD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2004</w:t>
            </w:r>
          </w:p>
        </w:tc>
        <w:tc>
          <w:tcPr>
            <w:tcW w:w="1080" w:type="dxa"/>
          </w:tcPr>
          <w:p w14:paraId="79189A9B"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3FF032A8" w14:textId="79F11F9E"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619,500</w:t>
            </w:r>
          </w:p>
        </w:tc>
        <w:tc>
          <w:tcPr>
            <w:tcW w:w="900" w:type="dxa"/>
          </w:tcPr>
          <w:p w14:paraId="7CD424B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452</w:t>
            </w:r>
          </w:p>
        </w:tc>
        <w:tc>
          <w:tcPr>
            <w:tcW w:w="1080" w:type="dxa"/>
          </w:tcPr>
          <w:p w14:paraId="719201A2" w14:textId="34CA6343"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379,500</w:t>
            </w:r>
          </w:p>
        </w:tc>
        <w:tc>
          <w:tcPr>
            <w:tcW w:w="900" w:type="dxa"/>
          </w:tcPr>
          <w:p w14:paraId="09558CAE"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70</w:t>
            </w:r>
          </w:p>
        </w:tc>
        <w:tc>
          <w:tcPr>
            <w:tcW w:w="1095" w:type="dxa"/>
          </w:tcPr>
          <w:p w14:paraId="3202A72F" w14:textId="67B3276B"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604,500</w:t>
            </w:r>
          </w:p>
        </w:tc>
        <w:tc>
          <w:tcPr>
            <w:tcW w:w="885" w:type="dxa"/>
          </w:tcPr>
          <w:p w14:paraId="2AD483DA"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569</w:t>
            </w:r>
          </w:p>
        </w:tc>
      </w:tr>
      <w:tr w:rsidR="00621244" w:rsidRPr="008B375C" w14:paraId="3F2735FB" w14:textId="77777777" w:rsidTr="008F2513">
        <w:tc>
          <w:tcPr>
            <w:tcW w:w="798" w:type="dxa"/>
          </w:tcPr>
          <w:p w14:paraId="7C46B533"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2003</w:t>
            </w:r>
          </w:p>
        </w:tc>
        <w:tc>
          <w:tcPr>
            <w:tcW w:w="1080" w:type="dxa"/>
          </w:tcPr>
          <w:p w14:paraId="3FA26A87"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54DD8067" w14:textId="3256E6F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560,000</w:t>
            </w:r>
          </w:p>
        </w:tc>
        <w:tc>
          <w:tcPr>
            <w:tcW w:w="900" w:type="dxa"/>
          </w:tcPr>
          <w:p w14:paraId="5093D492"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426</w:t>
            </w:r>
          </w:p>
        </w:tc>
        <w:tc>
          <w:tcPr>
            <w:tcW w:w="1080" w:type="dxa"/>
          </w:tcPr>
          <w:p w14:paraId="524EC71F" w14:textId="534EC659"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379,750</w:t>
            </w:r>
          </w:p>
        </w:tc>
        <w:tc>
          <w:tcPr>
            <w:tcW w:w="900" w:type="dxa"/>
          </w:tcPr>
          <w:p w14:paraId="3339C12F"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42</w:t>
            </w:r>
          </w:p>
        </w:tc>
        <w:tc>
          <w:tcPr>
            <w:tcW w:w="1095" w:type="dxa"/>
          </w:tcPr>
          <w:p w14:paraId="49B50882" w14:textId="5EFC2430"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545,000</w:t>
            </w:r>
          </w:p>
        </w:tc>
        <w:tc>
          <w:tcPr>
            <w:tcW w:w="885" w:type="dxa"/>
          </w:tcPr>
          <w:p w14:paraId="4114344D"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508</w:t>
            </w:r>
          </w:p>
        </w:tc>
      </w:tr>
      <w:tr w:rsidR="00621244" w:rsidRPr="008B375C" w14:paraId="30CE35FC" w14:textId="77777777" w:rsidTr="008F2513">
        <w:tc>
          <w:tcPr>
            <w:tcW w:w="798" w:type="dxa"/>
          </w:tcPr>
          <w:p w14:paraId="5E4EA703"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2002</w:t>
            </w:r>
          </w:p>
        </w:tc>
        <w:tc>
          <w:tcPr>
            <w:tcW w:w="1080" w:type="dxa"/>
          </w:tcPr>
          <w:p w14:paraId="0A6A0D3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Jan – Dec</w:t>
            </w:r>
          </w:p>
        </w:tc>
        <w:tc>
          <w:tcPr>
            <w:tcW w:w="1080" w:type="dxa"/>
          </w:tcPr>
          <w:p w14:paraId="21899268" w14:textId="4AE64673"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520,850</w:t>
            </w:r>
          </w:p>
        </w:tc>
        <w:tc>
          <w:tcPr>
            <w:tcW w:w="900" w:type="dxa"/>
          </w:tcPr>
          <w:p w14:paraId="35C265B1"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422</w:t>
            </w:r>
          </w:p>
        </w:tc>
        <w:tc>
          <w:tcPr>
            <w:tcW w:w="1080" w:type="dxa"/>
          </w:tcPr>
          <w:p w14:paraId="7DC3FCD5" w14:textId="101C2957"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328,000</w:t>
            </w:r>
          </w:p>
        </w:tc>
        <w:tc>
          <w:tcPr>
            <w:tcW w:w="900" w:type="dxa"/>
          </w:tcPr>
          <w:p w14:paraId="62C766CC"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63</w:t>
            </w:r>
          </w:p>
        </w:tc>
        <w:tc>
          <w:tcPr>
            <w:tcW w:w="1095" w:type="dxa"/>
          </w:tcPr>
          <w:p w14:paraId="16BF7DD9" w14:textId="0A0529FF"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500,000</w:t>
            </w:r>
          </w:p>
        </w:tc>
        <w:tc>
          <w:tcPr>
            <w:tcW w:w="885" w:type="dxa"/>
          </w:tcPr>
          <w:p w14:paraId="4B4BAA3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522</w:t>
            </w:r>
          </w:p>
        </w:tc>
      </w:tr>
      <w:tr w:rsidR="00621244" w:rsidRPr="008B375C" w14:paraId="7FEDE153" w14:textId="77777777" w:rsidTr="008F2513">
        <w:tc>
          <w:tcPr>
            <w:tcW w:w="798" w:type="dxa"/>
          </w:tcPr>
          <w:p w14:paraId="71F9BFE3"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2001</w:t>
            </w:r>
          </w:p>
        </w:tc>
        <w:tc>
          <w:tcPr>
            <w:tcW w:w="1080" w:type="dxa"/>
          </w:tcPr>
          <w:p w14:paraId="1543624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551DE62E" w14:textId="7F298BA1"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489,950</w:t>
            </w:r>
          </w:p>
        </w:tc>
        <w:tc>
          <w:tcPr>
            <w:tcW w:w="900" w:type="dxa"/>
          </w:tcPr>
          <w:p w14:paraId="771448E0"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366</w:t>
            </w:r>
          </w:p>
        </w:tc>
        <w:tc>
          <w:tcPr>
            <w:tcW w:w="1080" w:type="dxa"/>
          </w:tcPr>
          <w:p w14:paraId="603CB53B" w14:textId="236A9C64"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279,950</w:t>
            </w:r>
          </w:p>
        </w:tc>
        <w:tc>
          <w:tcPr>
            <w:tcW w:w="900" w:type="dxa"/>
          </w:tcPr>
          <w:p w14:paraId="14017C04"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48</w:t>
            </w:r>
          </w:p>
        </w:tc>
        <w:tc>
          <w:tcPr>
            <w:tcW w:w="1095" w:type="dxa"/>
          </w:tcPr>
          <w:p w14:paraId="17FF684B" w14:textId="0328C5FA"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465,000</w:t>
            </w:r>
          </w:p>
        </w:tc>
        <w:tc>
          <w:tcPr>
            <w:tcW w:w="885" w:type="dxa"/>
          </w:tcPr>
          <w:p w14:paraId="3C50B99F"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449</w:t>
            </w:r>
          </w:p>
        </w:tc>
      </w:tr>
      <w:tr w:rsidR="00621244" w:rsidRPr="008B375C" w14:paraId="4E075A15" w14:textId="77777777" w:rsidTr="008F2513">
        <w:tc>
          <w:tcPr>
            <w:tcW w:w="798" w:type="dxa"/>
          </w:tcPr>
          <w:p w14:paraId="63EA21D0"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2000</w:t>
            </w:r>
          </w:p>
        </w:tc>
        <w:tc>
          <w:tcPr>
            <w:tcW w:w="1080" w:type="dxa"/>
          </w:tcPr>
          <w:p w14:paraId="282021B9"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 xml:space="preserve">Jan – Dec </w:t>
            </w:r>
          </w:p>
        </w:tc>
        <w:tc>
          <w:tcPr>
            <w:tcW w:w="1080" w:type="dxa"/>
          </w:tcPr>
          <w:p w14:paraId="73BA8507" w14:textId="77DEA83B"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436,250</w:t>
            </w:r>
          </w:p>
        </w:tc>
        <w:tc>
          <w:tcPr>
            <w:tcW w:w="900" w:type="dxa"/>
          </w:tcPr>
          <w:p w14:paraId="558E610B"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434</w:t>
            </w:r>
          </w:p>
        </w:tc>
        <w:tc>
          <w:tcPr>
            <w:tcW w:w="1080" w:type="dxa"/>
          </w:tcPr>
          <w:p w14:paraId="522DB471" w14:textId="4BFE5B21"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239,000</w:t>
            </w:r>
          </w:p>
        </w:tc>
        <w:tc>
          <w:tcPr>
            <w:tcW w:w="900" w:type="dxa"/>
          </w:tcPr>
          <w:p w14:paraId="3E703DE6"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41</w:t>
            </w:r>
          </w:p>
        </w:tc>
        <w:tc>
          <w:tcPr>
            <w:tcW w:w="1095" w:type="dxa"/>
          </w:tcPr>
          <w:p w14:paraId="73037B24" w14:textId="4E3FACFC" w:rsidR="00621244" w:rsidRPr="008B375C" w:rsidRDefault="00621244" w:rsidP="00621244">
            <w:pPr>
              <w:pStyle w:val="BodyTextIndent"/>
              <w:spacing w:after="0"/>
              <w:ind w:left="0" w:right="-720"/>
              <w:rPr>
                <w:rFonts w:ascii="Calibri" w:hAnsi="Calibri"/>
                <w:sz w:val="20"/>
                <w:szCs w:val="20"/>
              </w:rPr>
            </w:pPr>
            <w:r>
              <w:rPr>
                <w:rFonts w:ascii="Calibri" w:hAnsi="Calibri"/>
                <w:sz w:val="20"/>
                <w:szCs w:val="20"/>
              </w:rPr>
              <w:t>$</w:t>
            </w:r>
            <w:r w:rsidRPr="008B375C">
              <w:rPr>
                <w:rFonts w:ascii="Calibri" w:hAnsi="Calibri"/>
                <w:sz w:val="20"/>
                <w:szCs w:val="20"/>
              </w:rPr>
              <w:t>425,000</w:t>
            </w:r>
          </w:p>
        </w:tc>
        <w:tc>
          <w:tcPr>
            <w:tcW w:w="885" w:type="dxa"/>
          </w:tcPr>
          <w:p w14:paraId="67980511" w14:textId="77777777" w:rsidR="00621244" w:rsidRPr="008B375C" w:rsidRDefault="00621244" w:rsidP="00621244">
            <w:pPr>
              <w:pStyle w:val="BodyTextIndent"/>
              <w:spacing w:after="0"/>
              <w:ind w:left="0" w:right="-720"/>
              <w:rPr>
                <w:rFonts w:ascii="Calibri" w:hAnsi="Calibri"/>
                <w:sz w:val="20"/>
                <w:szCs w:val="20"/>
              </w:rPr>
            </w:pPr>
            <w:r w:rsidRPr="008B375C">
              <w:rPr>
                <w:rFonts w:ascii="Calibri" w:hAnsi="Calibri"/>
                <w:sz w:val="20"/>
                <w:szCs w:val="20"/>
              </w:rPr>
              <w:t>525</w:t>
            </w:r>
          </w:p>
        </w:tc>
      </w:tr>
    </w:tbl>
    <w:p w14:paraId="0B17A99B" w14:textId="0A462218" w:rsidR="008772FC" w:rsidRPr="008B375C" w:rsidRDefault="008772FC" w:rsidP="008772FC">
      <w:pPr>
        <w:pStyle w:val="BodyTextIndent"/>
        <w:spacing w:after="0"/>
        <w:ind w:left="0" w:right="-720" w:firstLine="720"/>
        <w:rPr>
          <w:rFonts w:ascii="Calibri" w:hAnsi="Calibri"/>
          <w:sz w:val="20"/>
          <w:szCs w:val="20"/>
        </w:rPr>
      </w:pPr>
      <w:r w:rsidRPr="008B375C">
        <w:rPr>
          <w:rFonts w:ascii="Calibri" w:hAnsi="Calibri"/>
          <w:sz w:val="20"/>
          <w:szCs w:val="20"/>
        </w:rPr>
        <w:t xml:space="preserve">Source: The Warren Group/Banker &amp; Tradesman, </w:t>
      </w:r>
      <w:r w:rsidR="00415FDD">
        <w:rPr>
          <w:rFonts w:ascii="Calibri" w:hAnsi="Calibri"/>
          <w:sz w:val="20"/>
          <w:szCs w:val="20"/>
        </w:rPr>
        <w:t>April 11, 2022</w:t>
      </w:r>
      <w:r w:rsidR="00456374">
        <w:rPr>
          <w:rFonts w:ascii="Calibri" w:hAnsi="Calibri"/>
          <w:sz w:val="20"/>
          <w:szCs w:val="20"/>
        </w:rPr>
        <w:t>.</w:t>
      </w:r>
    </w:p>
    <w:p w14:paraId="25D247D9" w14:textId="77777777" w:rsidR="000C2772" w:rsidRDefault="000C2772" w:rsidP="007106B4">
      <w:pPr>
        <w:pStyle w:val="BodyTextIndent"/>
        <w:spacing w:after="0"/>
        <w:ind w:left="0"/>
        <w:jc w:val="both"/>
        <w:rPr>
          <w:rFonts w:ascii="Calibri" w:hAnsi="Calibri"/>
          <w:sz w:val="22"/>
          <w:szCs w:val="22"/>
        </w:rPr>
      </w:pPr>
    </w:p>
    <w:p w14:paraId="2A1B23EC" w14:textId="369DB7A3" w:rsidR="008772FC" w:rsidRDefault="008772FC" w:rsidP="00456374">
      <w:pPr>
        <w:jc w:val="both"/>
        <w:rPr>
          <w:rFonts w:ascii="Calibri" w:hAnsi="Calibri"/>
          <w:sz w:val="22"/>
          <w:szCs w:val="22"/>
        </w:rPr>
      </w:pPr>
      <w:r w:rsidRPr="008339A5">
        <w:rPr>
          <w:rFonts w:ascii="Calibri" w:hAnsi="Calibri"/>
          <w:sz w:val="22"/>
          <w:szCs w:val="22"/>
        </w:rPr>
        <w:t>Housing prices are high in Needham even relative to neighboring communities that include some of the priciest suburbs in the Boston area</w:t>
      </w:r>
      <w:r w:rsidR="00034453">
        <w:rPr>
          <w:rFonts w:ascii="Calibri" w:hAnsi="Calibri"/>
          <w:sz w:val="22"/>
          <w:szCs w:val="22"/>
        </w:rPr>
        <w:t xml:space="preserve"> and state</w:t>
      </w:r>
      <w:r w:rsidRPr="008339A5">
        <w:rPr>
          <w:rFonts w:ascii="Calibri" w:hAnsi="Calibri"/>
          <w:sz w:val="22"/>
          <w:szCs w:val="22"/>
        </w:rPr>
        <w:t xml:space="preserve">.   Median values for single-family homes are shown in Table </w:t>
      </w:r>
      <w:r w:rsidR="00E0576B">
        <w:rPr>
          <w:rFonts w:ascii="Calibri" w:hAnsi="Calibri"/>
          <w:sz w:val="22"/>
          <w:szCs w:val="22"/>
        </w:rPr>
        <w:t>III-</w:t>
      </w:r>
      <w:r w:rsidR="0028014C">
        <w:rPr>
          <w:rFonts w:ascii="Calibri" w:hAnsi="Calibri"/>
          <w:sz w:val="22"/>
          <w:szCs w:val="22"/>
        </w:rPr>
        <w:t>30</w:t>
      </w:r>
      <w:r w:rsidRPr="008339A5">
        <w:rPr>
          <w:rFonts w:ascii="Calibri" w:hAnsi="Calibri"/>
          <w:sz w:val="22"/>
          <w:szCs w:val="22"/>
        </w:rPr>
        <w:t xml:space="preserve"> for 2000, 2005 (the height of the market for most of these communities</w:t>
      </w:r>
      <w:r w:rsidR="003165F8">
        <w:rPr>
          <w:rFonts w:ascii="Calibri" w:hAnsi="Calibri"/>
          <w:sz w:val="22"/>
          <w:szCs w:val="22"/>
        </w:rPr>
        <w:t xml:space="preserve"> prior to the recession</w:t>
      </w:r>
      <w:r w:rsidRPr="008339A5">
        <w:rPr>
          <w:rFonts w:ascii="Calibri" w:hAnsi="Calibri"/>
          <w:sz w:val="22"/>
          <w:szCs w:val="22"/>
        </w:rPr>
        <w:t xml:space="preserve">), </w:t>
      </w:r>
      <w:r w:rsidR="00DB4213">
        <w:rPr>
          <w:rFonts w:ascii="Calibri" w:hAnsi="Calibri"/>
          <w:sz w:val="22"/>
          <w:szCs w:val="22"/>
        </w:rPr>
        <w:t xml:space="preserve">2010 and </w:t>
      </w:r>
      <w:r w:rsidR="00E0576B">
        <w:rPr>
          <w:rFonts w:ascii="Calibri" w:hAnsi="Calibri"/>
          <w:sz w:val="22"/>
          <w:szCs w:val="22"/>
        </w:rPr>
        <w:t>2021</w:t>
      </w:r>
      <w:r w:rsidRPr="008339A5">
        <w:rPr>
          <w:rFonts w:ascii="Calibri" w:hAnsi="Calibri"/>
          <w:sz w:val="22"/>
          <w:szCs w:val="22"/>
        </w:rPr>
        <w:t xml:space="preserve">, showing the fluctuations in the market over time.  The </w:t>
      </w:r>
      <w:r w:rsidR="00E0576B">
        <w:rPr>
          <w:rFonts w:ascii="Calibri" w:hAnsi="Calibri"/>
          <w:sz w:val="22"/>
          <w:szCs w:val="22"/>
        </w:rPr>
        <w:t>2021</w:t>
      </w:r>
      <w:r w:rsidR="00DB4213">
        <w:rPr>
          <w:rFonts w:ascii="Calibri" w:hAnsi="Calibri"/>
          <w:sz w:val="22"/>
          <w:szCs w:val="22"/>
        </w:rPr>
        <w:t xml:space="preserve"> </w:t>
      </w:r>
      <w:r w:rsidRPr="008339A5">
        <w:rPr>
          <w:rFonts w:ascii="Calibri" w:hAnsi="Calibri"/>
          <w:sz w:val="22"/>
          <w:szCs w:val="22"/>
        </w:rPr>
        <w:t>medians ranged from a low of $</w:t>
      </w:r>
      <w:r w:rsidR="008156FB">
        <w:rPr>
          <w:rFonts w:ascii="Calibri" w:hAnsi="Calibri"/>
          <w:sz w:val="22"/>
          <w:szCs w:val="22"/>
        </w:rPr>
        <w:t>725,750</w:t>
      </w:r>
      <w:r w:rsidRPr="008339A5">
        <w:rPr>
          <w:rFonts w:ascii="Calibri" w:hAnsi="Calibri"/>
          <w:sz w:val="22"/>
          <w:szCs w:val="22"/>
        </w:rPr>
        <w:t xml:space="preserve"> in Dedham to a high of $1,</w:t>
      </w:r>
      <w:r w:rsidR="00E0576B">
        <w:rPr>
          <w:rFonts w:ascii="Calibri" w:hAnsi="Calibri"/>
          <w:sz w:val="22"/>
          <w:szCs w:val="22"/>
        </w:rPr>
        <w:t>65</w:t>
      </w:r>
      <w:r w:rsidR="008156FB">
        <w:rPr>
          <w:rFonts w:ascii="Calibri" w:hAnsi="Calibri"/>
          <w:sz w:val="22"/>
          <w:szCs w:val="22"/>
        </w:rPr>
        <w:t>0</w:t>
      </w:r>
      <w:r w:rsidR="00E0576B">
        <w:rPr>
          <w:rFonts w:ascii="Calibri" w:hAnsi="Calibri"/>
          <w:sz w:val="22"/>
          <w:szCs w:val="22"/>
        </w:rPr>
        <w:t>,000</w:t>
      </w:r>
      <w:r w:rsidRPr="008339A5">
        <w:rPr>
          <w:rFonts w:ascii="Calibri" w:hAnsi="Calibri"/>
          <w:sz w:val="22"/>
          <w:szCs w:val="22"/>
        </w:rPr>
        <w:t xml:space="preserve"> in Wellesley. </w:t>
      </w:r>
      <w:r w:rsidR="00E0576B">
        <w:rPr>
          <w:rFonts w:ascii="Calibri" w:hAnsi="Calibri"/>
          <w:sz w:val="22"/>
          <w:szCs w:val="22"/>
        </w:rPr>
        <w:t xml:space="preserve"> </w:t>
      </w:r>
      <w:r w:rsidRPr="008339A5">
        <w:rPr>
          <w:rFonts w:ascii="Calibri" w:hAnsi="Calibri"/>
          <w:sz w:val="22"/>
          <w:szCs w:val="22"/>
        </w:rPr>
        <w:t xml:space="preserve">Needham’s median is </w:t>
      </w:r>
      <w:r w:rsidR="008156FB">
        <w:rPr>
          <w:rFonts w:ascii="Calibri" w:hAnsi="Calibri"/>
          <w:sz w:val="22"/>
          <w:szCs w:val="22"/>
        </w:rPr>
        <w:t>almost</w:t>
      </w:r>
      <w:r w:rsidRPr="008339A5">
        <w:rPr>
          <w:rFonts w:ascii="Calibri" w:hAnsi="Calibri"/>
          <w:sz w:val="22"/>
          <w:szCs w:val="22"/>
        </w:rPr>
        <w:t xml:space="preserve"> twice the $</w:t>
      </w:r>
      <w:r w:rsidR="00E0576B">
        <w:rPr>
          <w:rFonts w:ascii="Calibri" w:hAnsi="Calibri"/>
          <w:sz w:val="22"/>
          <w:szCs w:val="22"/>
        </w:rPr>
        <w:t>6</w:t>
      </w:r>
      <w:r w:rsidR="008156FB">
        <w:rPr>
          <w:rFonts w:ascii="Calibri" w:hAnsi="Calibri"/>
          <w:sz w:val="22"/>
          <w:szCs w:val="22"/>
        </w:rPr>
        <w:t>36</w:t>
      </w:r>
      <w:r w:rsidRPr="008339A5">
        <w:rPr>
          <w:rFonts w:ascii="Calibri" w:hAnsi="Calibri"/>
          <w:sz w:val="22"/>
          <w:szCs w:val="22"/>
        </w:rPr>
        <w:t>,000 level for Norfolk County.</w:t>
      </w:r>
      <w:r w:rsidR="00E0576B">
        <w:rPr>
          <w:rFonts w:ascii="Calibri" w:hAnsi="Calibri"/>
          <w:sz w:val="22"/>
          <w:szCs w:val="22"/>
        </w:rPr>
        <w:t xml:space="preserve">  It is also interesting to note, that while Needham’s median values have typically lagged well behind those of Dover, the 2021 figures show a growing comparability as Needham’s values have </w:t>
      </w:r>
      <w:r w:rsidR="00F606F1">
        <w:rPr>
          <w:rFonts w:ascii="Calibri" w:hAnsi="Calibri"/>
          <w:sz w:val="22"/>
          <w:szCs w:val="22"/>
        </w:rPr>
        <w:t xml:space="preserve">recently </w:t>
      </w:r>
      <w:r w:rsidR="00E0576B">
        <w:rPr>
          <w:rFonts w:ascii="Calibri" w:hAnsi="Calibri"/>
          <w:sz w:val="22"/>
          <w:szCs w:val="22"/>
        </w:rPr>
        <w:t>risen at a faster rate.</w:t>
      </w:r>
    </w:p>
    <w:p w14:paraId="6E3DEFEB" w14:textId="77777777" w:rsidR="003226C7" w:rsidRDefault="003226C7" w:rsidP="00456374">
      <w:pPr>
        <w:jc w:val="both"/>
        <w:rPr>
          <w:rFonts w:ascii="Calibri" w:hAnsi="Calibri"/>
          <w:sz w:val="22"/>
          <w:szCs w:val="22"/>
        </w:rPr>
      </w:pPr>
    </w:p>
    <w:p w14:paraId="6CF68DFB" w14:textId="77777777" w:rsidR="00034453" w:rsidRDefault="008772FC" w:rsidP="008772FC">
      <w:pPr>
        <w:pStyle w:val="Heading9"/>
        <w:spacing w:before="0"/>
        <w:jc w:val="center"/>
        <w:rPr>
          <w:rFonts w:ascii="Calibri" w:hAnsi="Calibri"/>
          <w:b/>
          <w:bCs/>
          <w:i w:val="0"/>
          <w:color w:val="auto"/>
          <w:sz w:val="22"/>
          <w:szCs w:val="22"/>
        </w:rPr>
      </w:pPr>
      <w:r w:rsidRPr="008B375C">
        <w:rPr>
          <w:rFonts w:ascii="Calibri" w:hAnsi="Calibri"/>
          <w:b/>
          <w:i w:val="0"/>
          <w:color w:val="auto"/>
          <w:sz w:val="22"/>
          <w:szCs w:val="22"/>
        </w:rPr>
        <w:t xml:space="preserve">Table </w:t>
      </w:r>
      <w:r w:rsidR="00A166AA">
        <w:rPr>
          <w:rFonts w:ascii="Calibri" w:hAnsi="Calibri"/>
          <w:b/>
          <w:i w:val="0"/>
          <w:color w:val="auto"/>
          <w:sz w:val="22"/>
          <w:szCs w:val="22"/>
        </w:rPr>
        <w:t>III-</w:t>
      </w:r>
      <w:r w:rsidR="0028014C">
        <w:rPr>
          <w:rFonts w:ascii="Calibri" w:hAnsi="Calibri"/>
          <w:b/>
          <w:i w:val="0"/>
          <w:color w:val="auto"/>
          <w:sz w:val="22"/>
          <w:szCs w:val="22"/>
        </w:rPr>
        <w:t>30</w:t>
      </w:r>
      <w:r w:rsidRPr="008B375C">
        <w:rPr>
          <w:rFonts w:ascii="Calibri" w:hAnsi="Calibri"/>
          <w:b/>
          <w:i w:val="0"/>
          <w:color w:val="auto"/>
          <w:sz w:val="22"/>
          <w:szCs w:val="22"/>
        </w:rPr>
        <w:t xml:space="preserve">: </w:t>
      </w:r>
      <w:r w:rsidRPr="008B375C">
        <w:rPr>
          <w:rFonts w:ascii="Calibri" w:hAnsi="Calibri"/>
          <w:b/>
          <w:bCs/>
          <w:i w:val="0"/>
          <w:color w:val="auto"/>
          <w:sz w:val="22"/>
          <w:szCs w:val="22"/>
        </w:rPr>
        <w:t>Median Single-family Home Prices for Needham and Neighboring Communities</w:t>
      </w:r>
      <w:r w:rsidR="000C2772">
        <w:rPr>
          <w:rFonts w:ascii="Calibri" w:hAnsi="Calibri"/>
          <w:b/>
          <w:bCs/>
          <w:i w:val="0"/>
          <w:color w:val="auto"/>
          <w:sz w:val="22"/>
          <w:szCs w:val="22"/>
        </w:rPr>
        <w:t xml:space="preserve">, </w:t>
      </w:r>
    </w:p>
    <w:p w14:paraId="592A0CBF" w14:textId="3F96A931" w:rsidR="008772FC" w:rsidRPr="008B375C" w:rsidRDefault="000C2772" w:rsidP="008772FC">
      <w:pPr>
        <w:pStyle w:val="Heading9"/>
        <w:spacing w:before="0"/>
        <w:jc w:val="center"/>
        <w:rPr>
          <w:rFonts w:ascii="Calibri" w:hAnsi="Calibri"/>
          <w:b/>
          <w:bCs/>
          <w:i w:val="0"/>
          <w:color w:val="auto"/>
          <w:sz w:val="22"/>
          <w:szCs w:val="22"/>
        </w:rPr>
      </w:pPr>
      <w:r>
        <w:rPr>
          <w:rFonts w:ascii="Calibri" w:hAnsi="Calibri"/>
          <w:b/>
          <w:bCs/>
          <w:i w:val="0"/>
          <w:color w:val="auto"/>
          <w:sz w:val="22"/>
          <w:szCs w:val="22"/>
        </w:rPr>
        <w:t xml:space="preserve">2000 to </w:t>
      </w:r>
      <w:r w:rsidR="00BE54D2">
        <w:rPr>
          <w:rFonts w:ascii="Calibri" w:hAnsi="Calibri"/>
          <w:b/>
          <w:bCs/>
          <w:i w:val="0"/>
          <w:color w:val="auto"/>
          <w:sz w:val="22"/>
          <w:szCs w:val="22"/>
        </w:rPr>
        <w:t>2021</w:t>
      </w:r>
    </w:p>
    <w:tbl>
      <w:tblPr>
        <w:tblW w:w="4878"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901"/>
        <w:gridCol w:w="1806"/>
        <w:gridCol w:w="1709"/>
        <w:gridCol w:w="1708"/>
      </w:tblGrid>
      <w:tr w:rsidR="008772FC" w:rsidRPr="004E50E7" w14:paraId="1D3E4528" w14:textId="77777777" w:rsidTr="00621244">
        <w:tc>
          <w:tcPr>
            <w:tcW w:w="1095" w:type="pct"/>
          </w:tcPr>
          <w:p w14:paraId="3D37D753" w14:textId="77777777" w:rsidR="008772FC" w:rsidRPr="008B375C" w:rsidRDefault="008772FC" w:rsidP="008F2513">
            <w:pPr>
              <w:pStyle w:val="Heading8"/>
              <w:spacing w:before="0"/>
              <w:rPr>
                <w:rFonts w:ascii="Calibri" w:hAnsi="Calibri"/>
                <w:b/>
                <w:bCs/>
                <w:szCs w:val="22"/>
              </w:rPr>
            </w:pPr>
            <w:r w:rsidRPr="008B375C">
              <w:rPr>
                <w:rFonts w:ascii="Calibri" w:hAnsi="Calibri"/>
                <w:b/>
                <w:bCs/>
                <w:color w:val="auto"/>
                <w:szCs w:val="22"/>
              </w:rPr>
              <w:t>Community</w:t>
            </w:r>
          </w:p>
        </w:tc>
        <w:tc>
          <w:tcPr>
            <w:tcW w:w="1042" w:type="pct"/>
          </w:tcPr>
          <w:p w14:paraId="224C6020" w14:textId="77777777" w:rsidR="008772FC" w:rsidRPr="004E50E7" w:rsidRDefault="008772FC" w:rsidP="00456374">
            <w:pPr>
              <w:ind w:right="-720"/>
              <w:rPr>
                <w:rFonts w:ascii="Calibri" w:hAnsi="Calibri"/>
                <w:b/>
                <w:bCs/>
              </w:rPr>
            </w:pPr>
            <w:r w:rsidRPr="004E50E7">
              <w:rPr>
                <w:rFonts w:ascii="Calibri" w:hAnsi="Calibri"/>
                <w:b/>
                <w:bCs/>
                <w:sz w:val="22"/>
                <w:szCs w:val="22"/>
              </w:rPr>
              <w:t xml:space="preserve">2000 </w:t>
            </w:r>
          </w:p>
        </w:tc>
        <w:tc>
          <w:tcPr>
            <w:tcW w:w="990" w:type="pct"/>
          </w:tcPr>
          <w:p w14:paraId="67105E59" w14:textId="77777777" w:rsidR="008772FC" w:rsidRPr="004E50E7" w:rsidRDefault="008772FC" w:rsidP="00456374">
            <w:pPr>
              <w:ind w:right="-720"/>
              <w:rPr>
                <w:rFonts w:ascii="Calibri" w:hAnsi="Calibri"/>
                <w:b/>
                <w:bCs/>
              </w:rPr>
            </w:pPr>
            <w:r w:rsidRPr="004E50E7">
              <w:rPr>
                <w:rFonts w:ascii="Calibri" w:hAnsi="Calibri"/>
                <w:b/>
                <w:bCs/>
                <w:sz w:val="22"/>
                <w:szCs w:val="22"/>
              </w:rPr>
              <w:t xml:space="preserve">2005 </w:t>
            </w:r>
          </w:p>
        </w:tc>
        <w:tc>
          <w:tcPr>
            <w:tcW w:w="937" w:type="pct"/>
          </w:tcPr>
          <w:p w14:paraId="7A007B68" w14:textId="77777777" w:rsidR="008772FC" w:rsidRPr="004E50E7" w:rsidRDefault="00456374" w:rsidP="00456374">
            <w:pPr>
              <w:ind w:right="-720"/>
              <w:rPr>
                <w:rFonts w:ascii="Calibri" w:hAnsi="Calibri"/>
                <w:b/>
                <w:bCs/>
              </w:rPr>
            </w:pPr>
            <w:r>
              <w:rPr>
                <w:rFonts w:ascii="Calibri" w:hAnsi="Calibri"/>
                <w:b/>
                <w:bCs/>
                <w:sz w:val="22"/>
                <w:szCs w:val="22"/>
              </w:rPr>
              <w:t>2010</w:t>
            </w:r>
          </w:p>
        </w:tc>
        <w:tc>
          <w:tcPr>
            <w:tcW w:w="937" w:type="pct"/>
          </w:tcPr>
          <w:p w14:paraId="7F8B4761" w14:textId="11E598AA" w:rsidR="008772FC" w:rsidRPr="004E50E7" w:rsidRDefault="00A166AA" w:rsidP="00456374">
            <w:pPr>
              <w:ind w:right="-720"/>
              <w:rPr>
                <w:rFonts w:ascii="Calibri" w:hAnsi="Calibri"/>
                <w:b/>
                <w:bCs/>
              </w:rPr>
            </w:pPr>
            <w:r>
              <w:rPr>
                <w:rFonts w:ascii="Calibri" w:hAnsi="Calibri"/>
                <w:b/>
                <w:bCs/>
                <w:sz w:val="22"/>
                <w:szCs w:val="22"/>
              </w:rPr>
              <w:t>2021</w:t>
            </w:r>
          </w:p>
        </w:tc>
      </w:tr>
      <w:tr w:rsidR="008772FC" w:rsidRPr="004E50E7" w14:paraId="50AFDB15" w14:textId="77777777" w:rsidTr="00621244">
        <w:tc>
          <w:tcPr>
            <w:tcW w:w="1095" w:type="pct"/>
          </w:tcPr>
          <w:p w14:paraId="78EFDF2D" w14:textId="77777777" w:rsidR="008772FC" w:rsidRPr="004E50E7" w:rsidRDefault="008772FC" w:rsidP="008F2513">
            <w:pPr>
              <w:ind w:right="-720"/>
              <w:rPr>
                <w:rFonts w:ascii="Calibri" w:hAnsi="Calibri"/>
                <w:sz w:val="20"/>
              </w:rPr>
            </w:pPr>
            <w:r w:rsidRPr="004E50E7">
              <w:rPr>
                <w:rFonts w:ascii="Calibri" w:hAnsi="Calibri"/>
                <w:sz w:val="20"/>
                <w:szCs w:val="22"/>
              </w:rPr>
              <w:t>Dedham</w:t>
            </w:r>
          </w:p>
        </w:tc>
        <w:tc>
          <w:tcPr>
            <w:tcW w:w="1042" w:type="pct"/>
          </w:tcPr>
          <w:p w14:paraId="2551C4C6" w14:textId="77777777" w:rsidR="008772FC" w:rsidRPr="004E50E7" w:rsidRDefault="008772FC" w:rsidP="008F2513">
            <w:pPr>
              <w:ind w:right="-720"/>
              <w:rPr>
                <w:rFonts w:ascii="Calibri" w:hAnsi="Calibri"/>
                <w:sz w:val="20"/>
              </w:rPr>
            </w:pPr>
            <w:r w:rsidRPr="004E50E7">
              <w:rPr>
                <w:rFonts w:ascii="Calibri" w:hAnsi="Calibri"/>
                <w:sz w:val="20"/>
                <w:szCs w:val="22"/>
              </w:rPr>
              <w:t>$254,950</w:t>
            </w:r>
          </w:p>
        </w:tc>
        <w:tc>
          <w:tcPr>
            <w:tcW w:w="990" w:type="pct"/>
          </w:tcPr>
          <w:p w14:paraId="4CF6AA7C" w14:textId="77777777" w:rsidR="008772FC" w:rsidRPr="004E50E7" w:rsidRDefault="008772FC" w:rsidP="008F2513">
            <w:pPr>
              <w:ind w:right="-720"/>
              <w:rPr>
                <w:rFonts w:ascii="Calibri" w:hAnsi="Calibri"/>
                <w:sz w:val="20"/>
              </w:rPr>
            </w:pPr>
            <w:r w:rsidRPr="004E50E7">
              <w:rPr>
                <w:rFonts w:ascii="Calibri" w:hAnsi="Calibri"/>
                <w:sz w:val="20"/>
                <w:szCs w:val="22"/>
              </w:rPr>
              <w:t>$404,500</w:t>
            </w:r>
          </w:p>
        </w:tc>
        <w:tc>
          <w:tcPr>
            <w:tcW w:w="937" w:type="pct"/>
          </w:tcPr>
          <w:p w14:paraId="2DF7269F" w14:textId="77777777" w:rsidR="008772FC" w:rsidRPr="004E50E7" w:rsidRDefault="002B4AC8" w:rsidP="008F2513">
            <w:pPr>
              <w:ind w:right="-720"/>
              <w:rPr>
                <w:rFonts w:ascii="Calibri" w:hAnsi="Calibri"/>
                <w:sz w:val="20"/>
              </w:rPr>
            </w:pPr>
            <w:r>
              <w:rPr>
                <w:rFonts w:ascii="Calibri" w:hAnsi="Calibri"/>
                <w:sz w:val="20"/>
                <w:szCs w:val="22"/>
              </w:rPr>
              <w:t>$346,700</w:t>
            </w:r>
          </w:p>
        </w:tc>
        <w:tc>
          <w:tcPr>
            <w:tcW w:w="937" w:type="pct"/>
          </w:tcPr>
          <w:p w14:paraId="7D9177DA" w14:textId="77880056" w:rsidR="008772FC" w:rsidRPr="004E50E7" w:rsidRDefault="00A166AA" w:rsidP="008F2513">
            <w:pPr>
              <w:ind w:right="-720"/>
              <w:rPr>
                <w:rFonts w:ascii="Calibri" w:hAnsi="Calibri"/>
                <w:sz w:val="20"/>
              </w:rPr>
            </w:pPr>
            <w:r>
              <w:rPr>
                <w:rFonts w:ascii="Calibri" w:hAnsi="Calibri"/>
                <w:sz w:val="20"/>
                <w:szCs w:val="22"/>
              </w:rPr>
              <w:t>$</w:t>
            </w:r>
            <w:r w:rsidR="00480CE1">
              <w:rPr>
                <w:rFonts w:ascii="Calibri" w:hAnsi="Calibri"/>
                <w:sz w:val="20"/>
                <w:szCs w:val="22"/>
              </w:rPr>
              <w:t>725,750</w:t>
            </w:r>
          </w:p>
        </w:tc>
      </w:tr>
      <w:tr w:rsidR="008772FC" w:rsidRPr="004E50E7" w14:paraId="59F410F5" w14:textId="77777777" w:rsidTr="00621244">
        <w:tc>
          <w:tcPr>
            <w:tcW w:w="1095" w:type="pct"/>
          </w:tcPr>
          <w:p w14:paraId="05749C42" w14:textId="77777777" w:rsidR="008772FC" w:rsidRPr="004E50E7" w:rsidRDefault="008772FC" w:rsidP="008F2513">
            <w:pPr>
              <w:ind w:right="-720"/>
              <w:rPr>
                <w:rFonts w:ascii="Calibri" w:hAnsi="Calibri"/>
                <w:sz w:val="20"/>
              </w:rPr>
            </w:pPr>
            <w:r w:rsidRPr="004E50E7">
              <w:rPr>
                <w:rFonts w:ascii="Calibri" w:hAnsi="Calibri"/>
                <w:sz w:val="20"/>
                <w:szCs w:val="22"/>
              </w:rPr>
              <w:t>Dover</w:t>
            </w:r>
          </w:p>
        </w:tc>
        <w:tc>
          <w:tcPr>
            <w:tcW w:w="1042" w:type="pct"/>
          </w:tcPr>
          <w:p w14:paraId="659B4B78" w14:textId="77777777" w:rsidR="008772FC" w:rsidRPr="004E50E7" w:rsidRDefault="008772FC" w:rsidP="008F2513">
            <w:pPr>
              <w:ind w:right="-720"/>
              <w:rPr>
                <w:rFonts w:ascii="Calibri" w:hAnsi="Calibri"/>
                <w:sz w:val="20"/>
              </w:rPr>
            </w:pPr>
            <w:r w:rsidRPr="004E50E7">
              <w:rPr>
                <w:rFonts w:ascii="Calibri" w:hAnsi="Calibri"/>
                <w:sz w:val="20"/>
                <w:szCs w:val="22"/>
              </w:rPr>
              <w:t>$700,000</w:t>
            </w:r>
          </w:p>
        </w:tc>
        <w:tc>
          <w:tcPr>
            <w:tcW w:w="990" w:type="pct"/>
          </w:tcPr>
          <w:p w14:paraId="11AB1CFA" w14:textId="77777777" w:rsidR="008772FC" w:rsidRPr="004E50E7" w:rsidRDefault="008772FC" w:rsidP="008F2513">
            <w:pPr>
              <w:ind w:right="-720"/>
              <w:rPr>
                <w:rFonts w:ascii="Calibri" w:hAnsi="Calibri"/>
                <w:sz w:val="20"/>
              </w:rPr>
            </w:pPr>
            <w:r w:rsidRPr="004E50E7">
              <w:rPr>
                <w:rFonts w:ascii="Calibri" w:hAnsi="Calibri"/>
                <w:sz w:val="20"/>
                <w:szCs w:val="22"/>
              </w:rPr>
              <w:t>$1,057,500</w:t>
            </w:r>
          </w:p>
        </w:tc>
        <w:tc>
          <w:tcPr>
            <w:tcW w:w="937" w:type="pct"/>
          </w:tcPr>
          <w:p w14:paraId="6C836940" w14:textId="77777777" w:rsidR="008772FC" w:rsidRPr="004E50E7" w:rsidRDefault="002B4AC8" w:rsidP="008F2513">
            <w:pPr>
              <w:ind w:right="-720"/>
              <w:rPr>
                <w:rFonts w:ascii="Calibri" w:hAnsi="Calibri"/>
                <w:sz w:val="20"/>
              </w:rPr>
            </w:pPr>
            <w:r>
              <w:rPr>
                <w:rFonts w:ascii="Calibri" w:hAnsi="Calibri"/>
                <w:sz w:val="20"/>
                <w:szCs w:val="22"/>
              </w:rPr>
              <w:t>$834,875</w:t>
            </w:r>
          </w:p>
        </w:tc>
        <w:tc>
          <w:tcPr>
            <w:tcW w:w="937" w:type="pct"/>
          </w:tcPr>
          <w:p w14:paraId="0869B291" w14:textId="6DA3559B" w:rsidR="008772FC" w:rsidRPr="004E50E7" w:rsidRDefault="00A166AA" w:rsidP="008F2513">
            <w:pPr>
              <w:ind w:right="-720"/>
              <w:rPr>
                <w:rFonts w:ascii="Calibri" w:hAnsi="Calibri"/>
                <w:sz w:val="20"/>
              </w:rPr>
            </w:pPr>
            <w:r>
              <w:rPr>
                <w:rFonts w:ascii="Calibri" w:hAnsi="Calibri"/>
                <w:sz w:val="20"/>
                <w:szCs w:val="22"/>
              </w:rPr>
              <w:t>$</w:t>
            </w:r>
            <w:r w:rsidR="00480CE1">
              <w:rPr>
                <w:rFonts w:ascii="Calibri" w:hAnsi="Calibri"/>
                <w:sz w:val="20"/>
                <w:szCs w:val="22"/>
              </w:rPr>
              <w:t>1,337,500</w:t>
            </w:r>
          </w:p>
        </w:tc>
      </w:tr>
      <w:tr w:rsidR="008772FC" w:rsidRPr="004E50E7" w14:paraId="7F3501A8" w14:textId="77777777" w:rsidTr="00621244">
        <w:tc>
          <w:tcPr>
            <w:tcW w:w="1095" w:type="pct"/>
            <w:shd w:val="clear" w:color="auto" w:fill="B6DDE8" w:themeFill="accent5" w:themeFillTint="66"/>
          </w:tcPr>
          <w:p w14:paraId="033B6E42" w14:textId="77777777" w:rsidR="008772FC" w:rsidRPr="004E50E7" w:rsidRDefault="008772FC" w:rsidP="008F2513">
            <w:pPr>
              <w:ind w:right="-720"/>
              <w:rPr>
                <w:rFonts w:ascii="Calibri" w:hAnsi="Calibri"/>
                <w:sz w:val="20"/>
              </w:rPr>
            </w:pPr>
            <w:r w:rsidRPr="004E50E7">
              <w:rPr>
                <w:rFonts w:ascii="Calibri" w:hAnsi="Calibri"/>
                <w:sz w:val="20"/>
                <w:szCs w:val="22"/>
              </w:rPr>
              <w:t>Needham</w:t>
            </w:r>
          </w:p>
        </w:tc>
        <w:tc>
          <w:tcPr>
            <w:tcW w:w="1042" w:type="pct"/>
            <w:shd w:val="clear" w:color="auto" w:fill="B6DDE8" w:themeFill="accent5" w:themeFillTint="66"/>
          </w:tcPr>
          <w:p w14:paraId="1A0198FE" w14:textId="77777777" w:rsidR="008772FC" w:rsidRPr="004E50E7" w:rsidRDefault="008772FC" w:rsidP="008F2513">
            <w:pPr>
              <w:ind w:right="-720"/>
              <w:rPr>
                <w:rFonts w:ascii="Calibri" w:hAnsi="Calibri"/>
                <w:sz w:val="20"/>
              </w:rPr>
            </w:pPr>
            <w:r w:rsidRPr="004E50E7">
              <w:rPr>
                <w:rFonts w:ascii="Calibri" w:hAnsi="Calibri"/>
                <w:sz w:val="20"/>
                <w:szCs w:val="22"/>
              </w:rPr>
              <w:t>$436,250</w:t>
            </w:r>
          </w:p>
        </w:tc>
        <w:tc>
          <w:tcPr>
            <w:tcW w:w="990" w:type="pct"/>
            <w:shd w:val="clear" w:color="auto" w:fill="B6DDE8" w:themeFill="accent5" w:themeFillTint="66"/>
          </w:tcPr>
          <w:p w14:paraId="4A5718E6" w14:textId="77777777" w:rsidR="008772FC" w:rsidRPr="004E50E7" w:rsidRDefault="008772FC" w:rsidP="008F2513">
            <w:pPr>
              <w:ind w:right="-720"/>
              <w:rPr>
                <w:rFonts w:ascii="Calibri" w:hAnsi="Calibri"/>
                <w:sz w:val="20"/>
              </w:rPr>
            </w:pPr>
            <w:r w:rsidRPr="004E50E7">
              <w:rPr>
                <w:rFonts w:ascii="Calibri" w:hAnsi="Calibri"/>
                <w:sz w:val="20"/>
                <w:szCs w:val="22"/>
              </w:rPr>
              <w:t>$663,750</w:t>
            </w:r>
          </w:p>
        </w:tc>
        <w:tc>
          <w:tcPr>
            <w:tcW w:w="937" w:type="pct"/>
            <w:shd w:val="clear" w:color="auto" w:fill="B6DDE8" w:themeFill="accent5" w:themeFillTint="66"/>
          </w:tcPr>
          <w:p w14:paraId="0A630B1F" w14:textId="77777777" w:rsidR="008772FC" w:rsidRPr="004E50E7" w:rsidRDefault="002B4AC8" w:rsidP="008F2513">
            <w:pPr>
              <w:ind w:right="-720"/>
              <w:rPr>
                <w:rFonts w:ascii="Calibri" w:hAnsi="Calibri"/>
                <w:sz w:val="20"/>
              </w:rPr>
            </w:pPr>
            <w:r>
              <w:rPr>
                <w:rFonts w:ascii="Calibri" w:hAnsi="Calibri"/>
                <w:sz w:val="20"/>
                <w:szCs w:val="22"/>
              </w:rPr>
              <w:t>$632,500</w:t>
            </w:r>
          </w:p>
        </w:tc>
        <w:tc>
          <w:tcPr>
            <w:tcW w:w="937" w:type="pct"/>
            <w:shd w:val="clear" w:color="auto" w:fill="B6DDE8" w:themeFill="accent5" w:themeFillTint="66"/>
          </w:tcPr>
          <w:p w14:paraId="14AE5664" w14:textId="12C69C2B" w:rsidR="008772FC" w:rsidRPr="004E50E7" w:rsidRDefault="00A166AA" w:rsidP="008F2513">
            <w:pPr>
              <w:ind w:right="-720"/>
              <w:rPr>
                <w:rFonts w:ascii="Calibri" w:hAnsi="Calibri"/>
                <w:sz w:val="20"/>
              </w:rPr>
            </w:pPr>
            <w:r>
              <w:rPr>
                <w:rFonts w:ascii="Calibri" w:hAnsi="Calibri"/>
                <w:sz w:val="20"/>
                <w:szCs w:val="22"/>
              </w:rPr>
              <w:t>$1,</w:t>
            </w:r>
            <w:r w:rsidR="00415FDD">
              <w:rPr>
                <w:rFonts w:ascii="Calibri" w:hAnsi="Calibri"/>
                <w:sz w:val="20"/>
                <w:szCs w:val="22"/>
              </w:rPr>
              <w:t>290,000</w:t>
            </w:r>
          </w:p>
        </w:tc>
      </w:tr>
      <w:tr w:rsidR="008772FC" w:rsidRPr="004E50E7" w14:paraId="3C5761AA" w14:textId="77777777" w:rsidTr="00621244">
        <w:tc>
          <w:tcPr>
            <w:tcW w:w="1095" w:type="pct"/>
          </w:tcPr>
          <w:p w14:paraId="2F8D873D" w14:textId="77777777" w:rsidR="008772FC" w:rsidRPr="004E50E7" w:rsidRDefault="008772FC" w:rsidP="008F2513">
            <w:pPr>
              <w:ind w:right="-720"/>
              <w:rPr>
                <w:rFonts w:ascii="Calibri" w:hAnsi="Calibri"/>
                <w:sz w:val="20"/>
              </w:rPr>
            </w:pPr>
            <w:r w:rsidRPr="004E50E7">
              <w:rPr>
                <w:rFonts w:ascii="Calibri" w:hAnsi="Calibri"/>
                <w:sz w:val="20"/>
                <w:szCs w:val="22"/>
              </w:rPr>
              <w:t>Newton</w:t>
            </w:r>
          </w:p>
        </w:tc>
        <w:tc>
          <w:tcPr>
            <w:tcW w:w="1042" w:type="pct"/>
          </w:tcPr>
          <w:p w14:paraId="6389F6B7" w14:textId="77777777" w:rsidR="008772FC" w:rsidRPr="004E50E7" w:rsidRDefault="008772FC" w:rsidP="008F2513">
            <w:pPr>
              <w:ind w:right="-720"/>
              <w:rPr>
                <w:rFonts w:ascii="Calibri" w:hAnsi="Calibri"/>
                <w:sz w:val="20"/>
              </w:rPr>
            </w:pPr>
            <w:r w:rsidRPr="004E50E7">
              <w:rPr>
                <w:rFonts w:ascii="Calibri" w:hAnsi="Calibri"/>
                <w:sz w:val="20"/>
                <w:szCs w:val="22"/>
              </w:rPr>
              <w:t>$539,000</w:t>
            </w:r>
          </w:p>
        </w:tc>
        <w:tc>
          <w:tcPr>
            <w:tcW w:w="990" w:type="pct"/>
          </w:tcPr>
          <w:p w14:paraId="3ECAB63A" w14:textId="77777777" w:rsidR="008772FC" w:rsidRPr="004E50E7" w:rsidRDefault="008772FC" w:rsidP="008F2513">
            <w:pPr>
              <w:ind w:right="-720"/>
              <w:rPr>
                <w:rFonts w:ascii="Calibri" w:hAnsi="Calibri"/>
                <w:sz w:val="20"/>
              </w:rPr>
            </w:pPr>
            <w:r w:rsidRPr="004E50E7">
              <w:rPr>
                <w:rFonts w:ascii="Calibri" w:hAnsi="Calibri"/>
                <w:sz w:val="20"/>
                <w:szCs w:val="22"/>
              </w:rPr>
              <w:t>$760,000</w:t>
            </w:r>
          </w:p>
        </w:tc>
        <w:tc>
          <w:tcPr>
            <w:tcW w:w="937" w:type="pct"/>
          </w:tcPr>
          <w:p w14:paraId="01BDB08E" w14:textId="77777777" w:rsidR="008772FC" w:rsidRPr="004E50E7" w:rsidRDefault="002B4AC8" w:rsidP="008F2513">
            <w:pPr>
              <w:ind w:right="-720"/>
              <w:rPr>
                <w:rFonts w:ascii="Calibri" w:hAnsi="Calibri"/>
                <w:sz w:val="20"/>
              </w:rPr>
            </w:pPr>
            <w:r>
              <w:rPr>
                <w:rFonts w:ascii="Calibri" w:hAnsi="Calibri"/>
                <w:sz w:val="20"/>
                <w:szCs w:val="22"/>
              </w:rPr>
              <w:t>$735,000</w:t>
            </w:r>
          </w:p>
        </w:tc>
        <w:tc>
          <w:tcPr>
            <w:tcW w:w="937" w:type="pct"/>
          </w:tcPr>
          <w:p w14:paraId="652AF720" w14:textId="31A4AC76" w:rsidR="008772FC" w:rsidRPr="004E50E7" w:rsidRDefault="00A166AA" w:rsidP="008F2513">
            <w:pPr>
              <w:ind w:right="-720"/>
              <w:rPr>
                <w:rFonts w:ascii="Calibri" w:hAnsi="Calibri"/>
                <w:sz w:val="20"/>
              </w:rPr>
            </w:pPr>
            <w:r>
              <w:rPr>
                <w:rFonts w:ascii="Calibri" w:hAnsi="Calibri"/>
                <w:sz w:val="20"/>
                <w:szCs w:val="22"/>
              </w:rPr>
              <w:t>$</w:t>
            </w:r>
            <w:r w:rsidR="00480CE1">
              <w:rPr>
                <w:rFonts w:ascii="Calibri" w:hAnsi="Calibri"/>
                <w:sz w:val="20"/>
                <w:szCs w:val="22"/>
              </w:rPr>
              <w:t>1,475,000</w:t>
            </w:r>
          </w:p>
        </w:tc>
      </w:tr>
      <w:tr w:rsidR="008772FC" w:rsidRPr="004E50E7" w14:paraId="72C3CC81" w14:textId="77777777" w:rsidTr="00621244">
        <w:tc>
          <w:tcPr>
            <w:tcW w:w="1095" w:type="pct"/>
          </w:tcPr>
          <w:p w14:paraId="7F4A9BD5" w14:textId="77777777" w:rsidR="008772FC" w:rsidRPr="004E50E7" w:rsidRDefault="008772FC" w:rsidP="008F2513">
            <w:pPr>
              <w:ind w:right="-720"/>
              <w:rPr>
                <w:rFonts w:ascii="Calibri" w:hAnsi="Calibri"/>
                <w:sz w:val="20"/>
              </w:rPr>
            </w:pPr>
            <w:r w:rsidRPr="004E50E7">
              <w:rPr>
                <w:rFonts w:ascii="Calibri" w:hAnsi="Calibri"/>
                <w:sz w:val="20"/>
                <w:szCs w:val="22"/>
              </w:rPr>
              <w:t>Wellesley</w:t>
            </w:r>
          </w:p>
        </w:tc>
        <w:tc>
          <w:tcPr>
            <w:tcW w:w="1042" w:type="pct"/>
          </w:tcPr>
          <w:p w14:paraId="6C493BDA" w14:textId="77777777" w:rsidR="008772FC" w:rsidRPr="004E50E7" w:rsidRDefault="008772FC" w:rsidP="008F2513">
            <w:pPr>
              <w:ind w:right="-720"/>
              <w:rPr>
                <w:rFonts w:ascii="Calibri" w:hAnsi="Calibri"/>
                <w:sz w:val="20"/>
              </w:rPr>
            </w:pPr>
            <w:r w:rsidRPr="004E50E7">
              <w:rPr>
                <w:rFonts w:ascii="Calibri" w:hAnsi="Calibri"/>
                <w:sz w:val="20"/>
                <w:szCs w:val="22"/>
              </w:rPr>
              <w:t>$592,750</w:t>
            </w:r>
          </w:p>
        </w:tc>
        <w:tc>
          <w:tcPr>
            <w:tcW w:w="990" w:type="pct"/>
          </w:tcPr>
          <w:p w14:paraId="508A159A" w14:textId="77777777" w:rsidR="008772FC" w:rsidRPr="004E50E7" w:rsidRDefault="008772FC" w:rsidP="008F2513">
            <w:pPr>
              <w:ind w:right="-720"/>
              <w:rPr>
                <w:rFonts w:ascii="Calibri" w:hAnsi="Calibri"/>
                <w:sz w:val="20"/>
              </w:rPr>
            </w:pPr>
            <w:r w:rsidRPr="004E50E7">
              <w:rPr>
                <w:rFonts w:ascii="Calibri" w:hAnsi="Calibri"/>
                <w:sz w:val="20"/>
                <w:szCs w:val="22"/>
              </w:rPr>
              <w:t>$971,250</w:t>
            </w:r>
          </w:p>
        </w:tc>
        <w:tc>
          <w:tcPr>
            <w:tcW w:w="937" w:type="pct"/>
          </w:tcPr>
          <w:p w14:paraId="5C6B9514" w14:textId="77777777" w:rsidR="008772FC" w:rsidRPr="004E50E7" w:rsidRDefault="002B4AC8" w:rsidP="008F2513">
            <w:pPr>
              <w:ind w:right="-720"/>
              <w:rPr>
                <w:rFonts w:ascii="Calibri" w:hAnsi="Calibri"/>
                <w:sz w:val="20"/>
              </w:rPr>
            </w:pPr>
            <w:r>
              <w:rPr>
                <w:rFonts w:ascii="Calibri" w:hAnsi="Calibri"/>
                <w:sz w:val="20"/>
                <w:szCs w:val="22"/>
              </w:rPr>
              <w:t>$900,000</w:t>
            </w:r>
          </w:p>
        </w:tc>
        <w:tc>
          <w:tcPr>
            <w:tcW w:w="937" w:type="pct"/>
          </w:tcPr>
          <w:p w14:paraId="2642FBD4" w14:textId="257669CD" w:rsidR="008772FC" w:rsidRPr="004E50E7" w:rsidRDefault="00621244" w:rsidP="008F2513">
            <w:pPr>
              <w:ind w:right="-720"/>
              <w:rPr>
                <w:rFonts w:ascii="Calibri" w:hAnsi="Calibri"/>
                <w:sz w:val="20"/>
              </w:rPr>
            </w:pPr>
            <w:r>
              <w:rPr>
                <w:rFonts w:ascii="Calibri" w:hAnsi="Calibri"/>
                <w:sz w:val="20"/>
                <w:szCs w:val="22"/>
              </w:rPr>
              <w:t>$</w:t>
            </w:r>
            <w:r w:rsidR="00480CE1">
              <w:rPr>
                <w:rFonts w:ascii="Calibri" w:hAnsi="Calibri"/>
                <w:sz w:val="20"/>
                <w:szCs w:val="22"/>
              </w:rPr>
              <w:t>1,650,000</w:t>
            </w:r>
          </w:p>
        </w:tc>
      </w:tr>
      <w:tr w:rsidR="00621244" w:rsidRPr="004E50E7" w14:paraId="47858FDA" w14:textId="77777777" w:rsidTr="00621244">
        <w:tc>
          <w:tcPr>
            <w:tcW w:w="1095" w:type="pct"/>
          </w:tcPr>
          <w:p w14:paraId="5C895E8F" w14:textId="77777777" w:rsidR="00621244" w:rsidRPr="004E50E7" w:rsidRDefault="00621244" w:rsidP="00621244">
            <w:pPr>
              <w:ind w:right="-720"/>
              <w:rPr>
                <w:rFonts w:ascii="Calibri" w:hAnsi="Calibri"/>
                <w:sz w:val="20"/>
              </w:rPr>
            </w:pPr>
            <w:r w:rsidRPr="004E50E7">
              <w:rPr>
                <w:rFonts w:ascii="Calibri" w:hAnsi="Calibri"/>
                <w:sz w:val="20"/>
                <w:szCs w:val="22"/>
              </w:rPr>
              <w:t>West Roxbury</w:t>
            </w:r>
          </w:p>
        </w:tc>
        <w:tc>
          <w:tcPr>
            <w:tcW w:w="1042" w:type="pct"/>
          </w:tcPr>
          <w:p w14:paraId="1CFD6ACB" w14:textId="77777777" w:rsidR="00621244" w:rsidRPr="004E50E7" w:rsidRDefault="00621244" w:rsidP="00621244">
            <w:pPr>
              <w:ind w:right="-720"/>
              <w:rPr>
                <w:rFonts w:ascii="Calibri" w:hAnsi="Calibri"/>
                <w:sz w:val="20"/>
              </w:rPr>
            </w:pPr>
            <w:r w:rsidRPr="004E50E7">
              <w:rPr>
                <w:rFonts w:ascii="Calibri" w:hAnsi="Calibri"/>
                <w:sz w:val="20"/>
                <w:szCs w:val="22"/>
              </w:rPr>
              <w:t>$270,000</w:t>
            </w:r>
          </w:p>
        </w:tc>
        <w:tc>
          <w:tcPr>
            <w:tcW w:w="990" w:type="pct"/>
          </w:tcPr>
          <w:p w14:paraId="40F6B53A" w14:textId="77777777" w:rsidR="00621244" w:rsidRPr="004E50E7" w:rsidRDefault="00621244" w:rsidP="00621244">
            <w:pPr>
              <w:ind w:right="-720"/>
              <w:rPr>
                <w:rFonts w:ascii="Calibri" w:hAnsi="Calibri"/>
                <w:sz w:val="20"/>
              </w:rPr>
            </w:pPr>
            <w:r w:rsidRPr="004E50E7">
              <w:rPr>
                <w:rFonts w:ascii="Calibri" w:hAnsi="Calibri"/>
                <w:sz w:val="20"/>
                <w:szCs w:val="22"/>
              </w:rPr>
              <w:t>$439,375</w:t>
            </w:r>
          </w:p>
        </w:tc>
        <w:tc>
          <w:tcPr>
            <w:tcW w:w="937" w:type="pct"/>
          </w:tcPr>
          <w:p w14:paraId="539356D9" w14:textId="77777777" w:rsidR="00621244" w:rsidRPr="004E50E7" w:rsidRDefault="00621244" w:rsidP="00621244">
            <w:pPr>
              <w:ind w:right="-720"/>
              <w:rPr>
                <w:rFonts w:ascii="Calibri" w:hAnsi="Calibri"/>
                <w:sz w:val="20"/>
              </w:rPr>
            </w:pPr>
            <w:r>
              <w:rPr>
                <w:rFonts w:ascii="Calibri" w:hAnsi="Calibri"/>
                <w:sz w:val="20"/>
                <w:szCs w:val="22"/>
              </w:rPr>
              <w:t>$405,000</w:t>
            </w:r>
          </w:p>
        </w:tc>
        <w:tc>
          <w:tcPr>
            <w:tcW w:w="937" w:type="pct"/>
          </w:tcPr>
          <w:p w14:paraId="5677A86F" w14:textId="73764897" w:rsidR="00621244" w:rsidRPr="004E50E7" w:rsidRDefault="00621244" w:rsidP="00621244">
            <w:pPr>
              <w:ind w:right="-720"/>
              <w:rPr>
                <w:rFonts w:ascii="Calibri" w:hAnsi="Calibri"/>
                <w:sz w:val="20"/>
              </w:rPr>
            </w:pPr>
            <w:r>
              <w:rPr>
                <w:rFonts w:ascii="Calibri" w:hAnsi="Calibri"/>
                <w:sz w:val="20"/>
                <w:szCs w:val="22"/>
              </w:rPr>
              <w:t>$</w:t>
            </w:r>
            <w:r w:rsidR="00480CE1">
              <w:rPr>
                <w:rFonts w:ascii="Calibri" w:hAnsi="Calibri"/>
                <w:sz w:val="20"/>
                <w:szCs w:val="22"/>
              </w:rPr>
              <w:t>730,000</w:t>
            </w:r>
          </w:p>
        </w:tc>
      </w:tr>
      <w:tr w:rsidR="00621244" w:rsidRPr="004E50E7" w14:paraId="45B90850" w14:textId="77777777" w:rsidTr="00621244">
        <w:tc>
          <w:tcPr>
            <w:tcW w:w="1095" w:type="pct"/>
          </w:tcPr>
          <w:p w14:paraId="69EC7CC1" w14:textId="77777777" w:rsidR="00621244" w:rsidRPr="004E50E7" w:rsidRDefault="00621244" w:rsidP="00621244">
            <w:pPr>
              <w:ind w:right="-720"/>
              <w:rPr>
                <w:rFonts w:ascii="Calibri" w:hAnsi="Calibri"/>
                <w:sz w:val="20"/>
              </w:rPr>
            </w:pPr>
            <w:r w:rsidRPr="004E50E7">
              <w:rPr>
                <w:rFonts w:ascii="Calibri" w:hAnsi="Calibri"/>
                <w:sz w:val="20"/>
                <w:szCs w:val="22"/>
              </w:rPr>
              <w:t>Westwood</w:t>
            </w:r>
          </w:p>
        </w:tc>
        <w:tc>
          <w:tcPr>
            <w:tcW w:w="1042" w:type="pct"/>
          </w:tcPr>
          <w:p w14:paraId="307ADACC" w14:textId="77777777" w:rsidR="00621244" w:rsidRPr="004E50E7" w:rsidRDefault="00621244" w:rsidP="00621244">
            <w:pPr>
              <w:ind w:right="-720"/>
              <w:rPr>
                <w:rFonts w:ascii="Calibri" w:hAnsi="Calibri"/>
                <w:sz w:val="20"/>
              </w:rPr>
            </w:pPr>
            <w:r w:rsidRPr="004E50E7">
              <w:rPr>
                <w:rFonts w:ascii="Calibri" w:hAnsi="Calibri"/>
                <w:sz w:val="20"/>
                <w:szCs w:val="22"/>
              </w:rPr>
              <w:t>$392,500</w:t>
            </w:r>
          </w:p>
        </w:tc>
        <w:tc>
          <w:tcPr>
            <w:tcW w:w="990" w:type="pct"/>
          </w:tcPr>
          <w:p w14:paraId="7428800D" w14:textId="77777777" w:rsidR="00621244" w:rsidRPr="004E50E7" w:rsidRDefault="00621244" w:rsidP="00621244">
            <w:pPr>
              <w:ind w:right="-720"/>
              <w:rPr>
                <w:rFonts w:ascii="Calibri" w:hAnsi="Calibri"/>
                <w:sz w:val="20"/>
              </w:rPr>
            </w:pPr>
            <w:r w:rsidRPr="004E50E7">
              <w:rPr>
                <w:rFonts w:ascii="Calibri" w:hAnsi="Calibri"/>
                <w:sz w:val="20"/>
                <w:szCs w:val="22"/>
              </w:rPr>
              <w:t>$608,000</w:t>
            </w:r>
          </w:p>
        </w:tc>
        <w:tc>
          <w:tcPr>
            <w:tcW w:w="937" w:type="pct"/>
          </w:tcPr>
          <w:p w14:paraId="50C5588D" w14:textId="77777777" w:rsidR="00621244" w:rsidRPr="004E50E7" w:rsidRDefault="00621244" w:rsidP="00621244">
            <w:pPr>
              <w:ind w:right="-720"/>
              <w:rPr>
                <w:rFonts w:ascii="Calibri" w:hAnsi="Calibri"/>
                <w:sz w:val="20"/>
              </w:rPr>
            </w:pPr>
            <w:r>
              <w:rPr>
                <w:rFonts w:ascii="Calibri" w:hAnsi="Calibri"/>
                <w:sz w:val="20"/>
                <w:szCs w:val="22"/>
              </w:rPr>
              <w:t>$530,000</w:t>
            </w:r>
          </w:p>
        </w:tc>
        <w:tc>
          <w:tcPr>
            <w:tcW w:w="937" w:type="pct"/>
          </w:tcPr>
          <w:p w14:paraId="3DE2ED5E" w14:textId="6197C89D" w:rsidR="00621244" w:rsidRPr="004E50E7" w:rsidRDefault="00621244" w:rsidP="00621244">
            <w:pPr>
              <w:ind w:right="-720"/>
              <w:rPr>
                <w:rFonts w:ascii="Calibri" w:hAnsi="Calibri"/>
                <w:sz w:val="20"/>
              </w:rPr>
            </w:pPr>
            <w:r>
              <w:rPr>
                <w:rFonts w:ascii="Calibri" w:hAnsi="Calibri"/>
                <w:sz w:val="20"/>
                <w:szCs w:val="22"/>
              </w:rPr>
              <w:t>$</w:t>
            </w:r>
            <w:r w:rsidR="00480CE1">
              <w:rPr>
                <w:rFonts w:ascii="Calibri" w:hAnsi="Calibri"/>
                <w:sz w:val="20"/>
                <w:szCs w:val="22"/>
              </w:rPr>
              <w:t>1,025,000</w:t>
            </w:r>
          </w:p>
        </w:tc>
      </w:tr>
      <w:tr w:rsidR="00621244" w:rsidRPr="004E50E7" w14:paraId="342F2174" w14:textId="77777777" w:rsidTr="00621244">
        <w:tc>
          <w:tcPr>
            <w:tcW w:w="1095" w:type="pct"/>
          </w:tcPr>
          <w:p w14:paraId="6680C4BE" w14:textId="77777777" w:rsidR="00621244" w:rsidRPr="004E50E7" w:rsidRDefault="00621244" w:rsidP="00621244">
            <w:pPr>
              <w:ind w:right="-720"/>
              <w:rPr>
                <w:rFonts w:ascii="Calibri" w:hAnsi="Calibri"/>
                <w:sz w:val="20"/>
              </w:rPr>
            </w:pPr>
            <w:r w:rsidRPr="004E50E7">
              <w:rPr>
                <w:rFonts w:ascii="Calibri" w:hAnsi="Calibri"/>
                <w:sz w:val="20"/>
                <w:szCs w:val="22"/>
              </w:rPr>
              <w:t xml:space="preserve">Norfolk County </w:t>
            </w:r>
          </w:p>
        </w:tc>
        <w:tc>
          <w:tcPr>
            <w:tcW w:w="1042" w:type="pct"/>
          </w:tcPr>
          <w:p w14:paraId="7508AB80" w14:textId="77777777" w:rsidR="00621244" w:rsidRPr="004E50E7" w:rsidRDefault="00621244" w:rsidP="00621244">
            <w:pPr>
              <w:ind w:right="-720"/>
              <w:rPr>
                <w:rFonts w:ascii="Calibri" w:hAnsi="Calibri"/>
                <w:sz w:val="20"/>
              </w:rPr>
            </w:pPr>
            <w:r w:rsidRPr="004E50E7">
              <w:rPr>
                <w:rFonts w:ascii="Calibri" w:hAnsi="Calibri"/>
                <w:sz w:val="20"/>
                <w:szCs w:val="22"/>
              </w:rPr>
              <w:t>$275,000</w:t>
            </w:r>
          </w:p>
        </w:tc>
        <w:tc>
          <w:tcPr>
            <w:tcW w:w="990" w:type="pct"/>
          </w:tcPr>
          <w:p w14:paraId="68A83EB7" w14:textId="77777777" w:rsidR="00621244" w:rsidRPr="004E50E7" w:rsidRDefault="00621244" w:rsidP="00621244">
            <w:pPr>
              <w:ind w:right="-720"/>
              <w:rPr>
                <w:rFonts w:ascii="Calibri" w:hAnsi="Calibri"/>
                <w:sz w:val="20"/>
              </w:rPr>
            </w:pPr>
            <w:r w:rsidRPr="004E50E7">
              <w:rPr>
                <w:rFonts w:ascii="Calibri" w:hAnsi="Calibri"/>
                <w:sz w:val="20"/>
                <w:szCs w:val="22"/>
              </w:rPr>
              <w:t>$425,000</w:t>
            </w:r>
          </w:p>
        </w:tc>
        <w:tc>
          <w:tcPr>
            <w:tcW w:w="937" w:type="pct"/>
          </w:tcPr>
          <w:p w14:paraId="197ADE01" w14:textId="77777777" w:rsidR="00621244" w:rsidRPr="004E50E7" w:rsidRDefault="00621244" w:rsidP="00621244">
            <w:pPr>
              <w:ind w:right="-720"/>
              <w:rPr>
                <w:rFonts w:ascii="Calibri" w:hAnsi="Calibri"/>
                <w:sz w:val="20"/>
              </w:rPr>
            </w:pPr>
            <w:r>
              <w:rPr>
                <w:rFonts w:ascii="Calibri" w:hAnsi="Calibri"/>
                <w:sz w:val="20"/>
                <w:szCs w:val="22"/>
              </w:rPr>
              <w:t>$378,000</w:t>
            </w:r>
          </w:p>
        </w:tc>
        <w:tc>
          <w:tcPr>
            <w:tcW w:w="937" w:type="pct"/>
          </w:tcPr>
          <w:p w14:paraId="19A398F1" w14:textId="63912FA8" w:rsidR="00621244" w:rsidRPr="004E50E7" w:rsidRDefault="00621244" w:rsidP="00621244">
            <w:pPr>
              <w:ind w:right="-720"/>
              <w:rPr>
                <w:rFonts w:ascii="Calibri" w:hAnsi="Calibri"/>
                <w:sz w:val="20"/>
              </w:rPr>
            </w:pPr>
            <w:r>
              <w:rPr>
                <w:rFonts w:ascii="Calibri" w:hAnsi="Calibri"/>
                <w:sz w:val="20"/>
                <w:szCs w:val="22"/>
              </w:rPr>
              <w:t>$</w:t>
            </w:r>
            <w:r w:rsidR="00480CE1">
              <w:rPr>
                <w:rFonts w:ascii="Calibri" w:hAnsi="Calibri"/>
                <w:sz w:val="20"/>
                <w:szCs w:val="22"/>
              </w:rPr>
              <w:t>636,000</w:t>
            </w:r>
          </w:p>
        </w:tc>
      </w:tr>
      <w:tr w:rsidR="00621244" w:rsidRPr="004E50E7" w14:paraId="7CD04C47" w14:textId="77777777" w:rsidTr="00621244">
        <w:tc>
          <w:tcPr>
            <w:tcW w:w="1095" w:type="pct"/>
          </w:tcPr>
          <w:p w14:paraId="0F23390F" w14:textId="77777777" w:rsidR="00621244" w:rsidRPr="004E50E7" w:rsidRDefault="00621244" w:rsidP="00621244">
            <w:pPr>
              <w:ind w:right="-720"/>
              <w:rPr>
                <w:rFonts w:ascii="Calibri" w:hAnsi="Calibri"/>
                <w:sz w:val="20"/>
              </w:rPr>
            </w:pPr>
            <w:r w:rsidRPr="004E50E7">
              <w:rPr>
                <w:rFonts w:ascii="Calibri" w:hAnsi="Calibri"/>
                <w:sz w:val="20"/>
                <w:szCs w:val="22"/>
              </w:rPr>
              <w:t>Massachusetts</w:t>
            </w:r>
          </w:p>
        </w:tc>
        <w:tc>
          <w:tcPr>
            <w:tcW w:w="1042" w:type="pct"/>
          </w:tcPr>
          <w:p w14:paraId="5550A6BA" w14:textId="77777777" w:rsidR="00621244" w:rsidRPr="004E50E7" w:rsidRDefault="00621244" w:rsidP="00621244">
            <w:pPr>
              <w:ind w:right="-720"/>
              <w:rPr>
                <w:rFonts w:ascii="Calibri" w:hAnsi="Calibri"/>
                <w:sz w:val="20"/>
              </w:rPr>
            </w:pPr>
            <w:r w:rsidRPr="004E50E7">
              <w:rPr>
                <w:rFonts w:ascii="Calibri" w:hAnsi="Calibri"/>
                <w:sz w:val="20"/>
                <w:szCs w:val="22"/>
              </w:rPr>
              <w:t>$215,000</w:t>
            </w:r>
          </w:p>
        </w:tc>
        <w:tc>
          <w:tcPr>
            <w:tcW w:w="990" w:type="pct"/>
          </w:tcPr>
          <w:p w14:paraId="121902D8" w14:textId="77777777" w:rsidR="00621244" w:rsidRPr="004E50E7" w:rsidRDefault="00621244" w:rsidP="00621244">
            <w:pPr>
              <w:ind w:right="-720"/>
              <w:rPr>
                <w:rFonts w:ascii="Calibri" w:hAnsi="Calibri"/>
                <w:sz w:val="20"/>
              </w:rPr>
            </w:pPr>
            <w:r w:rsidRPr="004E50E7">
              <w:rPr>
                <w:rFonts w:ascii="Calibri" w:hAnsi="Calibri"/>
                <w:sz w:val="20"/>
                <w:szCs w:val="22"/>
              </w:rPr>
              <w:t>$355,000</w:t>
            </w:r>
          </w:p>
        </w:tc>
        <w:tc>
          <w:tcPr>
            <w:tcW w:w="937" w:type="pct"/>
          </w:tcPr>
          <w:p w14:paraId="648EC0B4" w14:textId="77777777" w:rsidR="00621244" w:rsidRPr="004E50E7" w:rsidRDefault="00621244" w:rsidP="00621244">
            <w:pPr>
              <w:ind w:right="-720"/>
              <w:rPr>
                <w:rFonts w:ascii="Calibri" w:hAnsi="Calibri"/>
                <w:sz w:val="20"/>
              </w:rPr>
            </w:pPr>
            <w:r>
              <w:rPr>
                <w:rFonts w:ascii="Calibri" w:hAnsi="Calibri"/>
                <w:sz w:val="20"/>
                <w:szCs w:val="22"/>
              </w:rPr>
              <w:t>$295,000</w:t>
            </w:r>
          </w:p>
        </w:tc>
        <w:tc>
          <w:tcPr>
            <w:tcW w:w="937" w:type="pct"/>
          </w:tcPr>
          <w:p w14:paraId="5383A7FC" w14:textId="14EEA943" w:rsidR="00621244" w:rsidRPr="004E50E7" w:rsidRDefault="00621244" w:rsidP="00621244">
            <w:pPr>
              <w:ind w:right="-720"/>
              <w:rPr>
                <w:rFonts w:ascii="Calibri" w:hAnsi="Calibri"/>
                <w:sz w:val="20"/>
              </w:rPr>
            </w:pPr>
            <w:r>
              <w:rPr>
                <w:rFonts w:ascii="Calibri" w:hAnsi="Calibri"/>
                <w:sz w:val="20"/>
                <w:szCs w:val="22"/>
              </w:rPr>
              <w:t>$</w:t>
            </w:r>
            <w:r w:rsidR="00480CE1">
              <w:rPr>
                <w:rFonts w:ascii="Calibri" w:hAnsi="Calibri"/>
                <w:sz w:val="20"/>
                <w:szCs w:val="22"/>
              </w:rPr>
              <w:t>510,000</w:t>
            </w:r>
          </w:p>
        </w:tc>
      </w:tr>
    </w:tbl>
    <w:p w14:paraId="5E0B48E9" w14:textId="10CF62B5" w:rsidR="008772FC" w:rsidRDefault="008772FC" w:rsidP="008772FC">
      <w:pPr>
        <w:ind w:right="-720" w:firstLine="720"/>
        <w:rPr>
          <w:rFonts w:ascii="Calibri" w:hAnsi="Calibri"/>
          <w:sz w:val="20"/>
        </w:rPr>
      </w:pPr>
      <w:r w:rsidRPr="004E50E7">
        <w:rPr>
          <w:rFonts w:ascii="Calibri" w:hAnsi="Calibri"/>
          <w:sz w:val="20"/>
        </w:rPr>
        <w:t xml:space="preserve">Source: The Warren Group/Banker &amp; Tradesman, </w:t>
      </w:r>
      <w:r w:rsidR="00480CE1">
        <w:rPr>
          <w:rFonts w:ascii="Calibri" w:hAnsi="Calibri"/>
          <w:sz w:val="20"/>
        </w:rPr>
        <w:t>April 11, 2022</w:t>
      </w:r>
      <w:r w:rsidR="00A166AA">
        <w:rPr>
          <w:rFonts w:ascii="Calibri" w:hAnsi="Calibri"/>
          <w:sz w:val="20"/>
        </w:rPr>
        <w:t>.</w:t>
      </w:r>
    </w:p>
    <w:p w14:paraId="094477A9" w14:textId="22AF3ECD" w:rsidR="00920B15" w:rsidRDefault="00920B15" w:rsidP="008772FC">
      <w:pPr>
        <w:ind w:right="-720" w:firstLine="720"/>
        <w:rPr>
          <w:rFonts w:ascii="Calibri" w:hAnsi="Calibri"/>
          <w:sz w:val="20"/>
        </w:rPr>
      </w:pPr>
    </w:p>
    <w:p w14:paraId="748F3CBE" w14:textId="50CF36AB" w:rsidR="008156FB" w:rsidRDefault="00920B15" w:rsidP="008156FB">
      <w:pPr>
        <w:jc w:val="both"/>
        <w:rPr>
          <w:rFonts w:asciiTheme="minorHAnsi" w:hAnsiTheme="minorHAnsi" w:cstheme="minorHAnsi"/>
          <w:color w:val="2F3033"/>
          <w:shd w:val="clear" w:color="auto" w:fill="FFFFFF"/>
        </w:rPr>
      </w:pPr>
      <w:r w:rsidRPr="004E50E7">
        <w:rPr>
          <w:rFonts w:ascii="Calibri" w:hAnsi="Calibri"/>
          <w:sz w:val="22"/>
          <w:szCs w:val="22"/>
        </w:rPr>
        <w:t>Figure</w:t>
      </w:r>
      <w:r>
        <w:rPr>
          <w:rFonts w:ascii="Calibri" w:hAnsi="Calibri"/>
          <w:sz w:val="22"/>
          <w:szCs w:val="22"/>
        </w:rPr>
        <w:t xml:space="preserve"> III-</w:t>
      </w:r>
      <w:r w:rsidR="0028014C">
        <w:rPr>
          <w:rFonts w:ascii="Calibri" w:hAnsi="Calibri"/>
          <w:sz w:val="22"/>
          <w:szCs w:val="22"/>
        </w:rPr>
        <w:t>10</w:t>
      </w:r>
      <w:r w:rsidRPr="004E50E7">
        <w:rPr>
          <w:rFonts w:ascii="Calibri" w:hAnsi="Calibri"/>
          <w:sz w:val="22"/>
          <w:szCs w:val="22"/>
        </w:rPr>
        <w:t xml:space="preserve"> </w:t>
      </w:r>
      <w:r>
        <w:rPr>
          <w:rFonts w:ascii="Calibri" w:hAnsi="Calibri"/>
          <w:sz w:val="22"/>
          <w:szCs w:val="22"/>
        </w:rPr>
        <w:t>tracks these median</w:t>
      </w:r>
      <w:r w:rsidR="00A05A8E">
        <w:rPr>
          <w:rFonts w:ascii="Calibri" w:hAnsi="Calibri"/>
          <w:sz w:val="22"/>
          <w:szCs w:val="22"/>
        </w:rPr>
        <w:t xml:space="preserve"> single-family home</w:t>
      </w:r>
      <w:r>
        <w:rPr>
          <w:rFonts w:ascii="Calibri" w:hAnsi="Calibri"/>
          <w:sz w:val="22"/>
          <w:szCs w:val="22"/>
        </w:rPr>
        <w:t xml:space="preserve"> values, d</w:t>
      </w:r>
      <w:r w:rsidRPr="004E50E7">
        <w:rPr>
          <w:rFonts w:ascii="Calibri" w:hAnsi="Calibri"/>
          <w:sz w:val="22"/>
          <w:szCs w:val="22"/>
        </w:rPr>
        <w:t>emonstrat</w:t>
      </w:r>
      <w:r>
        <w:rPr>
          <w:rFonts w:ascii="Calibri" w:hAnsi="Calibri"/>
          <w:sz w:val="22"/>
          <w:szCs w:val="22"/>
        </w:rPr>
        <w:t>ing</w:t>
      </w:r>
      <w:r w:rsidRPr="004E50E7">
        <w:rPr>
          <w:rFonts w:ascii="Calibri" w:hAnsi="Calibri"/>
          <w:sz w:val="22"/>
          <w:szCs w:val="22"/>
        </w:rPr>
        <w:t xml:space="preserve"> the trajectory of the housing market since 200</w:t>
      </w:r>
      <w:r>
        <w:rPr>
          <w:rFonts w:ascii="Calibri" w:hAnsi="Calibri"/>
          <w:sz w:val="22"/>
          <w:szCs w:val="22"/>
        </w:rPr>
        <w:t>5</w:t>
      </w:r>
      <w:r w:rsidRPr="004E50E7">
        <w:rPr>
          <w:rFonts w:ascii="Calibri" w:hAnsi="Calibri"/>
          <w:sz w:val="22"/>
          <w:szCs w:val="22"/>
        </w:rPr>
        <w:t xml:space="preserve">, the height of the housing market in </w:t>
      </w:r>
      <w:r>
        <w:rPr>
          <w:rFonts w:ascii="Calibri" w:hAnsi="Calibri"/>
          <w:sz w:val="22"/>
          <w:szCs w:val="22"/>
        </w:rPr>
        <w:t>many communities</w:t>
      </w:r>
      <w:r w:rsidRPr="004E50E7">
        <w:rPr>
          <w:rFonts w:ascii="Calibri" w:hAnsi="Calibri"/>
          <w:sz w:val="22"/>
          <w:szCs w:val="22"/>
        </w:rPr>
        <w:t xml:space="preserve"> just before the </w:t>
      </w:r>
      <w:r>
        <w:rPr>
          <w:rFonts w:ascii="Calibri" w:hAnsi="Calibri"/>
          <w:sz w:val="22"/>
          <w:szCs w:val="22"/>
        </w:rPr>
        <w:t>recession</w:t>
      </w:r>
      <w:r w:rsidRPr="004E50E7">
        <w:rPr>
          <w:rFonts w:ascii="Calibri" w:hAnsi="Calibri"/>
          <w:sz w:val="22"/>
          <w:szCs w:val="22"/>
        </w:rPr>
        <w:t>.</w:t>
      </w:r>
      <w:r>
        <w:rPr>
          <w:rFonts w:ascii="Calibri" w:hAnsi="Calibri"/>
          <w:sz w:val="22"/>
          <w:szCs w:val="22"/>
        </w:rPr>
        <w:t xml:space="preserve">  </w:t>
      </w:r>
      <w:r w:rsidR="008156FB">
        <w:rPr>
          <w:rFonts w:ascii="Calibri" w:hAnsi="Calibri"/>
          <w:sz w:val="22"/>
          <w:szCs w:val="22"/>
        </w:rPr>
        <w:t>While all of these nearby</w:t>
      </w:r>
      <w:r w:rsidR="008156FB" w:rsidRPr="004E50E7">
        <w:rPr>
          <w:rFonts w:ascii="Calibri" w:hAnsi="Calibri"/>
          <w:sz w:val="22"/>
          <w:szCs w:val="22"/>
        </w:rPr>
        <w:t xml:space="preserve"> communities</w:t>
      </w:r>
      <w:r w:rsidR="008156FB">
        <w:rPr>
          <w:rFonts w:ascii="Calibri" w:hAnsi="Calibri"/>
          <w:sz w:val="22"/>
          <w:szCs w:val="22"/>
        </w:rPr>
        <w:t xml:space="preserve"> experienced a downturn in the market following the recession, as shown in the 2010 values, they</w:t>
      </w:r>
      <w:r w:rsidR="008156FB" w:rsidRPr="004E50E7">
        <w:rPr>
          <w:rFonts w:ascii="Calibri" w:hAnsi="Calibri"/>
          <w:sz w:val="22"/>
          <w:szCs w:val="22"/>
        </w:rPr>
        <w:t xml:space="preserve"> recover</w:t>
      </w:r>
      <w:r w:rsidR="008156FB">
        <w:rPr>
          <w:rFonts w:ascii="Calibri" w:hAnsi="Calibri"/>
          <w:sz w:val="22"/>
          <w:szCs w:val="22"/>
        </w:rPr>
        <w:t xml:space="preserve">ed quite well and have </w:t>
      </w:r>
      <w:r w:rsidR="00203DB1">
        <w:rPr>
          <w:rFonts w:ascii="Calibri" w:hAnsi="Calibri"/>
          <w:sz w:val="22"/>
          <w:szCs w:val="22"/>
        </w:rPr>
        <w:t xml:space="preserve">since </w:t>
      </w:r>
      <w:r w:rsidR="008156FB">
        <w:rPr>
          <w:rFonts w:ascii="Calibri" w:hAnsi="Calibri"/>
          <w:sz w:val="22"/>
          <w:szCs w:val="22"/>
        </w:rPr>
        <w:t xml:space="preserve">experienced unprecedentedly high housing values. The recovery from the “bursting of the housing bubble” </w:t>
      </w:r>
      <w:r w:rsidR="008156FB" w:rsidRPr="004E50E7">
        <w:rPr>
          <w:rFonts w:ascii="Calibri" w:hAnsi="Calibri"/>
          <w:sz w:val="22"/>
          <w:szCs w:val="22"/>
        </w:rPr>
        <w:t>demonstrat</w:t>
      </w:r>
      <w:r w:rsidR="008156FB">
        <w:rPr>
          <w:rFonts w:ascii="Calibri" w:hAnsi="Calibri"/>
          <w:sz w:val="22"/>
          <w:szCs w:val="22"/>
        </w:rPr>
        <w:t>es the</w:t>
      </w:r>
      <w:r w:rsidR="008156FB" w:rsidRPr="004E50E7">
        <w:rPr>
          <w:rFonts w:ascii="Calibri" w:hAnsi="Calibri"/>
          <w:sz w:val="22"/>
          <w:szCs w:val="22"/>
        </w:rPr>
        <w:t xml:space="preserve"> robust and relatively resilient housing markets</w:t>
      </w:r>
      <w:r w:rsidR="008156FB">
        <w:rPr>
          <w:rFonts w:ascii="Calibri" w:hAnsi="Calibri"/>
          <w:sz w:val="22"/>
          <w:szCs w:val="22"/>
        </w:rPr>
        <w:t xml:space="preserve"> in these communities as well as a clear signal of the upswing in the overall housing market in the region</w:t>
      </w:r>
      <w:r w:rsidR="008156FB" w:rsidRPr="004E50E7">
        <w:rPr>
          <w:rFonts w:ascii="Calibri" w:hAnsi="Calibri"/>
          <w:sz w:val="22"/>
          <w:szCs w:val="22"/>
        </w:rPr>
        <w:t>.</w:t>
      </w:r>
      <w:r w:rsidR="008156FB" w:rsidRPr="006509BA">
        <w:rPr>
          <w:rFonts w:asciiTheme="minorHAnsi" w:hAnsiTheme="minorHAnsi" w:cstheme="minorHAnsi"/>
          <w:color w:val="2F3033"/>
          <w:shd w:val="clear" w:color="auto" w:fill="FFFFFF"/>
        </w:rPr>
        <w:t xml:space="preserve"> </w:t>
      </w:r>
    </w:p>
    <w:p w14:paraId="2A31C48F" w14:textId="77777777" w:rsidR="008156FB" w:rsidRDefault="008156FB" w:rsidP="008156FB">
      <w:pPr>
        <w:jc w:val="both"/>
        <w:rPr>
          <w:rFonts w:asciiTheme="minorHAnsi" w:hAnsiTheme="minorHAnsi" w:cstheme="minorHAnsi"/>
          <w:color w:val="2F3033"/>
          <w:shd w:val="clear" w:color="auto" w:fill="FFFFFF"/>
        </w:rPr>
      </w:pPr>
    </w:p>
    <w:p w14:paraId="37E92901" w14:textId="6F2E63A1" w:rsidR="008156FB" w:rsidRPr="008156FB" w:rsidRDefault="008156FB" w:rsidP="00AA31BB">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Theme="minorHAnsi" w:hAnsiTheme="minorHAnsi" w:cstheme="minorHAnsi"/>
        </w:rPr>
      </w:pPr>
      <w:r w:rsidRPr="00AA31BB">
        <w:rPr>
          <w:rFonts w:asciiTheme="minorHAnsi" w:hAnsiTheme="minorHAnsi" w:cstheme="minorHAnsi"/>
          <w:color w:val="2F3033"/>
          <w:shd w:val="clear" w:color="auto" w:fill="B6DDE8" w:themeFill="accent5" w:themeFillTint="66"/>
        </w:rPr>
        <w:t>The speculation and bad loans that drove home sales and prices into an artificially inflated, unstainable bubble during the recession are not factors today. Market prices are instead being driven mainly by limited availability where housing demand exceeds housing supply.</w:t>
      </w:r>
    </w:p>
    <w:p w14:paraId="4C2AF272" w14:textId="538150D5" w:rsidR="00920B15" w:rsidRDefault="00920B15" w:rsidP="00920B15">
      <w:pPr>
        <w:jc w:val="both"/>
        <w:rPr>
          <w:rFonts w:ascii="Calibri" w:hAnsi="Calibri"/>
          <w:sz w:val="22"/>
          <w:szCs w:val="22"/>
        </w:rPr>
      </w:pPr>
    </w:p>
    <w:p w14:paraId="0E97CFA5" w14:textId="36EC7C4F" w:rsidR="008772FC" w:rsidRPr="00C12A7E" w:rsidRDefault="009A2154" w:rsidP="008772FC">
      <w:pPr>
        <w:jc w:val="center"/>
      </w:pPr>
      <w:r>
        <w:rPr>
          <w:noProof/>
        </w:rPr>
        <w:drawing>
          <wp:inline distT="0" distB="0" distL="0" distR="0" wp14:anchorId="2969B413" wp14:editId="572DFA6B">
            <wp:extent cx="4572000" cy="2743200"/>
            <wp:effectExtent l="0" t="0" r="0" b="0"/>
            <wp:docPr id="24" name="Chart 24">
              <a:extLst xmlns:a="http://schemas.openxmlformats.org/drawingml/2006/main">
                <a:ext uri="{FF2B5EF4-FFF2-40B4-BE49-F238E27FC236}">
                  <a16:creationId xmlns:a16="http://schemas.microsoft.com/office/drawing/2014/main" id="{BBC8A0AD-FB37-40CF-9CE7-FAEF7A786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05A403" w14:textId="5589864D" w:rsidR="008772FC" w:rsidRPr="00675FCF" w:rsidRDefault="008772FC" w:rsidP="008772FC">
      <w:pPr>
        <w:ind w:right="-720"/>
        <w:rPr>
          <w:rFonts w:ascii="Calibri" w:hAnsi="Calibri"/>
          <w:sz w:val="20"/>
          <w:szCs w:val="20"/>
        </w:rPr>
      </w:pPr>
      <w:r>
        <w:rPr>
          <w:rFonts w:ascii="Calibri" w:hAnsi="Calibri"/>
          <w:sz w:val="22"/>
          <w:szCs w:val="22"/>
        </w:rPr>
        <w:tab/>
      </w:r>
      <w:r>
        <w:rPr>
          <w:rFonts w:ascii="Calibri" w:hAnsi="Calibri"/>
          <w:sz w:val="22"/>
          <w:szCs w:val="22"/>
        </w:rPr>
        <w:tab/>
      </w:r>
      <w:r w:rsidRPr="00675FCF">
        <w:rPr>
          <w:rFonts w:ascii="Calibri" w:hAnsi="Calibri"/>
          <w:sz w:val="20"/>
          <w:szCs w:val="20"/>
        </w:rPr>
        <w:t xml:space="preserve">Source: The Warren Group/Banker &amp; Tradesman, </w:t>
      </w:r>
      <w:r w:rsidR="009A2154">
        <w:rPr>
          <w:rFonts w:ascii="Calibri" w:hAnsi="Calibri"/>
          <w:sz w:val="20"/>
          <w:szCs w:val="20"/>
        </w:rPr>
        <w:t>April 11, 2022</w:t>
      </w:r>
      <w:r w:rsidR="002B4AC8" w:rsidRPr="00675FCF">
        <w:rPr>
          <w:rFonts w:ascii="Calibri" w:hAnsi="Calibri"/>
          <w:sz w:val="20"/>
          <w:szCs w:val="20"/>
        </w:rPr>
        <w:t>.</w:t>
      </w:r>
    </w:p>
    <w:p w14:paraId="5862FB97" w14:textId="77777777" w:rsidR="00BE54D2" w:rsidRDefault="00BE54D2" w:rsidP="00DE5CC2">
      <w:pPr>
        <w:jc w:val="both"/>
        <w:rPr>
          <w:rFonts w:ascii="Calibri" w:hAnsi="Calibri"/>
          <w:sz w:val="22"/>
          <w:szCs w:val="22"/>
        </w:rPr>
      </w:pPr>
    </w:p>
    <w:p w14:paraId="21EB47A0" w14:textId="214AFC0B" w:rsidR="008F68CA" w:rsidRPr="004E1F11" w:rsidRDefault="008F68CA" w:rsidP="00781F93">
      <w:pPr>
        <w:pStyle w:val="BodyText"/>
        <w:spacing w:after="0"/>
        <w:jc w:val="both"/>
        <w:rPr>
          <w:rFonts w:ascii="Calibri" w:hAnsi="Calibri"/>
          <w:b/>
          <w:bCs/>
          <w:sz w:val="22"/>
        </w:rPr>
      </w:pPr>
      <w:r w:rsidRPr="004E1F11">
        <w:rPr>
          <w:rFonts w:ascii="Calibri" w:hAnsi="Calibri"/>
          <w:b/>
          <w:bCs/>
          <w:sz w:val="22"/>
        </w:rPr>
        <w:t>There are some signs that the housing market is slowing somewhat</w:t>
      </w:r>
      <w:r w:rsidR="008856FD">
        <w:rPr>
          <w:rFonts w:ascii="Calibri" w:hAnsi="Calibri"/>
          <w:b/>
          <w:bCs/>
          <w:sz w:val="22"/>
        </w:rPr>
        <w:t>.  H</w:t>
      </w:r>
      <w:r w:rsidRPr="004E1F11">
        <w:rPr>
          <w:rFonts w:ascii="Calibri" w:hAnsi="Calibri"/>
          <w:b/>
          <w:bCs/>
          <w:sz w:val="22"/>
        </w:rPr>
        <w:t>owever, economists point to a continuing imbalance of housing supply and demand as even a slower market with escalating interest rates will likely create enough inventory</w:t>
      </w:r>
      <w:r w:rsidR="00881855" w:rsidRPr="004E1F11">
        <w:rPr>
          <w:rFonts w:ascii="Calibri" w:hAnsi="Calibri"/>
          <w:b/>
          <w:bCs/>
          <w:sz w:val="22"/>
        </w:rPr>
        <w:t xml:space="preserve"> to satisfy demand anytime soon.  This is not just a regional problem as for years the county has suffered from a chronically undersupplied housing market.  A </w:t>
      </w:r>
      <w:r w:rsidR="00881855" w:rsidRPr="008856FD">
        <w:rPr>
          <w:rFonts w:ascii="Calibri" w:hAnsi="Calibri"/>
          <w:b/>
          <w:bCs/>
          <w:i/>
          <w:iCs/>
          <w:sz w:val="22"/>
        </w:rPr>
        <w:t>New York Times</w:t>
      </w:r>
      <w:r w:rsidR="00881855" w:rsidRPr="004E1F11">
        <w:rPr>
          <w:rFonts w:ascii="Calibri" w:hAnsi="Calibri"/>
          <w:b/>
          <w:bCs/>
          <w:sz w:val="22"/>
        </w:rPr>
        <w:t xml:space="preserve"> article stated, “</w:t>
      </w:r>
      <w:r w:rsidR="00E424AB" w:rsidRPr="004E1F11">
        <w:rPr>
          <w:rFonts w:ascii="Calibri" w:hAnsi="Calibri"/>
          <w:b/>
          <w:bCs/>
          <w:sz w:val="22"/>
        </w:rPr>
        <w:t>After two years of torrid demand, agents had become accustomed to fielding multiple offers for each listing and setting price records each weekend.  That frenzy, brought on by pandemic migrations and the growing centrality of the home as</w:t>
      </w:r>
      <w:r w:rsidR="008856FD">
        <w:rPr>
          <w:rFonts w:ascii="Calibri" w:hAnsi="Calibri"/>
          <w:b/>
          <w:bCs/>
          <w:sz w:val="22"/>
        </w:rPr>
        <w:t xml:space="preserve"> a</w:t>
      </w:r>
      <w:r w:rsidR="00E424AB" w:rsidRPr="004E1F11">
        <w:rPr>
          <w:rFonts w:ascii="Calibri" w:hAnsi="Calibri"/>
          <w:b/>
          <w:bCs/>
          <w:sz w:val="22"/>
        </w:rPr>
        <w:t xml:space="preserve"> space where people live and work, is now subsiding…That rising mortgage rates have not had more of an effect shows how difficult it is to tamp down prices and bring demand into balance in an economy where a lack of supply </w:t>
      </w:r>
      <w:r w:rsidR="004E1F11" w:rsidRPr="004E1F11">
        <w:rPr>
          <w:rFonts w:ascii="Calibri" w:hAnsi="Calibri"/>
          <w:b/>
          <w:bCs/>
          <w:sz w:val="22"/>
        </w:rPr>
        <w:t>–</w:t>
      </w:r>
      <w:r w:rsidR="00E424AB" w:rsidRPr="004E1F11">
        <w:rPr>
          <w:rFonts w:ascii="Calibri" w:hAnsi="Calibri"/>
          <w:b/>
          <w:bCs/>
          <w:sz w:val="22"/>
        </w:rPr>
        <w:t xml:space="preserve"> marke</w:t>
      </w:r>
      <w:r w:rsidR="004E1F11" w:rsidRPr="004E1F11">
        <w:rPr>
          <w:rFonts w:ascii="Calibri" w:hAnsi="Calibri"/>
          <w:b/>
          <w:bCs/>
          <w:sz w:val="22"/>
        </w:rPr>
        <w:t xml:space="preserve">d </w:t>
      </w:r>
      <w:r w:rsidR="00E424AB" w:rsidRPr="004E1F11">
        <w:rPr>
          <w:rFonts w:ascii="Calibri" w:hAnsi="Calibri"/>
          <w:b/>
          <w:bCs/>
          <w:sz w:val="22"/>
        </w:rPr>
        <w:t xml:space="preserve">by </w:t>
      </w:r>
      <w:r w:rsidR="004E1F11" w:rsidRPr="004E1F11">
        <w:rPr>
          <w:rFonts w:ascii="Calibri" w:hAnsi="Calibri"/>
          <w:b/>
          <w:bCs/>
          <w:sz w:val="22"/>
        </w:rPr>
        <w:t>half</w:t>
      </w:r>
      <w:r w:rsidR="00E424AB" w:rsidRPr="004E1F11">
        <w:rPr>
          <w:rFonts w:ascii="Calibri" w:hAnsi="Calibri"/>
          <w:b/>
          <w:bCs/>
          <w:sz w:val="22"/>
        </w:rPr>
        <w:t>-em</w:t>
      </w:r>
      <w:r w:rsidR="004E1F11" w:rsidRPr="004E1F11">
        <w:rPr>
          <w:rFonts w:ascii="Calibri" w:hAnsi="Calibri"/>
          <w:b/>
          <w:bCs/>
          <w:sz w:val="22"/>
        </w:rPr>
        <w:t>p</w:t>
      </w:r>
      <w:r w:rsidR="00E424AB" w:rsidRPr="004E1F11">
        <w:rPr>
          <w:rFonts w:ascii="Calibri" w:hAnsi="Calibri"/>
          <w:b/>
          <w:bCs/>
          <w:sz w:val="22"/>
        </w:rPr>
        <w:t>ty</w:t>
      </w:r>
      <w:r w:rsidR="004E1F11" w:rsidRPr="004E1F11">
        <w:rPr>
          <w:rFonts w:ascii="Calibri" w:hAnsi="Calibri"/>
          <w:b/>
          <w:bCs/>
          <w:sz w:val="22"/>
        </w:rPr>
        <w:t xml:space="preserve"> </w:t>
      </w:r>
      <w:r w:rsidR="00E424AB" w:rsidRPr="004E1F11">
        <w:rPr>
          <w:rFonts w:ascii="Calibri" w:hAnsi="Calibri"/>
          <w:b/>
          <w:bCs/>
          <w:sz w:val="22"/>
        </w:rPr>
        <w:t>car lots, furniture o</w:t>
      </w:r>
      <w:r w:rsidR="004E1F11" w:rsidRPr="004E1F11">
        <w:rPr>
          <w:rFonts w:ascii="Calibri" w:hAnsi="Calibri"/>
          <w:b/>
          <w:bCs/>
          <w:sz w:val="22"/>
        </w:rPr>
        <w:t>r</w:t>
      </w:r>
      <w:r w:rsidR="00E424AB" w:rsidRPr="004E1F11">
        <w:rPr>
          <w:rFonts w:ascii="Calibri" w:hAnsi="Calibri"/>
          <w:b/>
          <w:bCs/>
          <w:sz w:val="22"/>
        </w:rPr>
        <w:t>der backlogs and a pa</w:t>
      </w:r>
      <w:r w:rsidR="004E1F11" w:rsidRPr="004E1F11">
        <w:rPr>
          <w:rFonts w:ascii="Calibri" w:hAnsi="Calibri"/>
          <w:b/>
          <w:bCs/>
          <w:sz w:val="22"/>
        </w:rPr>
        <w:t>u</w:t>
      </w:r>
      <w:r w:rsidR="00E424AB" w:rsidRPr="004E1F11">
        <w:rPr>
          <w:rFonts w:ascii="Calibri" w:hAnsi="Calibri"/>
          <w:b/>
          <w:bCs/>
          <w:sz w:val="22"/>
        </w:rPr>
        <w:t>cit</w:t>
      </w:r>
      <w:r w:rsidR="004E1F11" w:rsidRPr="004E1F11">
        <w:rPr>
          <w:rFonts w:ascii="Calibri" w:hAnsi="Calibri"/>
          <w:b/>
          <w:bCs/>
          <w:sz w:val="22"/>
        </w:rPr>
        <w:t>y</w:t>
      </w:r>
      <w:r w:rsidR="00E424AB" w:rsidRPr="004E1F11">
        <w:rPr>
          <w:rFonts w:ascii="Calibri" w:hAnsi="Calibri"/>
          <w:b/>
          <w:bCs/>
          <w:sz w:val="22"/>
        </w:rPr>
        <w:t xml:space="preserve"> of homes for sale – is play</w:t>
      </w:r>
      <w:r w:rsidR="008856FD">
        <w:rPr>
          <w:rFonts w:ascii="Calibri" w:hAnsi="Calibri"/>
          <w:b/>
          <w:bCs/>
          <w:sz w:val="22"/>
        </w:rPr>
        <w:t>ing</w:t>
      </w:r>
      <w:r w:rsidR="00E424AB" w:rsidRPr="004E1F11">
        <w:rPr>
          <w:rFonts w:ascii="Calibri" w:hAnsi="Calibri"/>
          <w:b/>
          <w:bCs/>
          <w:sz w:val="22"/>
        </w:rPr>
        <w:t xml:space="preserve"> a guiding role.</w:t>
      </w:r>
      <w:r w:rsidR="004E1F11" w:rsidRPr="004E1F11">
        <w:rPr>
          <w:rFonts w:ascii="Calibri" w:hAnsi="Calibri"/>
          <w:b/>
          <w:bCs/>
          <w:sz w:val="22"/>
        </w:rPr>
        <w:t>”</w:t>
      </w:r>
      <w:r w:rsidR="004E1F11">
        <w:rPr>
          <w:rStyle w:val="FootnoteReference"/>
          <w:rFonts w:ascii="Calibri" w:hAnsi="Calibri"/>
          <w:b/>
          <w:bCs/>
          <w:sz w:val="22"/>
        </w:rPr>
        <w:footnoteReference w:id="22"/>
      </w:r>
      <w:r w:rsidR="00E424AB" w:rsidRPr="004E1F11">
        <w:rPr>
          <w:rFonts w:ascii="Calibri" w:hAnsi="Calibri"/>
          <w:b/>
          <w:bCs/>
          <w:sz w:val="22"/>
        </w:rPr>
        <w:t xml:space="preserve"> </w:t>
      </w:r>
    </w:p>
    <w:p w14:paraId="074755FA" w14:textId="77777777" w:rsidR="00881855" w:rsidRPr="008F68CA" w:rsidRDefault="00881855" w:rsidP="00781F93">
      <w:pPr>
        <w:pStyle w:val="BodyText"/>
        <w:spacing w:after="0"/>
        <w:jc w:val="both"/>
        <w:rPr>
          <w:rFonts w:ascii="Calibri" w:hAnsi="Calibri"/>
          <w:sz w:val="22"/>
        </w:rPr>
      </w:pPr>
    </w:p>
    <w:p w14:paraId="79D8D95E" w14:textId="3C7E398A" w:rsidR="00582E26" w:rsidRDefault="008772FC" w:rsidP="00781F93">
      <w:pPr>
        <w:pStyle w:val="BodyText"/>
        <w:spacing w:after="0"/>
        <w:jc w:val="both"/>
        <w:rPr>
          <w:rFonts w:ascii="Calibri" w:hAnsi="Calibri"/>
          <w:sz w:val="22"/>
          <w:szCs w:val="22"/>
        </w:rPr>
      </w:pPr>
      <w:r w:rsidRPr="004E50E7">
        <w:rPr>
          <w:rFonts w:ascii="Calibri" w:hAnsi="Calibri"/>
          <w:i/>
          <w:iCs/>
          <w:sz w:val="22"/>
        </w:rPr>
        <w:lastRenderedPageBreak/>
        <w:t>Town Assessor data</w:t>
      </w:r>
      <w:r w:rsidRPr="004E50E7">
        <w:rPr>
          <w:rFonts w:ascii="Calibri" w:hAnsi="Calibri"/>
          <w:sz w:val="22"/>
        </w:rPr>
        <w:t xml:space="preserve"> on the assessed values of residential properties in Needham is presented in Tables </w:t>
      </w:r>
      <w:r w:rsidR="0028014C">
        <w:rPr>
          <w:rFonts w:ascii="Calibri" w:hAnsi="Calibri"/>
          <w:sz w:val="22"/>
        </w:rPr>
        <w:t>III-31</w:t>
      </w:r>
      <w:r w:rsidR="003226C7">
        <w:rPr>
          <w:rFonts w:ascii="Calibri" w:hAnsi="Calibri"/>
          <w:sz w:val="22"/>
        </w:rPr>
        <w:t xml:space="preserve"> and </w:t>
      </w:r>
      <w:r w:rsidR="0028014C">
        <w:rPr>
          <w:rFonts w:ascii="Calibri" w:hAnsi="Calibri"/>
          <w:sz w:val="22"/>
        </w:rPr>
        <w:t>III-</w:t>
      </w:r>
      <w:r w:rsidR="003226C7">
        <w:rPr>
          <w:rFonts w:ascii="Calibri" w:hAnsi="Calibri"/>
          <w:sz w:val="22"/>
        </w:rPr>
        <w:t>3</w:t>
      </w:r>
      <w:r w:rsidR="0028014C">
        <w:rPr>
          <w:rFonts w:ascii="Calibri" w:hAnsi="Calibri"/>
          <w:sz w:val="22"/>
        </w:rPr>
        <w:t>2</w:t>
      </w:r>
      <w:r w:rsidRPr="004E50E7">
        <w:rPr>
          <w:rFonts w:ascii="Calibri" w:hAnsi="Calibri"/>
          <w:sz w:val="22"/>
        </w:rPr>
        <w:t xml:space="preserve">, which provide insights not only into the diversity of the existing housing stock but also the range of values for each dwelling type. </w:t>
      </w:r>
      <w:r w:rsidR="00781F93" w:rsidRPr="008B375C">
        <w:rPr>
          <w:rFonts w:ascii="Calibri" w:hAnsi="Calibri"/>
          <w:sz w:val="22"/>
          <w:szCs w:val="22"/>
        </w:rPr>
        <w:t xml:space="preserve">This data shows that Needham had </w:t>
      </w:r>
      <w:r w:rsidR="00781F93">
        <w:rPr>
          <w:rFonts w:ascii="Calibri" w:hAnsi="Calibri"/>
          <w:sz w:val="22"/>
          <w:szCs w:val="22"/>
        </w:rPr>
        <w:t>8,</w:t>
      </w:r>
      <w:r w:rsidR="00582E26">
        <w:rPr>
          <w:rFonts w:ascii="Calibri" w:hAnsi="Calibri"/>
          <w:sz w:val="22"/>
          <w:szCs w:val="22"/>
        </w:rPr>
        <w:t xml:space="preserve">413 </w:t>
      </w:r>
      <w:r w:rsidR="00781F93" w:rsidRPr="008B375C">
        <w:rPr>
          <w:rFonts w:ascii="Calibri" w:hAnsi="Calibri"/>
          <w:sz w:val="22"/>
          <w:szCs w:val="22"/>
        </w:rPr>
        <w:t>single-family properties</w:t>
      </w:r>
      <w:r w:rsidR="00680F3B">
        <w:rPr>
          <w:rFonts w:ascii="Calibri" w:hAnsi="Calibri"/>
          <w:sz w:val="22"/>
          <w:szCs w:val="22"/>
        </w:rPr>
        <w:t xml:space="preserve">, </w:t>
      </w:r>
      <w:r w:rsidR="00582E26">
        <w:rPr>
          <w:rFonts w:ascii="Calibri" w:hAnsi="Calibri"/>
          <w:sz w:val="22"/>
          <w:szCs w:val="22"/>
        </w:rPr>
        <w:t>less than the 20</w:t>
      </w:r>
      <w:r w:rsidR="00AA31BB">
        <w:rPr>
          <w:rFonts w:ascii="Calibri" w:hAnsi="Calibri"/>
          <w:sz w:val="22"/>
          <w:szCs w:val="22"/>
        </w:rPr>
        <w:t>20</w:t>
      </w:r>
      <w:r w:rsidR="00582E26">
        <w:rPr>
          <w:rFonts w:ascii="Calibri" w:hAnsi="Calibri"/>
          <w:sz w:val="22"/>
          <w:szCs w:val="22"/>
        </w:rPr>
        <w:t xml:space="preserve"> census figure of 8,</w:t>
      </w:r>
      <w:r w:rsidR="00AA31BB">
        <w:rPr>
          <w:rFonts w:ascii="Calibri" w:hAnsi="Calibri"/>
          <w:sz w:val="22"/>
          <w:szCs w:val="22"/>
        </w:rPr>
        <w:t>70</w:t>
      </w:r>
      <w:r w:rsidR="00582E26">
        <w:rPr>
          <w:rFonts w:ascii="Calibri" w:hAnsi="Calibri"/>
          <w:sz w:val="22"/>
          <w:szCs w:val="22"/>
        </w:rPr>
        <w:t>0 single-family detached homes</w:t>
      </w:r>
      <w:r w:rsidR="00680F3B">
        <w:rPr>
          <w:rFonts w:ascii="Calibri" w:hAnsi="Calibri"/>
          <w:sz w:val="22"/>
          <w:szCs w:val="22"/>
        </w:rPr>
        <w:t xml:space="preserve">.  </w:t>
      </w:r>
      <w:r w:rsidR="00582E26">
        <w:rPr>
          <w:rFonts w:ascii="Calibri" w:hAnsi="Calibri"/>
          <w:sz w:val="22"/>
          <w:szCs w:val="22"/>
        </w:rPr>
        <w:t xml:space="preserve">This again points to the </w:t>
      </w:r>
      <w:r w:rsidR="00A05A8E">
        <w:rPr>
          <w:rFonts w:ascii="Calibri" w:hAnsi="Calibri"/>
          <w:sz w:val="22"/>
          <w:szCs w:val="22"/>
        </w:rPr>
        <w:t xml:space="preserve">census </w:t>
      </w:r>
      <w:r w:rsidR="00582E26">
        <w:rPr>
          <w:rFonts w:ascii="Calibri" w:hAnsi="Calibri"/>
          <w:sz w:val="22"/>
          <w:szCs w:val="22"/>
        </w:rPr>
        <w:t>overestimation of growth in the owner-occupied housing stock.</w:t>
      </w:r>
    </w:p>
    <w:p w14:paraId="239E4E2A" w14:textId="77777777" w:rsidR="00582E26" w:rsidRDefault="00582E26" w:rsidP="00781F93">
      <w:pPr>
        <w:pStyle w:val="BodyText"/>
        <w:spacing w:after="0"/>
        <w:jc w:val="both"/>
        <w:rPr>
          <w:rFonts w:ascii="Calibri" w:hAnsi="Calibri"/>
          <w:sz w:val="22"/>
          <w:szCs w:val="22"/>
        </w:rPr>
      </w:pPr>
    </w:p>
    <w:p w14:paraId="4B22BF2A" w14:textId="56911A81" w:rsidR="00781F93" w:rsidRDefault="00680F3B" w:rsidP="00781F93">
      <w:pPr>
        <w:pStyle w:val="BodyText"/>
        <w:spacing w:after="0"/>
        <w:jc w:val="both"/>
        <w:rPr>
          <w:rFonts w:ascii="Calibri" w:hAnsi="Calibri"/>
          <w:sz w:val="22"/>
          <w:szCs w:val="22"/>
        </w:rPr>
      </w:pPr>
      <w:r>
        <w:rPr>
          <w:rFonts w:ascii="Calibri" w:hAnsi="Calibri"/>
          <w:sz w:val="22"/>
          <w:szCs w:val="22"/>
        </w:rPr>
        <w:t>There was</w:t>
      </w:r>
      <w:r w:rsidR="00781F93" w:rsidRPr="008B375C">
        <w:rPr>
          <w:rFonts w:ascii="Calibri" w:hAnsi="Calibri"/>
          <w:sz w:val="22"/>
          <w:szCs w:val="22"/>
        </w:rPr>
        <w:t xml:space="preserve"> only one unit, a Habitat for Humanity house, valued below $200,000</w:t>
      </w:r>
      <w:r w:rsidR="00781F93">
        <w:rPr>
          <w:rFonts w:ascii="Calibri" w:hAnsi="Calibri"/>
          <w:sz w:val="22"/>
          <w:szCs w:val="22"/>
        </w:rPr>
        <w:t xml:space="preserve"> and</w:t>
      </w:r>
      <w:r w:rsidR="00781F93" w:rsidRPr="008B375C">
        <w:rPr>
          <w:rFonts w:ascii="Calibri" w:hAnsi="Calibri"/>
          <w:sz w:val="22"/>
          <w:szCs w:val="22"/>
        </w:rPr>
        <w:t xml:space="preserve"> </w:t>
      </w:r>
      <w:r w:rsidR="00781F93">
        <w:rPr>
          <w:rFonts w:ascii="Calibri" w:hAnsi="Calibri"/>
          <w:sz w:val="22"/>
          <w:szCs w:val="22"/>
        </w:rPr>
        <w:t xml:space="preserve">just another </w:t>
      </w:r>
      <w:r w:rsidR="00781F93" w:rsidRPr="008B375C">
        <w:rPr>
          <w:rFonts w:ascii="Calibri" w:hAnsi="Calibri"/>
          <w:sz w:val="22"/>
          <w:szCs w:val="22"/>
        </w:rPr>
        <w:t>assessed between $200,000 and $300,000 that were still relatively affordable</w:t>
      </w:r>
      <w:r w:rsidR="0052605B">
        <w:rPr>
          <w:rFonts w:ascii="Calibri" w:hAnsi="Calibri"/>
          <w:sz w:val="22"/>
          <w:szCs w:val="22"/>
        </w:rPr>
        <w:t xml:space="preserve"> to</w:t>
      </w:r>
      <w:r w:rsidR="00F81D0A">
        <w:rPr>
          <w:rFonts w:ascii="Calibri" w:hAnsi="Calibri"/>
          <w:sz w:val="22"/>
          <w:szCs w:val="22"/>
        </w:rPr>
        <w:t xml:space="preserve"> low- and moderate-income</w:t>
      </w:r>
      <w:r w:rsidR="0052605B">
        <w:rPr>
          <w:rFonts w:ascii="Calibri" w:hAnsi="Calibri"/>
          <w:sz w:val="22"/>
          <w:szCs w:val="22"/>
        </w:rPr>
        <w:t xml:space="preserve"> households</w:t>
      </w:r>
      <w:r w:rsidR="00781F93" w:rsidRPr="008B375C">
        <w:rPr>
          <w:rFonts w:ascii="Calibri" w:hAnsi="Calibri"/>
          <w:sz w:val="22"/>
          <w:szCs w:val="22"/>
        </w:rPr>
        <w:t xml:space="preserve">. </w:t>
      </w:r>
      <w:r w:rsidR="00F81D0A">
        <w:rPr>
          <w:rFonts w:ascii="Calibri" w:hAnsi="Calibri"/>
          <w:sz w:val="22"/>
          <w:szCs w:val="22"/>
        </w:rPr>
        <w:t xml:space="preserve"> </w:t>
      </w:r>
      <w:r w:rsidR="00781F93">
        <w:rPr>
          <w:rFonts w:ascii="Calibri" w:hAnsi="Calibri"/>
          <w:sz w:val="22"/>
          <w:szCs w:val="22"/>
        </w:rPr>
        <w:t>While a</w:t>
      </w:r>
      <w:r w:rsidR="00781F93" w:rsidRPr="008B375C">
        <w:rPr>
          <w:rFonts w:ascii="Calibri" w:hAnsi="Calibri"/>
          <w:sz w:val="22"/>
          <w:szCs w:val="22"/>
        </w:rPr>
        <w:t xml:space="preserve">lmost half of the homes were assessed </w:t>
      </w:r>
      <w:r w:rsidR="00781F93">
        <w:rPr>
          <w:rFonts w:ascii="Calibri" w:hAnsi="Calibri"/>
          <w:sz w:val="22"/>
          <w:szCs w:val="22"/>
        </w:rPr>
        <w:t>between</w:t>
      </w:r>
      <w:r w:rsidR="00781F93" w:rsidRPr="008B375C">
        <w:rPr>
          <w:rFonts w:ascii="Calibri" w:hAnsi="Calibri"/>
          <w:sz w:val="22"/>
          <w:szCs w:val="22"/>
        </w:rPr>
        <w:t xml:space="preserve"> $500,000 </w:t>
      </w:r>
      <w:r w:rsidR="00781F93">
        <w:rPr>
          <w:rFonts w:ascii="Calibri" w:hAnsi="Calibri"/>
          <w:sz w:val="22"/>
          <w:szCs w:val="22"/>
        </w:rPr>
        <w:t>and</w:t>
      </w:r>
      <w:r w:rsidR="00781F93" w:rsidRPr="008B375C">
        <w:rPr>
          <w:rFonts w:ascii="Calibri" w:hAnsi="Calibri"/>
          <w:sz w:val="22"/>
          <w:szCs w:val="22"/>
        </w:rPr>
        <w:t xml:space="preserve"> $700,000</w:t>
      </w:r>
      <w:r w:rsidR="00781F93">
        <w:rPr>
          <w:rFonts w:ascii="Calibri" w:hAnsi="Calibri"/>
          <w:sz w:val="22"/>
          <w:szCs w:val="22"/>
        </w:rPr>
        <w:t xml:space="preserve"> in Fiscal Year 2014, homes in this range have declined to </w:t>
      </w:r>
      <w:r w:rsidR="00582E26">
        <w:rPr>
          <w:rFonts w:ascii="Calibri" w:hAnsi="Calibri"/>
          <w:sz w:val="22"/>
          <w:szCs w:val="22"/>
        </w:rPr>
        <w:t>18.7</w:t>
      </w:r>
      <w:r w:rsidR="00781F93">
        <w:rPr>
          <w:rFonts w:ascii="Calibri" w:hAnsi="Calibri"/>
          <w:sz w:val="22"/>
          <w:szCs w:val="22"/>
        </w:rPr>
        <w:t>%</w:t>
      </w:r>
      <w:r w:rsidR="00781F93" w:rsidRPr="008B375C">
        <w:rPr>
          <w:rFonts w:ascii="Calibri" w:hAnsi="Calibri"/>
          <w:sz w:val="22"/>
          <w:szCs w:val="22"/>
        </w:rPr>
        <w:t xml:space="preserve">. </w:t>
      </w:r>
      <w:r w:rsidR="00781F93">
        <w:rPr>
          <w:rFonts w:ascii="Calibri" w:hAnsi="Calibri"/>
          <w:sz w:val="22"/>
          <w:szCs w:val="22"/>
        </w:rPr>
        <w:t xml:space="preserve"> In fact, all properties assessed for less than $700,000 decreased from 4,987 homes, or 60% of all single-family units in FY14, to </w:t>
      </w:r>
      <w:r w:rsidR="00582E26">
        <w:rPr>
          <w:rFonts w:ascii="Calibri" w:hAnsi="Calibri"/>
          <w:sz w:val="22"/>
          <w:szCs w:val="22"/>
        </w:rPr>
        <w:t>1,684</w:t>
      </w:r>
      <w:r w:rsidR="00781F93">
        <w:rPr>
          <w:rFonts w:ascii="Calibri" w:hAnsi="Calibri"/>
          <w:sz w:val="22"/>
          <w:szCs w:val="22"/>
        </w:rPr>
        <w:t xml:space="preserve"> units representing </w:t>
      </w:r>
      <w:r w:rsidR="00582E26">
        <w:rPr>
          <w:rFonts w:ascii="Calibri" w:hAnsi="Calibri"/>
          <w:sz w:val="22"/>
          <w:szCs w:val="22"/>
        </w:rPr>
        <w:t>20</w:t>
      </w:r>
      <w:r w:rsidR="00781F93">
        <w:rPr>
          <w:rFonts w:ascii="Calibri" w:hAnsi="Calibri"/>
          <w:sz w:val="22"/>
          <w:szCs w:val="22"/>
        </w:rPr>
        <w:t xml:space="preserve">% of </w:t>
      </w:r>
      <w:r w:rsidR="00F81D0A">
        <w:rPr>
          <w:rFonts w:ascii="Calibri" w:hAnsi="Calibri"/>
          <w:sz w:val="22"/>
          <w:szCs w:val="22"/>
        </w:rPr>
        <w:t>such</w:t>
      </w:r>
      <w:r w:rsidR="00781F93">
        <w:rPr>
          <w:rFonts w:ascii="Calibri" w:hAnsi="Calibri"/>
          <w:sz w:val="22"/>
          <w:szCs w:val="22"/>
        </w:rPr>
        <w:t xml:space="preserve"> units by FY</w:t>
      </w:r>
      <w:r w:rsidR="00DB4213">
        <w:rPr>
          <w:rFonts w:ascii="Calibri" w:hAnsi="Calibri"/>
          <w:sz w:val="22"/>
          <w:szCs w:val="22"/>
        </w:rPr>
        <w:t>2</w:t>
      </w:r>
      <w:r w:rsidR="00582E26">
        <w:rPr>
          <w:rFonts w:ascii="Calibri" w:hAnsi="Calibri"/>
          <w:sz w:val="22"/>
          <w:szCs w:val="22"/>
        </w:rPr>
        <w:t>2</w:t>
      </w:r>
      <w:r w:rsidR="00781F93">
        <w:rPr>
          <w:rFonts w:ascii="Calibri" w:hAnsi="Calibri"/>
          <w:sz w:val="22"/>
          <w:szCs w:val="22"/>
        </w:rPr>
        <w:t xml:space="preserve">.  </w:t>
      </w:r>
    </w:p>
    <w:p w14:paraId="0F0C940D" w14:textId="77777777" w:rsidR="008772FC" w:rsidRPr="004E50E7" w:rsidRDefault="008772FC" w:rsidP="00781F93">
      <w:pPr>
        <w:jc w:val="both"/>
        <w:rPr>
          <w:rFonts w:ascii="Calibri" w:hAnsi="Calibri"/>
          <w:sz w:val="22"/>
        </w:rPr>
      </w:pPr>
    </w:p>
    <w:p w14:paraId="70987429" w14:textId="5EF94CE6" w:rsidR="008772FC" w:rsidRPr="0021450F" w:rsidRDefault="008772FC" w:rsidP="00AA31BB">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rPr>
      </w:pPr>
      <w:r w:rsidRPr="0021450F">
        <w:rPr>
          <w:rFonts w:ascii="Calibri" w:hAnsi="Calibri"/>
        </w:rPr>
        <w:t xml:space="preserve">The bottom line is that there is </w:t>
      </w:r>
      <w:r w:rsidRPr="00781F93">
        <w:rPr>
          <w:rFonts w:ascii="Calibri" w:hAnsi="Calibri"/>
          <w:u w:val="single"/>
        </w:rPr>
        <w:t>very</w:t>
      </w:r>
      <w:r w:rsidRPr="0021450F">
        <w:rPr>
          <w:rFonts w:ascii="Calibri" w:hAnsi="Calibri"/>
        </w:rPr>
        <w:t xml:space="preserve"> little affordability left in Needham’s private housing stock</w:t>
      </w:r>
      <w:r w:rsidR="00AA31BB">
        <w:rPr>
          <w:rFonts w:ascii="Calibri" w:hAnsi="Calibri"/>
        </w:rPr>
        <w:t xml:space="preserve"> for low- and moderate-income households</w:t>
      </w:r>
      <w:r w:rsidRPr="0021450F">
        <w:rPr>
          <w:rFonts w:ascii="Calibri" w:hAnsi="Calibri"/>
        </w:rPr>
        <w:t>.</w:t>
      </w:r>
    </w:p>
    <w:p w14:paraId="23AD4700" w14:textId="77777777" w:rsidR="008772FC" w:rsidRPr="004E50E7" w:rsidRDefault="008772FC" w:rsidP="00456374">
      <w:pPr>
        <w:jc w:val="both"/>
        <w:rPr>
          <w:rFonts w:ascii="Calibri" w:hAnsi="Calibri"/>
          <w:sz w:val="22"/>
        </w:rPr>
      </w:pPr>
    </w:p>
    <w:p w14:paraId="49899973" w14:textId="165C7832" w:rsidR="00EB0578" w:rsidRDefault="0027566D" w:rsidP="00EB0578">
      <w:pPr>
        <w:pStyle w:val="BodyText"/>
        <w:spacing w:after="0"/>
        <w:jc w:val="both"/>
        <w:rPr>
          <w:rFonts w:ascii="Calibri" w:hAnsi="Calibri"/>
          <w:sz w:val="22"/>
          <w:szCs w:val="22"/>
        </w:rPr>
      </w:pPr>
      <w:r>
        <w:rPr>
          <w:rFonts w:ascii="Calibri" w:hAnsi="Calibri"/>
          <w:sz w:val="22"/>
          <w:szCs w:val="22"/>
        </w:rPr>
        <w:t xml:space="preserve">The most striking change involves the number of properties </w:t>
      </w:r>
      <w:r w:rsidR="00563FBA">
        <w:rPr>
          <w:rFonts w:ascii="Calibri" w:hAnsi="Calibri"/>
          <w:sz w:val="22"/>
          <w:szCs w:val="22"/>
        </w:rPr>
        <w:t>assessed for</w:t>
      </w:r>
      <w:r>
        <w:rPr>
          <w:rFonts w:ascii="Calibri" w:hAnsi="Calibri"/>
          <w:sz w:val="22"/>
          <w:szCs w:val="22"/>
        </w:rPr>
        <w:t xml:space="preserve"> more than $1 million, </w:t>
      </w:r>
      <w:r w:rsidR="00FA2AE1">
        <w:rPr>
          <w:rFonts w:ascii="Calibri" w:hAnsi="Calibri"/>
          <w:sz w:val="22"/>
          <w:szCs w:val="22"/>
        </w:rPr>
        <w:t>increasing from</w:t>
      </w:r>
      <w:r w:rsidR="004821E4" w:rsidRPr="008B375C">
        <w:rPr>
          <w:rFonts w:ascii="Calibri" w:hAnsi="Calibri"/>
          <w:sz w:val="22"/>
          <w:szCs w:val="22"/>
        </w:rPr>
        <w:t xml:space="preserve"> 1,322 homes, or 15.8% of the single-family dwellings</w:t>
      </w:r>
      <w:r w:rsidR="00781F93">
        <w:rPr>
          <w:rFonts w:ascii="Calibri" w:hAnsi="Calibri"/>
          <w:sz w:val="22"/>
          <w:szCs w:val="22"/>
        </w:rPr>
        <w:t xml:space="preserve"> in FY14,</w:t>
      </w:r>
      <w:r w:rsidR="004821E4" w:rsidRPr="008B375C">
        <w:rPr>
          <w:rFonts w:ascii="Calibri" w:hAnsi="Calibri"/>
          <w:sz w:val="22"/>
          <w:szCs w:val="22"/>
        </w:rPr>
        <w:t xml:space="preserve"> </w:t>
      </w:r>
      <w:r w:rsidR="00FA2AE1">
        <w:rPr>
          <w:rFonts w:ascii="Calibri" w:hAnsi="Calibri"/>
          <w:sz w:val="22"/>
          <w:szCs w:val="22"/>
        </w:rPr>
        <w:t xml:space="preserve">to </w:t>
      </w:r>
      <w:r w:rsidR="007D204C">
        <w:rPr>
          <w:rFonts w:ascii="Calibri" w:hAnsi="Calibri"/>
          <w:sz w:val="22"/>
          <w:szCs w:val="22"/>
        </w:rPr>
        <w:t>3,062</w:t>
      </w:r>
      <w:r w:rsidR="00FA2AE1">
        <w:rPr>
          <w:rFonts w:ascii="Calibri" w:hAnsi="Calibri"/>
          <w:sz w:val="22"/>
          <w:szCs w:val="22"/>
        </w:rPr>
        <w:t xml:space="preserve"> or 3</w:t>
      </w:r>
      <w:r w:rsidR="007D204C">
        <w:rPr>
          <w:rFonts w:ascii="Calibri" w:hAnsi="Calibri"/>
          <w:sz w:val="22"/>
          <w:szCs w:val="22"/>
        </w:rPr>
        <w:t>6.4</w:t>
      </w:r>
      <w:r w:rsidR="00FA2AE1">
        <w:rPr>
          <w:rFonts w:ascii="Calibri" w:hAnsi="Calibri"/>
          <w:sz w:val="22"/>
          <w:szCs w:val="22"/>
        </w:rPr>
        <w:t>% in FY</w:t>
      </w:r>
      <w:r w:rsidR="00DB4213">
        <w:rPr>
          <w:rFonts w:ascii="Calibri" w:hAnsi="Calibri"/>
          <w:sz w:val="22"/>
          <w:szCs w:val="22"/>
        </w:rPr>
        <w:t>2</w:t>
      </w:r>
      <w:r w:rsidR="007D204C">
        <w:rPr>
          <w:rFonts w:ascii="Calibri" w:hAnsi="Calibri"/>
          <w:sz w:val="22"/>
          <w:szCs w:val="22"/>
        </w:rPr>
        <w:t>2</w:t>
      </w:r>
      <w:r w:rsidR="004821E4" w:rsidRPr="008B375C">
        <w:rPr>
          <w:rFonts w:ascii="Calibri" w:hAnsi="Calibri"/>
          <w:sz w:val="22"/>
          <w:szCs w:val="22"/>
        </w:rPr>
        <w:t xml:space="preserve">.  </w:t>
      </w:r>
      <w:r w:rsidR="00EB0578">
        <w:rPr>
          <w:rFonts w:ascii="Calibri" w:hAnsi="Calibri"/>
          <w:sz w:val="22"/>
          <w:szCs w:val="22"/>
        </w:rPr>
        <w:t>The highest assessment was $5,6</w:t>
      </w:r>
      <w:r w:rsidR="007D204C">
        <w:rPr>
          <w:rFonts w:ascii="Calibri" w:hAnsi="Calibri"/>
          <w:sz w:val="22"/>
          <w:szCs w:val="22"/>
        </w:rPr>
        <w:t>49,600</w:t>
      </w:r>
      <w:r w:rsidR="00EB0578">
        <w:rPr>
          <w:rFonts w:ascii="Calibri" w:hAnsi="Calibri"/>
          <w:sz w:val="22"/>
          <w:szCs w:val="22"/>
        </w:rPr>
        <w:t xml:space="preserve"> for a property with 43 acres and 12,400 square feet of living space on South Street.</w:t>
      </w:r>
    </w:p>
    <w:p w14:paraId="3ED0B16F" w14:textId="77777777" w:rsidR="00EB0578" w:rsidRDefault="00EB0578" w:rsidP="00EB0578">
      <w:pPr>
        <w:pStyle w:val="BodyText"/>
        <w:spacing w:after="0"/>
        <w:jc w:val="both"/>
        <w:rPr>
          <w:rFonts w:ascii="Calibri" w:hAnsi="Calibri"/>
          <w:sz w:val="22"/>
          <w:szCs w:val="22"/>
        </w:rPr>
      </w:pPr>
    </w:p>
    <w:p w14:paraId="6733D54D" w14:textId="07FBD463" w:rsidR="00FE7D3A" w:rsidRPr="00EB0578" w:rsidRDefault="00FA2AE1" w:rsidP="00EB0578">
      <w:pPr>
        <w:pStyle w:val="BodyText"/>
        <w:spacing w:after="0"/>
        <w:jc w:val="both"/>
        <w:rPr>
          <w:rFonts w:ascii="Calibri" w:hAnsi="Calibri"/>
          <w:b/>
          <w:sz w:val="22"/>
          <w:szCs w:val="22"/>
        </w:rPr>
      </w:pPr>
      <w:r w:rsidRPr="00EB0578">
        <w:rPr>
          <w:rFonts w:ascii="Calibri" w:hAnsi="Calibri"/>
          <w:b/>
          <w:sz w:val="22"/>
          <w:szCs w:val="22"/>
        </w:rPr>
        <w:t>Th</w:t>
      </w:r>
      <w:r w:rsidR="00781F93" w:rsidRPr="00EB0578">
        <w:rPr>
          <w:rFonts w:ascii="Calibri" w:hAnsi="Calibri"/>
          <w:b/>
          <w:sz w:val="22"/>
          <w:szCs w:val="22"/>
        </w:rPr>
        <w:t>e</w:t>
      </w:r>
      <w:r w:rsidRPr="00EB0578">
        <w:rPr>
          <w:rFonts w:ascii="Calibri" w:hAnsi="Calibri"/>
          <w:b/>
          <w:sz w:val="22"/>
          <w:szCs w:val="22"/>
        </w:rPr>
        <w:t xml:space="preserve"> loss in lower-valued properties</w:t>
      </w:r>
      <w:r w:rsidR="00781F93" w:rsidRPr="00EB0578">
        <w:rPr>
          <w:rFonts w:ascii="Calibri" w:hAnsi="Calibri"/>
          <w:b/>
          <w:sz w:val="22"/>
          <w:szCs w:val="22"/>
        </w:rPr>
        <w:t xml:space="preserve"> and growth</w:t>
      </w:r>
      <w:r w:rsidRPr="00EB0578">
        <w:rPr>
          <w:rFonts w:ascii="Calibri" w:hAnsi="Calibri"/>
          <w:b/>
          <w:sz w:val="22"/>
          <w:szCs w:val="22"/>
        </w:rPr>
        <w:t xml:space="preserve"> </w:t>
      </w:r>
      <w:r w:rsidR="00563FBA">
        <w:rPr>
          <w:rFonts w:ascii="Calibri" w:hAnsi="Calibri"/>
          <w:b/>
          <w:sz w:val="22"/>
          <w:szCs w:val="22"/>
        </w:rPr>
        <w:t>in</w:t>
      </w:r>
      <w:r w:rsidRPr="00EB0578">
        <w:rPr>
          <w:rFonts w:ascii="Calibri" w:hAnsi="Calibri"/>
          <w:b/>
          <w:sz w:val="22"/>
          <w:szCs w:val="22"/>
        </w:rPr>
        <w:t xml:space="preserve"> high-end market</w:t>
      </w:r>
      <w:r w:rsidR="00781F93" w:rsidRPr="00EB0578">
        <w:rPr>
          <w:rFonts w:ascii="Calibri" w:hAnsi="Calibri"/>
          <w:b/>
          <w:sz w:val="22"/>
          <w:szCs w:val="22"/>
        </w:rPr>
        <w:t xml:space="preserve"> units</w:t>
      </w:r>
      <w:r w:rsidRPr="00EB0578">
        <w:rPr>
          <w:rFonts w:ascii="Calibri" w:hAnsi="Calibri"/>
          <w:b/>
          <w:sz w:val="22"/>
          <w:szCs w:val="22"/>
        </w:rPr>
        <w:t xml:space="preserve"> clearly corresponds to the </w:t>
      </w:r>
      <w:r w:rsidR="00EB0578" w:rsidRPr="00EB0578">
        <w:rPr>
          <w:rFonts w:ascii="Calibri" w:hAnsi="Calibri"/>
          <w:b/>
          <w:sz w:val="22"/>
          <w:szCs w:val="22"/>
        </w:rPr>
        <w:t>substantial amount of</w:t>
      </w:r>
      <w:r w:rsidRPr="00EB0578">
        <w:rPr>
          <w:rFonts w:ascii="Calibri" w:hAnsi="Calibri"/>
          <w:b/>
          <w:sz w:val="22"/>
          <w:szCs w:val="22"/>
        </w:rPr>
        <w:t xml:space="preserve"> demolition and replacement activity </w:t>
      </w:r>
      <w:r w:rsidR="00781F93" w:rsidRPr="00EB0578">
        <w:rPr>
          <w:rFonts w:ascii="Calibri" w:hAnsi="Calibri"/>
          <w:b/>
          <w:sz w:val="22"/>
          <w:szCs w:val="22"/>
        </w:rPr>
        <w:t xml:space="preserve">that has </w:t>
      </w:r>
      <w:r w:rsidR="00563FBA">
        <w:rPr>
          <w:rFonts w:ascii="Calibri" w:hAnsi="Calibri"/>
          <w:b/>
          <w:sz w:val="22"/>
          <w:szCs w:val="22"/>
        </w:rPr>
        <w:t xml:space="preserve">been </w:t>
      </w:r>
      <w:r w:rsidR="00781F93" w:rsidRPr="00EB0578">
        <w:rPr>
          <w:rFonts w:ascii="Calibri" w:hAnsi="Calibri"/>
          <w:b/>
          <w:sz w:val="22"/>
          <w:szCs w:val="22"/>
        </w:rPr>
        <w:t>tak</w:t>
      </w:r>
      <w:r w:rsidR="00563FBA">
        <w:rPr>
          <w:rFonts w:ascii="Calibri" w:hAnsi="Calibri"/>
          <w:b/>
          <w:sz w:val="22"/>
          <w:szCs w:val="22"/>
        </w:rPr>
        <w:t>ing</w:t>
      </w:r>
      <w:r w:rsidR="00781F93" w:rsidRPr="00EB0578">
        <w:rPr>
          <w:rFonts w:ascii="Calibri" w:hAnsi="Calibri"/>
          <w:b/>
          <w:sz w:val="22"/>
          <w:szCs w:val="22"/>
        </w:rPr>
        <w:t xml:space="preserve"> place in the community </w:t>
      </w:r>
      <w:r w:rsidR="00EB0578" w:rsidRPr="00EB0578">
        <w:rPr>
          <w:rFonts w:ascii="Calibri" w:hAnsi="Calibri"/>
          <w:b/>
          <w:sz w:val="22"/>
          <w:szCs w:val="22"/>
        </w:rPr>
        <w:t xml:space="preserve">where small, less </w:t>
      </w:r>
      <w:r w:rsidR="007A335B">
        <w:rPr>
          <w:rFonts w:ascii="Calibri" w:hAnsi="Calibri"/>
          <w:b/>
          <w:sz w:val="22"/>
          <w:szCs w:val="22"/>
        </w:rPr>
        <w:t>expensive</w:t>
      </w:r>
      <w:r w:rsidR="00EB0578" w:rsidRPr="00EB0578">
        <w:rPr>
          <w:rFonts w:ascii="Calibri" w:hAnsi="Calibri"/>
          <w:b/>
          <w:sz w:val="22"/>
          <w:szCs w:val="22"/>
        </w:rPr>
        <w:t xml:space="preserve"> homes</w:t>
      </w:r>
      <w:r w:rsidRPr="00EB0578">
        <w:rPr>
          <w:rFonts w:ascii="Calibri" w:hAnsi="Calibri"/>
          <w:b/>
          <w:sz w:val="22"/>
          <w:szCs w:val="22"/>
        </w:rPr>
        <w:t xml:space="preserve"> have been replaced by much larger and pric</w:t>
      </w:r>
      <w:r w:rsidR="00781F93" w:rsidRPr="00EB0578">
        <w:rPr>
          <w:rFonts w:ascii="Calibri" w:hAnsi="Calibri"/>
          <w:b/>
          <w:sz w:val="22"/>
          <w:szCs w:val="22"/>
        </w:rPr>
        <w:t>ier</w:t>
      </w:r>
      <w:r w:rsidRPr="00EB0578">
        <w:rPr>
          <w:rFonts w:ascii="Calibri" w:hAnsi="Calibri"/>
          <w:b/>
          <w:sz w:val="22"/>
          <w:szCs w:val="22"/>
        </w:rPr>
        <w:t xml:space="preserve"> </w:t>
      </w:r>
      <w:r w:rsidR="00EB0578" w:rsidRPr="00EB0578">
        <w:rPr>
          <w:rFonts w:ascii="Calibri" w:hAnsi="Calibri"/>
          <w:b/>
          <w:sz w:val="22"/>
          <w:szCs w:val="22"/>
        </w:rPr>
        <w:t>ones</w:t>
      </w:r>
      <w:r w:rsidRPr="00EB0578">
        <w:rPr>
          <w:rFonts w:ascii="Calibri" w:hAnsi="Calibri"/>
          <w:b/>
          <w:sz w:val="22"/>
          <w:szCs w:val="22"/>
        </w:rPr>
        <w:t>.</w:t>
      </w:r>
      <w:r w:rsidR="00AD04C1" w:rsidRPr="00EB0578">
        <w:rPr>
          <w:rFonts w:ascii="Calibri" w:hAnsi="Calibri"/>
          <w:b/>
          <w:sz w:val="22"/>
          <w:szCs w:val="22"/>
        </w:rPr>
        <w:t xml:space="preserve">  Th</w:t>
      </w:r>
      <w:r w:rsidR="00113B17">
        <w:rPr>
          <w:rFonts w:ascii="Calibri" w:hAnsi="Calibri"/>
          <w:b/>
          <w:sz w:val="22"/>
          <w:szCs w:val="22"/>
        </w:rPr>
        <w:t>e</w:t>
      </w:r>
      <w:r w:rsidR="00AD04C1" w:rsidRPr="00EB0578">
        <w:rPr>
          <w:rFonts w:ascii="Calibri" w:hAnsi="Calibri"/>
          <w:b/>
          <w:sz w:val="22"/>
          <w:szCs w:val="22"/>
        </w:rPr>
        <w:t xml:space="preserve"> dramatic uptick in Needham’s housing market</w:t>
      </w:r>
      <w:r w:rsidR="00113B17">
        <w:rPr>
          <w:rFonts w:ascii="Calibri" w:hAnsi="Calibri"/>
          <w:b/>
          <w:sz w:val="22"/>
          <w:szCs w:val="22"/>
        </w:rPr>
        <w:t>, particularly the luxury market,</w:t>
      </w:r>
      <w:r w:rsidR="00AD04C1" w:rsidRPr="00EB0578">
        <w:rPr>
          <w:rFonts w:ascii="Calibri" w:hAnsi="Calibri"/>
          <w:b/>
          <w:sz w:val="22"/>
          <w:szCs w:val="22"/>
        </w:rPr>
        <w:t xml:space="preserve"> is visually presented in Figure </w:t>
      </w:r>
      <w:r w:rsidR="007D204C">
        <w:rPr>
          <w:rFonts w:ascii="Calibri" w:hAnsi="Calibri"/>
          <w:b/>
          <w:sz w:val="22"/>
          <w:szCs w:val="22"/>
        </w:rPr>
        <w:t>III-11</w:t>
      </w:r>
      <w:r w:rsidR="00AD04C1" w:rsidRPr="00EB0578">
        <w:rPr>
          <w:rFonts w:ascii="Calibri" w:hAnsi="Calibri"/>
          <w:b/>
          <w:sz w:val="22"/>
          <w:szCs w:val="22"/>
        </w:rPr>
        <w:t>.</w:t>
      </w:r>
    </w:p>
    <w:p w14:paraId="4A8ACCFB" w14:textId="77777777" w:rsidR="00EB0578" w:rsidRDefault="00EB0578" w:rsidP="00EB0578">
      <w:pPr>
        <w:pStyle w:val="BodyText"/>
        <w:spacing w:after="0"/>
        <w:jc w:val="both"/>
        <w:rPr>
          <w:rFonts w:ascii="Calibri" w:hAnsi="Calibri"/>
          <w:sz w:val="22"/>
          <w:szCs w:val="22"/>
        </w:rPr>
      </w:pPr>
    </w:p>
    <w:p w14:paraId="49E68323" w14:textId="06390685" w:rsidR="00EB0578" w:rsidRDefault="00781F93" w:rsidP="00781F93">
      <w:pPr>
        <w:jc w:val="both"/>
        <w:rPr>
          <w:rFonts w:ascii="Calibri" w:hAnsi="Calibri"/>
          <w:sz w:val="22"/>
          <w:szCs w:val="22"/>
        </w:rPr>
      </w:pPr>
      <w:r w:rsidRPr="004E50E7">
        <w:rPr>
          <w:rFonts w:ascii="Calibri" w:hAnsi="Calibri"/>
          <w:sz w:val="22"/>
          <w:szCs w:val="22"/>
        </w:rPr>
        <w:t xml:space="preserve">There were </w:t>
      </w:r>
      <w:r w:rsidR="007D204C">
        <w:rPr>
          <w:rFonts w:ascii="Calibri" w:hAnsi="Calibri"/>
          <w:sz w:val="22"/>
          <w:szCs w:val="22"/>
        </w:rPr>
        <w:t>988</w:t>
      </w:r>
      <w:r>
        <w:rPr>
          <w:rFonts w:ascii="Calibri" w:hAnsi="Calibri"/>
          <w:sz w:val="22"/>
          <w:szCs w:val="22"/>
        </w:rPr>
        <w:t xml:space="preserve"> </w:t>
      </w:r>
      <w:r w:rsidRPr="004E50E7">
        <w:rPr>
          <w:rFonts w:ascii="Calibri" w:hAnsi="Calibri"/>
          <w:sz w:val="22"/>
          <w:szCs w:val="22"/>
        </w:rPr>
        <w:t>condo</w:t>
      </w:r>
      <w:r w:rsidR="00A05A8E">
        <w:rPr>
          <w:rFonts w:ascii="Calibri" w:hAnsi="Calibri"/>
          <w:sz w:val="22"/>
          <w:szCs w:val="22"/>
        </w:rPr>
        <w:t xml:space="preserve"> unit</w:t>
      </w:r>
      <w:r w:rsidRPr="004E50E7">
        <w:rPr>
          <w:rFonts w:ascii="Calibri" w:hAnsi="Calibri"/>
          <w:sz w:val="22"/>
          <w:szCs w:val="22"/>
        </w:rPr>
        <w:t xml:space="preserve">s counted in Assessor’s records, </w:t>
      </w:r>
      <w:r>
        <w:rPr>
          <w:rFonts w:ascii="Calibri" w:hAnsi="Calibri"/>
          <w:sz w:val="22"/>
          <w:szCs w:val="22"/>
        </w:rPr>
        <w:t xml:space="preserve">up from 791 in FY14, </w:t>
      </w:r>
      <w:r w:rsidRPr="004E50E7">
        <w:rPr>
          <w:rFonts w:ascii="Calibri" w:hAnsi="Calibri"/>
          <w:sz w:val="22"/>
          <w:szCs w:val="22"/>
        </w:rPr>
        <w:t>comprising</w:t>
      </w:r>
      <w:r>
        <w:rPr>
          <w:rFonts w:ascii="Calibri" w:hAnsi="Calibri"/>
          <w:sz w:val="22"/>
          <w:szCs w:val="22"/>
        </w:rPr>
        <w:t xml:space="preserve"> about 8.</w:t>
      </w:r>
      <w:r w:rsidR="007D204C">
        <w:rPr>
          <w:rFonts w:ascii="Calibri" w:hAnsi="Calibri"/>
          <w:sz w:val="22"/>
          <w:szCs w:val="22"/>
        </w:rPr>
        <w:t>3</w:t>
      </w:r>
      <w:r w:rsidRPr="004E50E7">
        <w:rPr>
          <w:rFonts w:ascii="Calibri" w:hAnsi="Calibri"/>
          <w:sz w:val="22"/>
          <w:szCs w:val="22"/>
        </w:rPr>
        <w:t>% of all housing units and thus represent</w:t>
      </w:r>
      <w:r>
        <w:rPr>
          <w:rFonts w:ascii="Calibri" w:hAnsi="Calibri"/>
          <w:sz w:val="22"/>
          <w:szCs w:val="22"/>
        </w:rPr>
        <w:t>ing</w:t>
      </w:r>
      <w:r w:rsidRPr="004E50E7">
        <w:rPr>
          <w:rFonts w:ascii="Calibri" w:hAnsi="Calibri"/>
          <w:sz w:val="22"/>
          <w:szCs w:val="22"/>
        </w:rPr>
        <w:t xml:space="preserve"> a relatively small segment of Needham’s housing market.  </w:t>
      </w:r>
      <w:r w:rsidR="00AD04C1">
        <w:rPr>
          <w:rFonts w:ascii="Calibri" w:hAnsi="Calibri"/>
          <w:sz w:val="22"/>
          <w:szCs w:val="22"/>
        </w:rPr>
        <w:t>The growth in condos has occurred largely by the conversion of two-family dwellings to high-priced condominium</w:t>
      </w:r>
      <w:r w:rsidR="00A05A8E">
        <w:rPr>
          <w:rFonts w:ascii="Calibri" w:hAnsi="Calibri"/>
          <w:sz w:val="22"/>
          <w:szCs w:val="22"/>
        </w:rPr>
        <w:t xml:space="preserve"> unit</w:t>
      </w:r>
      <w:r w:rsidR="00AD04C1">
        <w:rPr>
          <w:rFonts w:ascii="Calibri" w:hAnsi="Calibri"/>
          <w:sz w:val="22"/>
          <w:szCs w:val="22"/>
        </w:rPr>
        <w:t xml:space="preserve">s.  Nevertheless, </w:t>
      </w:r>
      <w:r w:rsidRPr="004E50E7">
        <w:rPr>
          <w:rFonts w:ascii="Calibri" w:hAnsi="Calibri"/>
          <w:sz w:val="22"/>
          <w:szCs w:val="22"/>
        </w:rPr>
        <w:t xml:space="preserve">condos were assessed </w:t>
      </w:r>
      <w:r w:rsidR="00EB0578">
        <w:rPr>
          <w:rFonts w:ascii="Calibri" w:hAnsi="Calibri"/>
          <w:sz w:val="22"/>
          <w:szCs w:val="22"/>
        </w:rPr>
        <w:t xml:space="preserve">generally </w:t>
      </w:r>
      <w:r w:rsidRPr="004E50E7">
        <w:rPr>
          <w:rFonts w:ascii="Calibri" w:hAnsi="Calibri"/>
          <w:sz w:val="22"/>
          <w:szCs w:val="22"/>
        </w:rPr>
        <w:t xml:space="preserve">more affordably than </w:t>
      </w:r>
      <w:r>
        <w:rPr>
          <w:rFonts w:ascii="Calibri" w:hAnsi="Calibri"/>
          <w:sz w:val="22"/>
          <w:szCs w:val="22"/>
        </w:rPr>
        <w:t xml:space="preserve">the </w:t>
      </w:r>
      <w:r w:rsidRPr="004E50E7">
        <w:rPr>
          <w:rFonts w:ascii="Calibri" w:hAnsi="Calibri"/>
          <w:sz w:val="22"/>
          <w:szCs w:val="22"/>
        </w:rPr>
        <w:t>single-family homes with the median value of $</w:t>
      </w:r>
      <w:r w:rsidR="007D204C">
        <w:rPr>
          <w:rFonts w:ascii="Calibri" w:hAnsi="Calibri"/>
          <w:sz w:val="22"/>
          <w:szCs w:val="22"/>
        </w:rPr>
        <w:t>698,300</w:t>
      </w:r>
      <w:r w:rsidR="00AD04C1">
        <w:rPr>
          <w:rFonts w:ascii="Calibri" w:hAnsi="Calibri"/>
          <w:sz w:val="22"/>
          <w:szCs w:val="22"/>
        </w:rPr>
        <w:t xml:space="preserve"> compared to $</w:t>
      </w:r>
      <w:r w:rsidR="007D204C">
        <w:rPr>
          <w:rFonts w:ascii="Calibri" w:hAnsi="Calibri"/>
          <w:sz w:val="22"/>
          <w:szCs w:val="22"/>
        </w:rPr>
        <w:t>876,300</w:t>
      </w:r>
      <w:r w:rsidR="00AD04C1">
        <w:rPr>
          <w:rFonts w:ascii="Calibri" w:hAnsi="Calibri"/>
          <w:sz w:val="22"/>
          <w:szCs w:val="22"/>
        </w:rPr>
        <w:t xml:space="preserve"> for </w:t>
      </w:r>
      <w:r w:rsidRPr="004E50E7">
        <w:rPr>
          <w:rFonts w:ascii="Calibri" w:hAnsi="Calibri"/>
          <w:sz w:val="22"/>
          <w:szCs w:val="22"/>
        </w:rPr>
        <w:t>the single-fami</w:t>
      </w:r>
      <w:r w:rsidR="00AF2462">
        <w:rPr>
          <w:rFonts w:ascii="Calibri" w:hAnsi="Calibri"/>
          <w:sz w:val="22"/>
          <w:szCs w:val="22"/>
        </w:rPr>
        <w:t xml:space="preserve">ly homes </w:t>
      </w:r>
      <w:r w:rsidR="00212E96">
        <w:rPr>
          <w:rFonts w:ascii="Calibri" w:hAnsi="Calibri"/>
          <w:sz w:val="22"/>
          <w:szCs w:val="22"/>
        </w:rPr>
        <w:t>with a</w:t>
      </w:r>
      <w:r w:rsidR="00AF2462">
        <w:rPr>
          <w:rFonts w:ascii="Calibri" w:hAnsi="Calibri"/>
          <w:sz w:val="22"/>
          <w:szCs w:val="22"/>
        </w:rPr>
        <w:t xml:space="preserve"> range of values</w:t>
      </w:r>
      <w:r w:rsidR="000D158D">
        <w:rPr>
          <w:rFonts w:ascii="Calibri" w:hAnsi="Calibri"/>
          <w:sz w:val="22"/>
          <w:szCs w:val="22"/>
        </w:rPr>
        <w:t xml:space="preserve"> from $</w:t>
      </w:r>
      <w:r w:rsidR="00C40BBE">
        <w:rPr>
          <w:rFonts w:ascii="Calibri" w:hAnsi="Calibri"/>
          <w:sz w:val="22"/>
          <w:szCs w:val="22"/>
        </w:rPr>
        <w:t>111,400</w:t>
      </w:r>
      <w:r w:rsidR="000D158D">
        <w:rPr>
          <w:rFonts w:ascii="Calibri" w:hAnsi="Calibri"/>
          <w:sz w:val="22"/>
          <w:szCs w:val="22"/>
        </w:rPr>
        <w:t xml:space="preserve"> for a deed restricted affordable unit to $1,</w:t>
      </w:r>
      <w:r w:rsidR="00870988">
        <w:rPr>
          <w:rFonts w:ascii="Calibri" w:hAnsi="Calibri"/>
          <w:sz w:val="22"/>
          <w:szCs w:val="22"/>
        </w:rPr>
        <w:t>690,900</w:t>
      </w:r>
      <w:r w:rsidR="000D158D">
        <w:rPr>
          <w:rFonts w:ascii="Calibri" w:hAnsi="Calibri"/>
          <w:sz w:val="22"/>
          <w:szCs w:val="22"/>
        </w:rPr>
        <w:t xml:space="preserve"> for a condo </w:t>
      </w:r>
      <w:r w:rsidR="00870988">
        <w:rPr>
          <w:rFonts w:ascii="Calibri" w:hAnsi="Calibri"/>
          <w:sz w:val="22"/>
          <w:szCs w:val="22"/>
        </w:rPr>
        <w:t>on Maple Street</w:t>
      </w:r>
      <w:r w:rsidR="000D158D">
        <w:rPr>
          <w:rFonts w:ascii="Calibri" w:hAnsi="Calibri"/>
          <w:sz w:val="22"/>
          <w:szCs w:val="22"/>
        </w:rPr>
        <w:t>.</w:t>
      </w:r>
      <w:r w:rsidR="00EB0578">
        <w:rPr>
          <w:rStyle w:val="FootnoteReference"/>
          <w:rFonts w:ascii="Calibri" w:hAnsi="Calibri"/>
          <w:sz w:val="22"/>
          <w:szCs w:val="22"/>
        </w:rPr>
        <w:footnoteReference w:id="23"/>
      </w:r>
      <w:r>
        <w:rPr>
          <w:rFonts w:ascii="Calibri" w:hAnsi="Calibri"/>
          <w:sz w:val="22"/>
          <w:szCs w:val="22"/>
        </w:rPr>
        <w:t xml:space="preserve">  </w:t>
      </w:r>
    </w:p>
    <w:p w14:paraId="2B41BA45" w14:textId="77777777" w:rsidR="00563FBA" w:rsidRDefault="00563FBA" w:rsidP="00781F93">
      <w:pPr>
        <w:jc w:val="both"/>
        <w:rPr>
          <w:rFonts w:ascii="Calibri" w:hAnsi="Calibri"/>
          <w:sz w:val="22"/>
          <w:szCs w:val="22"/>
        </w:rPr>
      </w:pPr>
    </w:p>
    <w:p w14:paraId="1393B9C4" w14:textId="630F9502" w:rsidR="00964FCD" w:rsidRDefault="00EB0578" w:rsidP="007A335B">
      <w:pPr>
        <w:jc w:val="both"/>
        <w:rPr>
          <w:rFonts w:ascii="Calibri" w:hAnsi="Calibri"/>
          <w:sz w:val="22"/>
          <w:szCs w:val="22"/>
        </w:rPr>
      </w:pPr>
      <w:r>
        <w:rPr>
          <w:rFonts w:ascii="Calibri" w:hAnsi="Calibri"/>
          <w:sz w:val="22"/>
          <w:szCs w:val="22"/>
        </w:rPr>
        <w:t xml:space="preserve">Many of the </w:t>
      </w:r>
      <w:r w:rsidR="00870988">
        <w:rPr>
          <w:rFonts w:ascii="Calibri" w:hAnsi="Calibri"/>
          <w:sz w:val="22"/>
          <w:szCs w:val="22"/>
        </w:rPr>
        <w:t>22</w:t>
      </w:r>
      <w:r>
        <w:rPr>
          <w:rFonts w:ascii="Calibri" w:hAnsi="Calibri"/>
          <w:sz w:val="22"/>
          <w:szCs w:val="22"/>
        </w:rPr>
        <w:t xml:space="preserve"> condos with assessments below $200,000 were deed restricted and part of the Town’s Subsidized Housing Inventory</w:t>
      </w:r>
      <w:r w:rsidR="00870988">
        <w:rPr>
          <w:rFonts w:ascii="Calibri" w:hAnsi="Calibri"/>
          <w:sz w:val="22"/>
          <w:szCs w:val="22"/>
        </w:rPr>
        <w:t xml:space="preserve"> (SHI)</w:t>
      </w:r>
      <w:r>
        <w:rPr>
          <w:rFonts w:ascii="Calibri" w:hAnsi="Calibri"/>
          <w:sz w:val="22"/>
          <w:szCs w:val="22"/>
        </w:rPr>
        <w:t>.  Altogether, almost 1</w:t>
      </w:r>
      <w:r w:rsidR="00870988">
        <w:rPr>
          <w:rFonts w:ascii="Calibri" w:hAnsi="Calibri"/>
          <w:sz w:val="22"/>
          <w:szCs w:val="22"/>
        </w:rPr>
        <w:t>2</w:t>
      </w:r>
      <w:r>
        <w:rPr>
          <w:rFonts w:ascii="Calibri" w:hAnsi="Calibri"/>
          <w:sz w:val="22"/>
          <w:szCs w:val="22"/>
        </w:rPr>
        <w:t xml:space="preserve">% of the </w:t>
      </w:r>
      <w:r w:rsidR="00781F93">
        <w:rPr>
          <w:rFonts w:ascii="Calibri" w:hAnsi="Calibri"/>
          <w:sz w:val="22"/>
          <w:szCs w:val="22"/>
        </w:rPr>
        <w:t xml:space="preserve">condos were </w:t>
      </w:r>
      <w:r w:rsidR="00781F93" w:rsidRPr="004E50E7">
        <w:rPr>
          <w:rFonts w:ascii="Calibri" w:hAnsi="Calibri"/>
          <w:sz w:val="22"/>
          <w:szCs w:val="22"/>
        </w:rPr>
        <w:t>assessed below $300,000</w:t>
      </w:r>
      <w:r>
        <w:rPr>
          <w:rFonts w:ascii="Calibri" w:hAnsi="Calibri"/>
          <w:sz w:val="22"/>
          <w:szCs w:val="22"/>
        </w:rPr>
        <w:t>, down considerably from 40% in FY14.</w:t>
      </w:r>
      <w:r w:rsidR="00781F93" w:rsidRPr="004E50E7">
        <w:rPr>
          <w:rFonts w:ascii="Calibri" w:hAnsi="Calibri"/>
          <w:sz w:val="22"/>
          <w:szCs w:val="22"/>
        </w:rPr>
        <w:t xml:space="preserve"> </w:t>
      </w:r>
      <w:r w:rsidR="00964FCD">
        <w:rPr>
          <w:rFonts w:ascii="Calibri" w:hAnsi="Calibri"/>
          <w:sz w:val="22"/>
          <w:szCs w:val="22"/>
        </w:rPr>
        <w:t xml:space="preserve"> Condos with assessments between $300,000 and $500,000 increased from 22.7% to 28.</w:t>
      </w:r>
      <w:r w:rsidR="00870988">
        <w:rPr>
          <w:rFonts w:ascii="Calibri" w:hAnsi="Calibri"/>
          <w:sz w:val="22"/>
          <w:szCs w:val="22"/>
        </w:rPr>
        <w:t>7</w:t>
      </w:r>
      <w:r w:rsidR="00964FCD">
        <w:rPr>
          <w:rFonts w:ascii="Calibri" w:hAnsi="Calibri"/>
          <w:sz w:val="22"/>
          <w:szCs w:val="22"/>
        </w:rPr>
        <w:t>% between FY14 and FY</w:t>
      </w:r>
      <w:r w:rsidR="00DB4213">
        <w:rPr>
          <w:rFonts w:ascii="Calibri" w:hAnsi="Calibri"/>
          <w:sz w:val="22"/>
          <w:szCs w:val="22"/>
        </w:rPr>
        <w:t>2</w:t>
      </w:r>
      <w:r w:rsidR="00870988">
        <w:rPr>
          <w:rFonts w:ascii="Calibri" w:hAnsi="Calibri"/>
          <w:sz w:val="22"/>
          <w:szCs w:val="22"/>
        </w:rPr>
        <w:t>2</w:t>
      </w:r>
      <w:r w:rsidR="00964FCD">
        <w:rPr>
          <w:rFonts w:ascii="Calibri" w:hAnsi="Calibri"/>
          <w:sz w:val="22"/>
          <w:szCs w:val="22"/>
        </w:rPr>
        <w:t xml:space="preserve">.  Those higher end condos valued at more than $500,000 increased from one-third to </w:t>
      </w:r>
      <w:r w:rsidR="00870988">
        <w:rPr>
          <w:rFonts w:ascii="Calibri" w:hAnsi="Calibri"/>
          <w:sz w:val="22"/>
          <w:szCs w:val="22"/>
        </w:rPr>
        <w:t>60%</w:t>
      </w:r>
      <w:r w:rsidR="00964FCD">
        <w:rPr>
          <w:rFonts w:ascii="Calibri" w:hAnsi="Calibri"/>
          <w:sz w:val="22"/>
          <w:szCs w:val="22"/>
        </w:rPr>
        <w:t xml:space="preserve"> of all condos during this period, including </w:t>
      </w:r>
      <w:r w:rsidR="00870988">
        <w:rPr>
          <w:rFonts w:ascii="Calibri" w:hAnsi="Calibri"/>
          <w:sz w:val="22"/>
          <w:szCs w:val="22"/>
        </w:rPr>
        <w:t>156</w:t>
      </w:r>
      <w:r w:rsidR="00964FCD">
        <w:rPr>
          <w:rFonts w:ascii="Calibri" w:hAnsi="Calibri"/>
          <w:sz w:val="22"/>
          <w:szCs w:val="22"/>
        </w:rPr>
        <w:t xml:space="preserve"> condos assessed for more than $1 million in FY</w:t>
      </w:r>
      <w:r w:rsidR="00DB4213">
        <w:rPr>
          <w:rFonts w:ascii="Calibri" w:hAnsi="Calibri"/>
          <w:sz w:val="22"/>
          <w:szCs w:val="22"/>
        </w:rPr>
        <w:t>2</w:t>
      </w:r>
      <w:r w:rsidR="00870988">
        <w:rPr>
          <w:rFonts w:ascii="Calibri" w:hAnsi="Calibri"/>
          <w:sz w:val="22"/>
          <w:szCs w:val="22"/>
        </w:rPr>
        <w:t>2</w:t>
      </w:r>
      <w:r w:rsidR="00964FCD">
        <w:rPr>
          <w:rFonts w:ascii="Calibri" w:hAnsi="Calibri"/>
          <w:sz w:val="22"/>
          <w:szCs w:val="22"/>
        </w:rPr>
        <w:t xml:space="preserve"> compared to four in FY14. It is also interesting to note that there was a relatively even distribution of condos among each of the assessment ranges </w:t>
      </w:r>
      <w:r w:rsidR="00AF2462">
        <w:rPr>
          <w:rFonts w:ascii="Calibri" w:hAnsi="Calibri"/>
          <w:sz w:val="22"/>
          <w:szCs w:val="22"/>
        </w:rPr>
        <w:t>between</w:t>
      </w:r>
      <w:r w:rsidR="00964FCD">
        <w:rPr>
          <w:rFonts w:ascii="Calibri" w:hAnsi="Calibri"/>
          <w:sz w:val="22"/>
          <w:szCs w:val="22"/>
        </w:rPr>
        <w:t xml:space="preserve"> $500,000 </w:t>
      </w:r>
      <w:r w:rsidR="00AF2462">
        <w:rPr>
          <w:rFonts w:ascii="Calibri" w:hAnsi="Calibri"/>
          <w:sz w:val="22"/>
          <w:szCs w:val="22"/>
        </w:rPr>
        <w:t>and</w:t>
      </w:r>
      <w:r w:rsidR="00964FCD">
        <w:rPr>
          <w:rFonts w:ascii="Calibri" w:hAnsi="Calibri"/>
          <w:sz w:val="22"/>
          <w:szCs w:val="22"/>
        </w:rPr>
        <w:t xml:space="preserve"> $1 million</w:t>
      </w:r>
      <w:r w:rsidR="00563FBA">
        <w:rPr>
          <w:rFonts w:ascii="Calibri" w:hAnsi="Calibri"/>
          <w:sz w:val="22"/>
          <w:szCs w:val="22"/>
        </w:rPr>
        <w:t>, each</w:t>
      </w:r>
      <w:r w:rsidR="00964FCD">
        <w:rPr>
          <w:rFonts w:ascii="Calibri" w:hAnsi="Calibri"/>
          <w:sz w:val="22"/>
          <w:szCs w:val="22"/>
        </w:rPr>
        <w:t xml:space="preserve"> at about 10% of all condos</w:t>
      </w:r>
      <w:r w:rsidR="00AF2462">
        <w:rPr>
          <w:rFonts w:ascii="Calibri" w:hAnsi="Calibri"/>
          <w:sz w:val="22"/>
          <w:szCs w:val="22"/>
        </w:rPr>
        <w:t xml:space="preserve">. </w:t>
      </w:r>
    </w:p>
    <w:p w14:paraId="76774F90" w14:textId="24403349" w:rsidR="00692D24" w:rsidRDefault="00692D24" w:rsidP="007A335B">
      <w:pPr>
        <w:jc w:val="both"/>
        <w:rPr>
          <w:rFonts w:ascii="Calibri" w:hAnsi="Calibri"/>
          <w:sz w:val="22"/>
          <w:szCs w:val="22"/>
        </w:rPr>
      </w:pPr>
    </w:p>
    <w:p w14:paraId="4DFC48AB" w14:textId="627C9718" w:rsidR="004E1F11" w:rsidRDefault="004E1F11" w:rsidP="007A335B">
      <w:pPr>
        <w:jc w:val="both"/>
        <w:rPr>
          <w:rFonts w:ascii="Calibri" w:hAnsi="Calibri"/>
          <w:sz w:val="22"/>
          <w:szCs w:val="22"/>
        </w:rPr>
      </w:pPr>
    </w:p>
    <w:p w14:paraId="60BD5ECA" w14:textId="77777777" w:rsidR="004E1F11" w:rsidRDefault="004E1F11" w:rsidP="007A335B">
      <w:pPr>
        <w:jc w:val="both"/>
        <w:rPr>
          <w:rFonts w:ascii="Calibri" w:hAnsi="Calibri"/>
          <w:sz w:val="22"/>
          <w:szCs w:val="22"/>
        </w:rPr>
      </w:pPr>
    </w:p>
    <w:p w14:paraId="254A5FBC" w14:textId="76C081DA" w:rsidR="003226C7" w:rsidRPr="008B375C" w:rsidRDefault="003226C7" w:rsidP="007A335B">
      <w:pPr>
        <w:pStyle w:val="Heading9"/>
        <w:spacing w:before="0"/>
        <w:jc w:val="center"/>
        <w:rPr>
          <w:rFonts w:ascii="Calibri" w:hAnsi="Calibri"/>
          <w:b/>
          <w:bCs/>
          <w:i w:val="0"/>
          <w:color w:val="auto"/>
          <w:sz w:val="22"/>
          <w:szCs w:val="22"/>
        </w:rPr>
      </w:pPr>
      <w:r w:rsidRPr="008B375C">
        <w:rPr>
          <w:rFonts w:ascii="Calibri" w:hAnsi="Calibri"/>
          <w:b/>
          <w:i w:val="0"/>
          <w:color w:val="auto"/>
          <w:sz w:val="22"/>
          <w:szCs w:val="22"/>
        </w:rPr>
        <w:t xml:space="preserve">Table </w:t>
      </w:r>
      <w:r w:rsidR="00920B15">
        <w:rPr>
          <w:rFonts w:ascii="Calibri" w:hAnsi="Calibri"/>
          <w:b/>
          <w:i w:val="0"/>
          <w:color w:val="auto"/>
          <w:sz w:val="22"/>
          <w:szCs w:val="22"/>
        </w:rPr>
        <w:t>III-3</w:t>
      </w:r>
      <w:r w:rsidR="0028014C">
        <w:rPr>
          <w:rFonts w:ascii="Calibri" w:hAnsi="Calibri"/>
          <w:b/>
          <w:i w:val="0"/>
          <w:color w:val="auto"/>
          <w:sz w:val="22"/>
          <w:szCs w:val="22"/>
        </w:rPr>
        <w:t>1</w:t>
      </w:r>
      <w:r w:rsidRPr="008B375C">
        <w:rPr>
          <w:rFonts w:ascii="Calibri" w:hAnsi="Calibri"/>
          <w:b/>
          <w:i w:val="0"/>
          <w:color w:val="auto"/>
          <w:sz w:val="22"/>
          <w:szCs w:val="22"/>
        </w:rPr>
        <w:t xml:space="preserve">: </w:t>
      </w:r>
      <w:r w:rsidRPr="008B375C">
        <w:rPr>
          <w:rFonts w:ascii="Calibri" w:hAnsi="Calibri"/>
          <w:b/>
          <w:bCs/>
          <w:i w:val="0"/>
          <w:color w:val="auto"/>
          <w:sz w:val="22"/>
          <w:szCs w:val="22"/>
        </w:rPr>
        <w:t xml:space="preserve">Assessed Values of Single-family Homes and Condominiums, </w:t>
      </w:r>
      <w:r w:rsidR="00781F93">
        <w:rPr>
          <w:rFonts w:ascii="Calibri" w:hAnsi="Calibri"/>
          <w:b/>
          <w:bCs/>
          <w:i w:val="0"/>
          <w:color w:val="auto"/>
          <w:sz w:val="22"/>
          <w:szCs w:val="22"/>
        </w:rPr>
        <w:t xml:space="preserve">FY </w:t>
      </w:r>
      <w:r w:rsidRPr="008B375C">
        <w:rPr>
          <w:rFonts w:ascii="Calibri" w:hAnsi="Calibri"/>
          <w:b/>
          <w:bCs/>
          <w:i w:val="0"/>
          <w:color w:val="auto"/>
          <w:sz w:val="22"/>
          <w:szCs w:val="22"/>
        </w:rPr>
        <w:t>20</w:t>
      </w:r>
      <w:r w:rsidR="00F625AE">
        <w:rPr>
          <w:rFonts w:ascii="Calibri" w:hAnsi="Calibri"/>
          <w:b/>
          <w:bCs/>
          <w:i w:val="0"/>
          <w:color w:val="auto"/>
          <w:sz w:val="22"/>
          <w:szCs w:val="22"/>
        </w:rPr>
        <w:t>2</w:t>
      </w:r>
      <w:r w:rsidR="00094A7A">
        <w:rPr>
          <w:rFonts w:ascii="Calibri" w:hAnsi="Calibri"/>
          <w:b/>
          <w:bCs/>
          <w:i w:val="0"/>
          <w:color w:val="auto"/>
          <w:sz w:val="22"/>
          <w:szCs w:val="22"/>
        </w:rPr>
        <w:t>2</w:t>
      </w:r>
    </w:p>
    <w:tbl>
      <w:tblPr>
        <w:tblW w:w="0" w:type="auto"/>
        <w:jc w:val="center"/>
        <w:tblLayout w:type="fixed"/>
        <w:tblLook w:val="0000" w:firstRow="0" w:lastRow="0" w:firstColumn="0" w:lastColumn="0" w:noHBand="0" w:noVBand="0"/>
      </w:tblPr>
      <w:tblGrid>
        <w:gridCol w:w="1800"/>
        <w:gridCol w:w="969"/>
        <w:gridCol w:w="887"/>
        <w:gridCol w:w="900"/>
        <w:gridCol w:w="934"/>
        <w:gridCol w:w="990"/>
        <w:gridCol w:w="900"/>
      </w:tblGrid>
      <w:tr w:rsidR="003226C7" w:rsidRPr="004E50E7" w14:paraId="64BC59D1" w14:textId="77777777" w:rsidTr="00084BC6">
        <w:trPr>
          <w:cantSplit/>
          <w:jc w:val="center"/>
        </w:trPr>
        <w:tc>
          <w:tcPr>
            <w:tcW w:w="1800" w:type="dxa"/>
            <w:vMerge w:val="restart"/>
            <w:tcBorders>
              <w:top w:val="single" w:sz="6" w:space="0" w:color="auto"/>
              <w:left w:val="single" w:sz="6" w:space="0" w:color="auto"/>
              <w:right w:val="single" w:sz="6" w:space="0" w:color="auto"/>
            </w:tcBorders>
          </w:tcPr>
          <w:p w14:paraId="3147665F" w14:textId="77777777" w:rsidR="003226C7" w:rsidRPr="004E50E7" w:rsidRDefault="003226C7" w:rsidP="00084BC6">
            <w:pPr>
              <w:jc w:val="center"/>
              <w:rPr>
                <w:rFonts w:ascii="Calibri" w:hAnsi="Calibri"/>
                <w:b/>
                <w:bCs/>
              </w:rPr>
            </w:pPr>
          </w:p>
          <w:p w14:paraId="1B2F1165" w14:textId="77777777" w:rsidR="003226C7" w:rsidRPr="004E50E7" w:rsidRDefault="003226C7" w:rsidP="00084BC6">
            <w:pPr>
              <w:jc w:val="center"/>
              <w:rPr>
                <w:rFonts w:ascii="Calibri" w:hAnsi="Calibri"/>
                <w:b/>
                <w:bCs/>
              </w:rPr>
            </w:pPr>
            <w:r w:rsidRPr="004E50E7">
              <w:rPr>
                <w:rFonts w:ascii="Calibri" w:hAnsi="Calibri"/>
                <w:b/>
                <w:bCs/>
                <w:sz w:val="22"/>
                <w:szCs w:val="22"/>
              </w:rPr>
              <w:t>Assessment</w:t>
            </w:r>
          </w:p>
        </w:tc>
        <w:tc>
          <w:tcPr>
            <w:tcW w:w="1856" w:type="dxa"/>
            <w:gridSpan w:val="2"/>
            <w:tcBorders>
              <w:top w:val="single" w:sz="6" w:space="0" w:color="auto"/>
              <w:left w:val="single" w:sz="6" w:space="0" w:color="auto"/>
              <w:bottom w:val="single" w:sz="6" w:space="0" w:color="auto"/>
              <w:right w:val="single" w:sz="6" w:space="0" w:color="auto"/>
            </w:tcBorders>
          </w:tcPr>
          <w:p w14:paraId="77BB2315" w14:textId="77777777" w:rsidR="003226C7" w:rsidRPr="004E50E7" w:rsidRDefault="004D53AD" w:rsidP="004D53AD">
            <w:pPr>
              <w:jc w:val="center"/>
              <w:rPr>
                <w:rFonts w:ascii="Calibri" w:hAnsi="Calibri"/>
                <w:b/>
                <w:bCs/>
              </w:rPr>
            </w:pPr>
            <w:r>
              <w:rPr>
                <w:rFonts w:ascii="Calibri" w:hAnsi="Calibri"/>
                <w:b/>
                <w:bCs/>
                <w:sz w:val="22"/>
                <w:szCs w:val="22"/>
              </w:rPr>
              <w:t>Single-family</w:t>
            </w:r>
          </w:p>
        </w:tc>
        <w:tc>
          <w:tcPr>
            <w:tcW w:w="1834" w:type="dxa"/>
            <w:gridSpan w:val="2"/>
            <w:tcBorders>
              <w:top w:val="single" w:sz="6" w:space="0" w:color="auto"/>
              <w:left w:val="single" w:sz="6" w:space="0" w:color="auto"/>
              <w:bottom w:val="single" w:sz="6" w:space="0" w:color="auto"/>
              <w:right w:val="single" w:sz="6" w:space="0" w:color="auto"/>
            </w:tcBorders>
          </w:tcPr>
          <w:p w14:paraId="613DE333" w14:textId="77777777" w:rsidR="003226C7" w:rsidRPr="004E50E7" w:rsidRDefault="003226C7" w:rsidP="00084BC6">
            <w:pPr>
              <w:jc w:val="center"/>
              <w:rPr>
                <w:rFonts w:ascii="Calibri" w:hAnsi="Calibri"/>
                <w:b/>
                <w:bCs/>
              </w:rPr>
            </w:pPr>
            <w:r w:rsidRPr="004E50E7">
              <w:rPr>
                <w:rFonts w:ascii="Calibri" w:hAnsi="Calibri"/>
                <w:b/>
                <w:bCs/>
                <w:sz w:val="22"/>
                <w:szCs w:val="22"/>
              </w:rPr>
              <w:t>Condominiums</w:t>
            </w:r>
          </w:p>
        </w:tc>
        <w:tc>
          <w:tcPr>
            <w:tcW w:w="1890" w:type="dxa"/>
            <w:gridSpan w:val="2"/>
            <w:tcBorders>
              <w:top w:val="single" w:sz="6" w:space="0" w:color="auto"/>
              <w:left w:val="single" w:sz="6" w:space="0" w:color="auto"/>
              <w:bottom w:val="single" w:sz="6" w:space="0" w:color="auto"/>
              <w:right w:val="single" w:sz="6" w:space="0" w:color="auto"/>
            </w:tcBorders>
          </w:tcPr>
          <w:p w14:paraId="1E41FE0F" w14:textId="77777777" w:rsidR="003226C7" w:rsidRPr="004E50E7" w:rsidRDefault="003226C7" w:rsidP="00084BC6">
            <w:pPr>
              <w:jc w:val="center"/>
              <w:rPr>
                <w:rFonts w:ascii="Calibri" w:hAnsi="Calibri"/>
                <w:b/>
                <w:bCs/>
              </w:rPr>
            </w:pPr>
            <w:r w:rsidRPr="004E50E7">
              <w:rPr>
                <w:rFonts w:ascii="Calibri" w:hAnsi="Calibri"/>
                <w:b/>
                <w:bCs/>
                <w:sz w:val="22"/>
                <w:szCs w:val="22"/>
              </w:rPr>
              <w:t>Total</w:t>
            </w:r>
          </w:p>
        </w:tc>
      </w:tr>
      <w:tr w:rsidR="003226C7" w:rsidRPr="004E50E7" w14:paraId="5D259ACC" w14:textId="77777777" w:rsidTr="00084BC6">
        <w:trPr>
          <w:cantSplit/>
          <w:jc w:val="center"/>
        </w:trPr>
        <w:tc>
          <w:tcPr>
            <w:tcW w:w="1800" w:type="dxa"/>
            <w:vMerge/>
            <w:tcBorders>
              <w:left w:val="single" w:sz="6" w:space="0" w:color="auto"/>
              <w:bottom w:val="single" w:sz="6" w:space="0" w:color="auto"/>
              <w:right w:val="single" w:sz="6" w:space="0" w:color="auto"/>
            </w:tcBorders>
          </w:tcPr>
          <w:p w14:paraId="28CE94FF" w14:textId="77777777" w:rsidR="003226C7" w:rsidRPr="004E50E7" w:rsidRDefault="003226C7" w:rsidP="00084BC6">
            <w:pPr>
              <w:jc w:val="center"/>
              <w:rPr>
                <w:rFonts w:ascii="Calibri" w:hAnsi="Calibri"/>
              </w:rPr>
            </w:pPr>
          </w:p>
        </w:tc>
        <w:tc>
          <w:tcPr>
            <w:tcW w:w="969" w:type="dxa"/>
            <w:tcBorders>
              <w:top w:val="single" w:sz="6" w:space="0" w:color="auto"/>
              <w:left w:val="single" w:sz="6" w:space="0" w:color="auto"/>
              <w:bottom w:val="single" w:sz="6" w:space="0" w:color="auto"/>
              <w:right w:val="single" w:sz="6" w:space="0" w:color="auto"/>
            </w:tcBorders>
          </w:tcPr>
          <w:p w14:paraId="1836CDF6"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c>
          <w:tcPr>
            <w:tcW w:w="887" w:type="dxa"/>
            <w:tcBorders>
              <w:top w:val="single" w:sz="6" w:space="0" w:color="auto"/>
              <w:left w:val="single" w:sz="6" w:space="0" w:color="auto"/>
              <w:bottom w:val="single" w:sz="6" w:space="0" w:color="auto"/>
              <w:right w:val="single" w:sz="6" w:space="0" w:color="auto"/>
            </w:tcBorders>
          </w:tcPr>
          <w:p w14:paraId="0988093F"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c>
          <w:tcPr>
            <w:tcW w:w="900" w:type="dxa"/>
            <w:tcBorders>
              <w:top w:val="single" w:sz="6" w:space="0" w:color="auto"/>
              <w:left w:val="single" w:sz="6" w:space="0" w:color="auto"/>
              <w:bottom w:val="single" w:sz="6" w:space="0" w:color="auto"/>
              <w:right w:val="single" w:sz="6" w:space="0" w:color="auto"/>
            </w:tcBorders>
          </w:tcPr>
          <w:p w14:paraId="42D7762D"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c>
          <w:tcPr>
            <w:tcW w:w="934" w:type="dxa"/>
            <w:tcBorders>
              <w:top w:val="single" w:sz="6" w:space="0" w:color="auto"/>
              <w:left w:val="single" w:sz="6" w:space="0" w:color="auto"/>
              <w:bottom w:val="single" w:sz="6" w:space="0" w:color="auto"/>
              <w:right w:val="single" w:sz="6" w:space="0" w:color="auto"/>
            </w:tcBorders>
          </w:tcPr>
          <w:p w14:paraId="5EDD7057"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c>
          <w:tcPr>
            <w:tcW w:w="990" w:type="dxa"/>
            <w:tcBorders>
              <w:top w:val="single" w:sz="6" w:space="0" w:color="auto"/>
              <w:left w:val="single" w:sz="6" w:space="0" w:color="auto"/>
              <w:bottom w:val="single" w:sz="6" w:space="0" w:color="auto"/>
              <w:right w:val="single" w:sz="6" w:space="0" w:color="auto"/>
            </w:tcBorders>
          </w:tcPr>
          <w:p w14:paraId="702BAB32"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c>
          <w:tcPr>
            <w:tcW w:w="900" w:type="dxa"/>
            <w:tcBorders>
              <w:top w:val="single" w:sz="6" w:space="0" w:color="auto"/>
              <w:left w:val="single" w:sz="6" w:space="0" w:color="auto"/>
              <w:bottom w:val="single" w:sz="6" w:space="0" w:color="auto"/>
              <w:right w:val="single" w:sz="6" w:space="0" w:color="auto"/>
            </w:tcBorders>
          </w:tcPr>
          <w:p w14:paraId="56538517" w14:textId="77777777" w:rsidR="003226C7" w:rsidRPr="004E50E7" w:rsidRDefault="003226C7" w:rsidP="00084BC6">
            <w:pPr>
              <w:jc w:val="center"/>
              <w:rPr>
                <w:rFonts w:ascii="Calibri" w:hAnsi="Calibri"/>
                <w:b/>
                <w:bCs/>
              </w:rPr>
            </w:pPr>
            <w:r w:rsidRPr="004E50E7">
              <w:rPr>
                <w:rFonts w:ascii="Calibri" w:hAnsi="Calibri"/>
                <w:b/>
                <w:bCs/>
                <w:sz w:val="22"/>
                <w:szCs w:val="22"/>
              </w:rPr>
              <w:t>%</w:t>
            </w:r>
          </w:p>
        </w:tc>
      </w:tr>
      <w:tr w:rsidR="003226C7" w:rsidRPr="004E50E7" w14:paraId="681A1756"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06B05CFA" w14:textId="77777777" w:rsidR="003226C7" w:rsidRPr="004E50E7" w:rsidRDefault="003226C7" w:rsidP="00084BC6">
            <w:pPr>
              <w:jc w:val="center"/>
              <w:rPr>
                <w:rFonts w:ascii="Calibri" w:hAnsi="Calibri"/>
                <w:sz w:val="20"/>
              </w:rPr>
            </w:pPr>
            <w:r>
              <w:rPr>
                <w:rFonts w:ascii="Calibri" w:hAnsi="Calibri"/>
                <w:sz w:val="20"/>
                <w:szCs w:val="22"/>
              </w:rPr>
              <w:t>Less than$200,000</w:t>
            </w:r>
          </w:p>
        </w:tc>
        <w:tc>
          <w:tcPr>
            <w:tcW w:w="969" w:type="dxa"/>
            <w:tcBorders>
              <w:top w:val="single" w:sz="6" w:space="0" w:color="auto"/>
              <w:left w:val="single" w:sz="6" w:space="0" w:color="auto"/>
              <w:bottom w:val="single" w:sz="6" w:space="0" w:color="auto"/>
              <w:right w:val="single" w:sz="6" w:space="0" w:color="auto"/>
            </w:tcBorders>
          </w:tcPr>
          <w:p w14:paraId="36EBA6A2" w14:textId="589FC61F" w:rsidR="003226C7" w:rsidRPr="004E50E7" w:rsidRDefault="00A7447E" w:rsidP="00084BC6">
            <w:pPr>
              <w:jc w:val="center"/>
              <w:rPr>
                <w:rFonts w:ascii="Calibri" w:hAnsi="Calibri"/>
                <w:sz w:val="20"/>
              </w:rPr>
            </w:pPr>
            <w:r>
              <w:rPr>
                <w:rFonts w:ascii="Calibri" w:hAnsi="Calibri"/>
                <w:sz w:val="20"/>
                <w:szCs w:val="22"/>
              </w:rPr>
              <w:t>1</w:t>
            </w:r>
          </w:p>
        </w:tc>
        <w:tc>
          <w:tcPr>
            <w:tcW w:w="887" w:type="dxa"/>
            <w:tcBorders>
              <w:top w:val="single" w:sz="6" w:space="0" w:color="auto"/>
              <w:left w:val="single" w:sz="6" w:space="0" w:color="auto"/>
              <w:bottom w:val="single" w:sz="6" w:space="0" w:color="auto"/>
              <w:right w:val="single" w:sz="6" w:space="0" w:color="auto"/>
            </w:tcBorders>
          </w:tcPr>
          <w:p w14:paraId="09645718" w14:textId="1EBEDAE9" w:rsidR="003226C7" w:rsidRPr="004E50E7" w:rsidRDefault="00A7447E" w:rsidP="00084BC6">
            <w:pPr>
              <w:jc w:val="center"/>
              <w:rPr>
                <w:rFonts w:ascii="Calibri" w:hAnsi="Calibri"/>
                <w:sz w:val="20"/>
              </w:rPr>
            </w:pPr>
            <w:r>
              <w:rPr>
                <w:rFonts w:ascii="Calibri" w:hAnsi="Calibri"/>
                <w:sz w:val="20"/>
                <w:szCs w:val="22"/>
              </w:rPr>
              <w:t>0.01</w:t>
            </w:r>
          </w:p>
        </w:tc>
        <w:tc>
          <w:tcPr>
            <w:tcW w:w="900" w:type="dxa"/>
            <w:tcBorders>
              <w:top w:val="single" w:sz="6" w:space="0" w:color="auto"/>
              <w:left w:val="single" w:sz="6" w:space="0" w:color="auto"/>
              <w:bottom w:val="single" w:sz="6" w:space="0" w:color="auto"/>
              <w:right w:val="single" w:sz="6" w:space="0" w:color="auto"/>
            </w:tcBorders>
          </w:tcPr>
          <w:p w14:paraId="696DD6B5" w14:textId="7EB2023D" w:rsidR="003226C7" w:rsidRPr="004E50E7" w:rsidRDefault="005A6850" w:rsidP="00084BC6">
            <w:pPr>
              <w:jc w:val="center"/>
              <w:rPr>
                <w:rFonts w:ascii="Calibri" w:hAnsi="Calibri"/>
                <w:sz w:val="20"/>
              </w:rPr>
            </w:pPr>
            <w:r>
              <w:rPr>
                <w:rFonts w:ascii="Calibri" w:hAnsi="Calibri"/>
                <w:sz w:val="20"/>
                <w:szCs w:val="22"/>
              </w:rPr>
              <w:t>21</w:t>
            </w:r>
          </w:p>
        </w:tc>
        <w:tc>
          <w:tcPr>
            <w:tcW w:w="934" w:type="dxa"/>
            <w:tcBorders>
              <w:top w:val="single" w:sz="6" w:space="0" w:color="auto"/>
              <w:left w:val="single" w:sz="6" w:space="0" w:color="auto"/>
              <w:bottom w:val="single" w:sz="6" w:space="0" w:color="auto"/>
              <w:right w:val="single" w:sz="6" w:space="0" w:color="auto"/>
            </w:tcBorders>
          </w:tcPr>
          <w:p w14:paraId="35D2D74A" w14:textId="05A2D82A" w:rsidR="003226C7" w:rsidRPr="004E50E7" w:rsidRDefault="005A6850" w:rsidP="00084BC6">
            <w:pPr>
              <w:jc w:val="center"/>
              <w:rPr>
                <w:rFonts w:ascii="Calibri" w:hAnsi="Calibri"/>
                <w:sz w:val="20"/>
              </w:rPr>
            </w:pPr>
            <w:r>
              <w:rPr>
                <w:rFonts w:ascii="Calibri" w:hAnsi="Calibri"/>
                <w:sz w:val="20"/>
                <w:szCs w:val="22"/>
              </w:rPr>
              <w:t>2.1</w:t>
            </w:r>
          </w:p>
        </w:tc>
        <w:tc>
          <w:tcPr>
            <w:tcW w:w="990" w:type="dxa"/>
            <w:tcBorders>
              <w:top w:val="single" w:sz="6" w:space="0" w:color="auto"/>
              <w:left w:val="single" w:sz="6" w:space="0" w:color="auto"/>
              <w:bottom w:val="single" w:sz="6" w:space="0" w:color="auto"/>
              <w:right w:val="single" w:sz="6" w:space="0" w:color="auto"/>
            </w:tcBorders>
          </w:tcPr>
          <w:p w14:paraId="7499FD2F" w14:textId="6F102A9D" w:rsidR="003226C7" w:rsidRPr="004E50E7" w:rsidRDefault="005A6850" w:rsidP="00084BC6">
            <w:pPr>
              <w:jc w:val="center"/>
              <w:rPr>
                <w:rFonts w:ascii="Calibri" w:hAnsi="Calibri"/>
                <w:sz w:val="20"/>
              </w:rPr>
            </w:pPr>
            <w:r>
              <w:rPr>
                <w:rFonts w:ascii="Calibri" w:hAnsi="Calibri"/>
                <w:sz w:val="20"/>
                <w:szCs w:val="22"/>
              </w:rPr>
              <w:t>22</w:t>
            </w:r>
          </w:p>
        </w:tc>
        <w:tc>
          <w:tcPr>
            <w:tcW w:w="900" w:type="dxa"/>
            <w:tcBorders>
              <w:top w:val="single" w:sz="6" w:space="0" w:color="auto"/>
              <w:left w:val="single" w:sz="6" w:space="0" w:color="auto"/>
              <w:bottom w:val="single" w:sz="6" w:space="0" w:color="auto"/>
              <w:right w:val="single" w:sz="6" w:space="0" w:color="auto"/>
            </w:tcBorders>
          </w:tcPr>
          <w:p w14:paraId="5292E2F8" w14:textId="6D1B959C" w:rsidR="003226C7" w:rsidRPr="004E50E7" w:rsidRDefault="005A6850" w:rsidP="00084BC6">
            <w:pPr>
              <w:jc w:val="center"/>
              <w:rPr>
                <w:rFonts w:ascii="Calibri" w:hAnsi="Calibri"/>
                <w:sz w:val="20"/>
              </w:rPr>
            </w:pPr>
            <w:r>
              <w:rPr>
                <w:rFonts w:ascii="Calibri" w:hAnsi="Calibri"/>
                <w:sz w:val="20"/>
                <w:szCs w:val="22"/>
              </w:rPr>
              <w:t>0.2</w:t>
            </w:r>
          </w:p>
        </w:tc>
      </w:tr>
      <w:tr w:rsidR="003226C7" w:rsidRPr="004E50E7" w14:paraId="456E154E"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4BFE36E0" w14:textId="77777777" w:rsidR="003226C7" w:rsidRPr="004E50E7" w:rsidRDefault="003226C7" w:rsidP="00084BC6">
            <w:pPr>
              <w:jc w:val="center"/>
              <w:rPr>
                <w:rFonts w:ascii="Calibri" w:hAnsi="Calibri"/>
                <w:sz w:val="20"/>
              </w:rPr>
            </w:pPr>
            <w:r w:rsidRPr="004E50E7">
              <w:rPr>
                <w:rFonts w:ascii="Calibri" w:hAnsi="Calibri"/>
                <w:sz w:val="20"/>
                <w:szCs w:val="22"/>
              </w:rPr>
              <w:t>$200,000-299,999</w:t>
            </w:r>
          </w:p>
        </w:tc>
        <w:tc>
          <w:tcPr>
            <w:tcW w:w="969" w:type="dxa"/>
            <w:tcBorders>
              <w:top w:val="single" w:sz="6" w:space="0" w:color="auto"/>
              <w:left w:val="single" w:sz="6" w:space="0" w:color="auto"/>
              <w:bottom w:val="single" w:sz="6" w:space="0" w:color="auto"/>
              <w:right w:val="single" w:sz="6" w:space="0" w:color="auto"/>
            </w:tcBorders>
          </w:tcPr>
          <w:p w14:paraId="728C1A25" w14:textId="048088AE" w:rsidR="003226C7" w:rsidRPr="004E50E7" w:rsidRDefault="00A7447E" w:rsidP="00084BC6">
            <w:pPr>
              <w:jc w:val="center"/>
              <w:rPr>
                <w:rFonts w:ascii="Calibri" w:hAnsi="Calibri"/>
                <w:sz w:val="20"/>
              </w:rPr>
            </w:pPr>
            <w:r>
              <w:rPr>
                <w:rFonts w:ascii="Calibri" w:hAnsi="Calibri"/>
                <w:sz w:val="20"/>
                <w:szCs w:val="22"/>
              </w:rPr>
              <w:t>1</w:t>
            </w:r>
          </w:p>
        </w:tc>
        <w:tc>
          <w:tcPr>
            <w:tcW w:w="887" w:type="dxa"/>
            <w:tcBorders>
              <w:top w:val="single" w:sz="6" w:space="0" w:color="auto"/>
              <w:left w:val="single" w:sz="6" w:space="0" w:color="auto"/>
              <w:bottom w:val="single" w:sz="6" w:space="0" w:color="auto"/>
              <w:right w:val="single" w:sz="6" w:space="0" w:color="auto"/>
            </w:tcBorders>
          </w:tcPr>
          <w:p w14:paraId="03D3F76E" w14:textId="05A4CB95" w:rsidR="003226C7" w:rsidRPr="004E50E7" w:rsidRDefault="00A7447E" w:rsidP="00084BC6">
            <w:pPr>
              <w:jc w:val="center"/>
              <w:rPr>
                <w:rFonts w:ascii="Calibri" w:hAnsi="Calibri"/>
                <w:sz w:val="20"/>
              </w:rPr>
            </w:pPr>
            <w:r>
              <w:rPr>
                <w:rFonts w:ascii="Calibri" w:hAnsi="Calibri"/>
                <w:sz w:val="20"/>
                <w:szCs w:val="22"/>
              </w:rPr>
              <w:t>0.01</w:t>
            </w:r>
          </w:p>
        </w:tc>
        <w:tc>
          <w:tcPr>
            <w:tcW w:w="900" w:type="dxa"/>
            <w:tcBorders>
              <w:top w:val="single" w:sz="6" w:space="0" w:color="auto"/>
              <w:left w:val="single" w:sz="6" w:space="0" w:color="auto"/>
              <w:bottom w:val="single" w:sz="6" w:space="0" w:color="auto"/>
              <w:right w:val="single" w:sz="6" w:space="0" w:color="auto"/>
            </w:tcBorders>
          </w:tcPr>
          <w:p w14:paraId="75C7DF58" w14:textId="1C236555" w:rsidR="003226C7" w:rsidRPr="004E50E7" w:rsidRDefault="005A6850" w:rsidP="00084BC6">
            <w:pPr>
              <w:jc w:val="center"/>
              <w:rPr>
                <w:rFonts w:ascii="Calibri" w:hAnsi="Calibri"/>
                <w:sz w:val="20"/>
              </w:rPr>
            </w:pPr>
            <w:r>
              <w:rPr>
                <w:rFonts w:ascii="Calibri" w:hAnsi="Calibri"/>
                <w:sz w:val="20"/>
                <w:szCs w:val="22"/>
              </w:rPr>
              <w:t>96</w:t>
            </w:r>
          </w:p>
        </w:tc>
        <w:tc>
          <w:tcPr>
            <w:tcW w:w="934" w:type="dxa"/>
            <w:tcBorders>
              <w:top w:val="single" w:sz="6" w:space="0" w:color="auto"/>
              <w:left w:val="single" w:sz="6" w:space="0" w:color="auto"/>
              <w:bottom w:val="single" w:sz="6" w:space="0" w:color="auto"/>
              <w:right w:val="single" w:sz="6" w:space="0" w:color="auto"/>
            </w:tcBorders>
          </w:tcPr>
          <w:p w14:paraId="0FD02F81" w14:textId="1DB26D4B" w:rsidR="003226C7" w:rsidRPr="004E50E7" w:rsidRDefault="005A6850" w:rsidP="00084BC6">
            <w:pPr>
              <w:jc w:val="center"/>
              <w:rPr>
                <w:rFonts w:ascii="Calibri" w:hAnsi="Calibri"/>
                <w:sz w:val="20"/>
              </w:rPr>
            </w:pPr>
            <w:r>
              <w:rPr>
                <w:rFonts w:ascii="Calibri" w:hAnsi="Calibri"/>
                <w:sz w:val="20"/>
                <w:szCs w:val="22"/>
              </w:rPr>
              <w:t>9.7</w:t>
            </w:r>
          </w:p>
        </w:tc>
        <w:tc>
          <w:tcPr>
            <w:tcW w:w="990" w:type="dxa"/>
            <w:tcBorders>
              <w:top w:val="single" w:sz="6" w:space="0" w:color="auto"/>
              <w:left w:val="single" w:sz="6" w:space="0" w:color="auto"/>
              <w:bottom w:val="single" w:sz="6" w:space="0" w:color="auto"/>
              <w:right w:val="single" w:sz="6" w:space="0" w:color="auto"/>
            </w:tcBorders>
          </w:tcPr>
          <w:p w14:paraId="40BB1725" w14:textId="5C293A21" w:rsidR="003226C7" w:rsidRPr="004E50E7" w:rsidRDefault="005A6850" w:rsidP="00084BC6">
            <w:pPr>
              <w:jc w:val="center"/>
              <w:rPr>
                <w:rFonts w:ascii="Calibri" w:hAnsi="Calibri"/>
                <w:sz w:val="20"/>
              </w:rPr>
            </w:pPr>
            <w:r>
              <w:rPr>
                <w:rFonts w:ascii="Calibri" w:hAnsi="Calibri"/>
                <w:sz w:val="20"/>
                <w:szCs w:val="22"/>
              </w:rPr>
              <w:t>97</w:t>
            </w:r>
          </w:p>
        </w:tc>
        <w:tc>
          <w:tcPr>
            <w:tcW w:w="900" w:type="dxa"/>
            <w:tcBorders>
              <w:top w:val="single" w:sz="6" w:space="0" w:color="auto"/>
              <w:left w:val="single" w:sz="6" w:space="0" w:color="auto"/>
              <w:bottom w:val="single" w:sz="6" w:space="0" w:color="auto"/>
              <w:right w:val="single" w:sz="6" w:space="0" w:color="auto"/>
            </w:tcBorders>
          </w:tcPr>
          <w:p w14:paraId="6473B185" w14:textId="78475F4B" w:rsidR="003226C7" w:rsidRPr="004E50E7" w:rsidRDefault="005A6850" w:rsidP="00084BC6">
            <w:pPr>
              <w:jc w:val="center"/>
              <w:rPr>
                <w:rFonts w:ascii="Calibri" w:hAnsi="Calibri"/>
                <w:sz w:val="20"/>
              </w:rPr>
            </w:pPr>
            <w:r>
              <w:rPr>
                <w:rFonts w:ascii="Calibri" w:hAnsi="Calibri"/>
                <w:sz w:val="20"/>
                <w:szCs w:val="22"/>
              </w:rPr>
              <w:t>1.0</w:t>
            </w:r>
          </w:p>
        </w:tc>
      </w:tr>
      <w:tr w:rsidR="003226C7" w:rsidRPr="004E50E7" w14:paraId="5DC19E2D"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2B3430F2" w14:textId="77777777" w:rsidR="003226C7" w:rsidRPr="004E50E7" w:rsidRDefault="003226C7" w:rsidP="00084BC6">
            <w:pPr>
              <w:jc w:val="center"/>
              <w:rPr>
                <w:rFonts w:ascii="Calibri" w:hAnsi="Calibri"/>
                <w:sz w:val="20"/>
              </w:rPr>
            </w:pPr>
            <w:r w:rsidRPr="004E50E7">
              <w:rPr>
                <w:rFonts w:ascii="Calibri" w:hAnsi="Calibri"/>
                <w:sz w:val="20"/>
                <w:szCs w:val="22"/>
              </w:rPr>
              <w:t>$300,000-399,999</w:t>
            </w:r>
          </w:p>
        </w:tc>
        <w:tc>
          <w:tcPr>
            <w:tcW w:w="969" w:type="dxa"/>
            <w:tcBorders>
              <w:top w:val="single" w:sz="6" w:space="0" w:color="auto"/>
              <w:left w:val="single" w:sz="6" w:space="0" w:color="auto"/>
              <w:bottom w:val="single" w:sz="6" w:space="0" w:color="auto"/>
              <w:right w:val="single" w:sz="6" w:space="0" w:color="auto"/>
            </w:tcBorders>
          </w:tcPr>
          <w:p w14:paraId="0C468511" w14:textId="52082086" w:rsidR="003226C7" w:rsidRPr="004E50E7" w:rsidRDefault="00A7447E" w:rsidP="00084BC6">
            <w:pPr>
              <w:jc w:val="center"/>
              <w:rPr>
                <w:rFonts w:ascii="Calibri" w:hAnsi="Calibri"/>
                <w:sz w:val="20"/>
              </w:rPr>
            </w:pPr>
            <w:r>
              <w:rPr>
                <w:rFonts w:ascii="Calibri" w:hAnsi="Calibri"/>
                <w:sz w:val="20"/>
                <w:szCs w:val="22"/>
              </w:rPr>
              <w:t>7</w:t>
            </w:r>
          </w:p>
        </w:tc>
        <w:tc>
          <w:tcPr>
            <w:tcW w:w="887" w:type="dxa"/>
            <w:tcBorders>
              <w:top w:val="single" w:sz="6" w:space="0" w:color="auto"/>
              <w:left w:val="single" w:sz="6" w:space="0" w:color="auto"/>
              <w:bottom w:val="single" w:sz="6" w:space="0" w:color="auto"/>
              <w:right w:val="single" w:sz="6" w:space="0" w:color="auto"/>
            </w:tcBorders>
          </w:tcPr>
          <w:p w14:paraId="086B85CA" w14:textId="2AA895E2" w:rsidR="003226C7" w:rsidRPr="004E50E7" w:rsidRDefault="00A7447E" w:rsidP="00084BC6">
            <w:pPr>
              <w:jc w:val="center"/>
              <w:rPr>
                <w:rFonts w:ascii="Calibri" w:hAnsi="Calibri"/>
                <w:sz w:val="20"/>
              </w:rPr>
            </w:pPr>
            <w:r>
              <w:rPr>
                <w:rFonts w:ascii="Calibri" w:hAnsi="Calibri"/>
                <w:sz w:val="20"/>
                <w:szCs w:val="22"/>
              </w:rPr>
              <w:t>0.08</w:t>
            </w:r>
          </w:p>
        </w:tc>
        <w:tc>
          <w:tcPr>
            <w:tcW w:w="900" w:type="dxa"/>
            <w:tcBorders>
              <w:top w:val="single" w:sz="6" w:space="0" w:color="auto"/>
              <w:left w:val="single" w:sz="6" w:space="0" w:color="auto"/>
              <w:bottom w:val="single" w:sz="6" w:space="0" w:color="auto"/>
              <w:right w:val="single" w:sz="6" w:space="0" w:color="auto"/>
            </w:tcBorders>
          </w:tcPr>
          <w:p w14:paraId="1FF85B18" w14:textId="7D4AED62" w:rsidR="003226C7" w:rsidRPr="004E50E7" w:rsidRDefault="005A6850" w:rsidP="00084BC6">
            <w:pPr>
              <w:jc w:val="center"/>
              <w:rPr>
                <w:rFonts w:ascii="Calibri" w:hAnsi="Calibri"/>
                <w:sz w:val="20"/>
              </w:rPr>
            </w:pPr>
            <w:r>
              <w:rPr>
                <w:rFonts w:ascii="Calibri" w:hAnsi="Calibri"/>
                <w:sz w:val="20"/>
                <w:szCs w:val="22"/>
              </w:rPr>
              <w:t>130</w:t>
            </w:r>
          </w:p>
        </w:tc>
        <w:tc>
          <w:tcPr>
            <w:tcW w:w="934" w:type="dxa"/>
            <w:tcBorders>
              <w:top w:val="single" w:sz="6" w:space="0" w:color="auto"/>
              <w:left w:val="single" w:sz="6" w:space="0" w:color="auto"/>
              <w:bottom w:val="single" w:sz="6" w:space="0" w:color="auto"/>
              <w:right w:val="single" w:sz="6" w:space="0" w:color="auto"/>
            </w:tcBorders>
          </w:tcPr>
          <w:p w14:paraId="15CB70DA" w14:textId="6C654609" w:rsidR="003226C7" w:rsidRPr="004E50E7" w:rsidRDefault="005A6850" w:rsidP="00084BC6">
            <w:pPr>
              <w:jc w:val="center"/>
              <w:rPr>
                <w:rFonts w:ascii="Calibri" w:hAnsi="Calibri"/>
                <w:sz w:val="20"/>
              </w:rPr>
            </w:pPr>
            <w:r>
              <w:rPr>
                <w:rFonts w:ascii="Calibri" w:hAnsi="Calibri"/>
                <w:sz w:val="20"/>
                <w:szCs w:val="22"/>
              </w:rPr>
              <w:t>13.2</w:t>
            </w:r>
          </w:p>
        </w:tc>
        <w:tc>
          <w:tcPr>
            <w:tcW w:w="990" w:type="dxa"/>
            <w:tcBorders>
              <w:top w:val="single" w:sz="6" w:space="0" w:color="auto"/>
              <w:left w:val="single" w:sz="6" w:space="0" w:color="auto"/>
              <w:bottom w:val="single" w:sz="6" w:space="0" w:color="auto"/>
              <w:right w:val="single" w:sz="6" w:space="0" w:color="auto"/>
            </w:tcBorders>
          </w:tcPr>
          <w:p w14:paraId="38B51976" w14:textId="219080EB" w:rsidR="003226C7" w:rsidRPr="004E50E7" w:rsidRDefault="005A6850" w:rsidP="00084BC6">
            <w:pPr>
              <w:jc w:val="center"/>
              <w:rPr>
                <w:rFonts w:ascii="Calibri" w:hAnsi="Calibri"/>
                <w:sz w:val="20"/>
              </w:rPr>
            </w:pPr>
            <w:r>
              <w:rPr>
                <w:rFonts w:ascii="Calibri" w:hAnsi="Calibri"/>
                <w:sz w:val="20"/>
                <w:szCs w:val="22"/>
              </w:rPr>
              <w:t>137</w:t>
            </w:r>
          </w:p>
        </w:tc>
        <w:tc>
          <w:tcPr>
            <w:tcW w:w="900" w:type="dxa"/>
            <w:tcBorders>
              <w:top w:val="single" w:sz="6" w:space="0" w:color="auto"/>
              <w:left w:val="single" w:sz="6" w:space="0" w:color="auto"/>
              <w:bottom w:val="single" w:sz="6" w:space="0" w:color="auto"/>
              <w:right w:val="single" w:sz="6" w:space="0" w:color="auto"/>
            </w:tcBorders>
          </w:tcPr>
          <w:p w14:paraId="169E9B89" w14:textId="52CAE96F" w:rsidR="003226C7" w:rsidRPr="004E50E7" w:rsidRDefault="005A6850" w:rsidP="00084BC6">
            <w:pPr>
              <w:jc w:val="center"/>
              <w:rPr>
                <w:rFonts w:ascii="Calibri" w:hAnsi="Calibri"/>
                <w:sz w:val="20"/>
              </w:rPr>
            </w:pPr>
            <w:r>
              <w:rPr>
                <w:rFonts w:ascii="Calibri" w:hAnsi="Calibri"/>
                <w:sz w:val="20"/>
                <w:szCs w:val="22"/>
              </w:rPr>
              <w:t>1.5</w:t>
            </w:r>
          </w:p>
        </w:tc>
      </w:tr>
      <w:tr w:rsidR="003226C7" w:rsidRPr="004E50E7" w14:paraId="32D88437"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67DE0228" w14:textId="77777777" w:rsidR="003226C7" w:rsidRPr="004E50E7" w:rsidRDefault="003226C7" w:rsidP="00084BC6">
            <w:pPr>
              <w:jc w:val="center"/>
              <w:rPr>
                <w:rFonts w:ascii="Calibri" w:hAnsi="Calibri"/>
                <w:sz w:val="20"/>
              </w:rPr>
            </w:pPr>
            <w:r w:rsidRPr="004E50E7">
              <w:rPr>
                <w:rFonts w:ascii="Calibri" w:hAnsi="Calibri"/>
                <w:sz w:val="20"/>
                <w:szCs w:val="22"/>
              </w:rPr>
              <w:t>$400,000-499,999</w:t>
            </w:r>
          </w:p>
        </w:tc>
        <w:tc>
          <w:tcPr>
            <w:tcW w:w="969" w:type="dxa"/>
            <w:tcBorders>
              <w:top w:val="single" w:sz="6" w:space="0" w:color="auto"/>
              <w:left w:val="single" w:sz="6" w:space="0" w:color="auto"/>
              <w:bottom w:val="single" w:sz="6" w:space="0" w:color="auto"/>
              <w:right w:val="single" w:sz="6" w:space="0" w:color="auto"/>
            </w:tcBorders>
          </w:tcPr>
          <w:p w14:paraId="4B05A241" w14:textId="20886EB8" w:rsidR="003226C7" w:rsidRPr="004E50E7" w:rsidRDefault="00A7447E" w:rsidP="00084BC6">
            <w:pPr>
              <w:jc w:val="center"/>
              <w:rPr>
                <w:rFonts w:ascii="Calibri" w:hAnsi="Calibri"/>
                <w:sz w:val="20"/>
              </w:rPr>
            </w:pPr>
            <w:r>
              <w:rPr>
                <w:rFonts w:ascii="Calibri" w:hAnsi="Calibri"/>
                <w:sz w:val="20"/>
                <w:szCs w:val="22"/>
              </w:rPr>
              <w:t>104</w:t>
            </w:r>
          </w:p>
        </w:tc>
        <w:tc>
          <w:tcPr>
            <w:tcW w:w="887" w:type="dxa"/>
            <w:tcBorders>
              <w:top w:val="single" w:sz="6" w:space="0" w:color="auto"/>
              <w:left w:val="single" w:sz="6" w:space="0" w:color="auto"/>
              <w:bottom w:val="single" w:sz="6" w:space="0" w:color="auto"/>
              <w:right w:val="single" w:sz="6" w:space="0" w:color="auto"/>
            </w:tcBorders>
          </w:tcPr>
          <w:p w14:paraId="322E7CC5" w14:textId="6A6876B6" w:rsidR="003226C7" w:rsidRPr="004E50E7" w:rsidRDefault="00A7447E" w:rsidP="00084BC6">
            <w:pPr>
              <w:jc w:val="center"/>
              <w:rPr>
                <w:rFonts w:ascii="Calibri" w:hAnsi="Calibri"/>
                <w:sz w:val="20"/>
              </w:rPr>
            </w:pPr>
            <w:r>
              <w:rPr>
                <w:rFonts w:ascii="Calibri" w:hAnsi="Calibri"/>
                <w:sz w:val="20"/>
                <w:szCs w:val="22"/>
              </w:rPr>
              <w:t>1.2</w:t>
            </w:r>
          </w:p>
        </w:tc>
        <w:tc>
          <w:tcPr>
            <w:tcW w:w="900" w:type="dxa"/>
            <w:tcBorders>
              <w:top w:val="single" w:sz="6" w:space="0" w:color="auto"/>
              <w:left w:val="single" w:sz="6" w:space="0" w:color="auto"/>
              <w:bottom w:val="single" w:sz="6" w:space="0" w:color="auto"/>
              <w:right w:val="single" w:sz="6" w:space="0" w:color="auto"/>
            </w:tcBorders>
          </w:tcPr>
          <w:p w14:paraId="3C754D49" w14:textId="51FAF4AB" w:rsidR="003226C7" w:rsidRPr="004E50E7" w:rsidRDefault="005A6850" w:rsidP="00084BC6">
            <w:pPr>
              <w:jc w:val="center"/>
              <w:rPr>
                <w:rFonts w:ascii="Calibri" w:hAnsi="Calibri"/>
                <w:sz w:val="20"/>
              </w:rPr>
            </w:pPr>
            <w:r>
              <w:rPr>
                <w:rFonts w:ascii="Calibri" w:hAnsi="Calibri"/>
                <w:sz w:val="20"/>
                <w:szCs w:val="22"/>
              </w:rPr>
              <w:t>153</w:t>
            </w:r>
          </w:p>
        </w:tc>
        <w:tc>
          <w:tcPr>
            <w:tcW w:w="934" w:type="dxa"/>
            <w:tcBorders>
              <w:top w:val="single" w:sz="6" w:space="0" w:color="auto"/>
              <w:left w:val="single" w:sz="6" w:space="0" w:color="auto"/>
              <w:bottom w:val="single" w:sz="6" w:space="0" w:color="auto"/>
              <w:right w:val="single" w:sz="6" w:space="0" w:color="auto"/>
            </w:tcBorders>
          </w:tcPr>
          <w:p w14:paraId="7B22BA70" w14:textId="356BA4E4" w:rsidR="003226C7" w:rsidRPr="004E50E7" w:rsidRDefault="005A6850" w:rsidP="00084BC6">
            <w:pPr>
              <w:jc w:val="center"/>
              <w:rPr>
                <w:rFonts w:ascii="Calibri" w:hAnsi="Calibri"/>
                <w:sz w:val="20"/>
              </w:rPr>
            </w:pPr>
            <w:r>
              <w:rPr>
                <w:rFonts w:ascii="Calibri" w:hAnsi="Calibri"/>
                <w:sz w:val="20"/>
                <w:szCs w:val="22"/>
              </w:rPr>
              <w:t>15.5</w:t>
            </w:r>
          </w:p>
        </w:tc>
        <w:tc>
          <w:tcPr>
            <w:tcW w:w="990" w:type="dxa"/>
            <w:tcBorders>
              <w:top w:val="single" w:sz="6" w:space="0" w:color="auto"/>
              <w:left w:val="single" w:sz="6" w:space="0" w:color="auto"/>
              <w:bottom w:val="single" w:sz="6" w:space="0" w:color="auto"/>
              <w:right w:val="single" w:sz="6" w:space="0" w:color="auto"/>
            </w:tcBorders>
          </w:tcPr>
          <w:p w14:paraId="7E57617B" w14:textId="1138501B" w:rsidR="003226C7" w:rsidRPr="004E50E7" w:rsidRDefault="005A6850" w:rsidP="00084BC6">
            <w:pPr>
              <w:jc w:val="center"/>
              <w:rPr>
                <w:rFonts w:ascii="Calibri" w:hAnsi="Calibri"/>
                <w:sz w:val="20"/>
              </w:rPr>
            </w:pPr>
            <w:r>
              <w:rPr>
                <w:rFonts w:ascii="Calibri" w:hAnsi="Calibri"/>
                <w:sz w:val="20"/>
                <w:szCs w:val="22"/>
              </w:rPr>
              <w:t>257</w:t>
            </w:r>
          </w:p>
        </w:tc>
        <w:tc>
          <w:tcPr>
            <w:tcW w:w="900" w:type="dxa"/>
            <w:tcBorders>
              <w:top w:val="single" w:sz="6" w:space="0" w:color="auto"/>
              <w:left w:val="single" w:sz="6" w:space="0" w:color="auto"/>
              <w:bottom w:val="single" w:sz="6" w:space="0" w:color="auto"/>
              <w:right w:val="single" w:sz="6" w:space="0" w:color="auto"/>
            </w:tcBorders>
          </w:tcPr>
          <w:p w14:paraId="7943A331" w14:textId="4F647CDC" w:rsidR="003226C7" w:rsidRPr="004E50E7" w:rsidRDefault="005A6850" w:rsidP="00084BC6">
            <w:pPr>
              <w:jc w:val="center"/>
              <w:rPr>
                <w:rFonts w:ascii="Calibri" w:hAnsi="Calibri"/>
                <w:sz w:val="20"/>
              </w:rPr>
            </w:pPr>
            <w:r>
              <w:rPr>
                <w:rFonts w:ascii="Calibri" w:hAnsi="Calibri"/>
                <w:sz w:val="20"/>
                <w:szCs w:val="22"/>
              </w:rPr>
              <w:t>2.7</w:t>
            </w:r>
          </w:p>
        </w:tc>
      </w:tr>
      <w:tr w:rsidR="003226C7" w:rsidRPr="004E50E7" w14:paraId="2661F3A6"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3754FDBC" w14:textId="77777777" w:rsidR="003226C7" w:rsidRPr="004E50E7" w:rsidRDefault="003226C7" w:rsidP="00084BC6">
            <w:pPr>
              <w:jc w:val="center"/>
              <w:rPr>
                <w:rFonts w:ascii="Calibri" w:hAnsi="Calibri"/>
                <w:sz w:val="20"/>
              </w:rPr>
            </w:pPr>
            <w:r w:rsidRPr="004E50E7">
              <w:rPr>
                <w:rFonts w:ascii="Calibri" w:hAnsi="Calibri"/>
                <w:sz w:val="20"/>
                <w:szCs w:val="22"/>
              </w:rPr>
              <w:t>$500,000-599,999</w:t>
            </w:r>
          </w:p>
        </w:tc>
        <w:tc>
          <w:tcPr>
            <w:tcW w:w="969" w:type="dxa"/>
            <w:tcBorders>
              <w:top w:val="single" w:sz="6" w:space="0" w:color="auto"/>
              <w:left w:val="single" w:sz="6" w:space="0" w:color="auto"/>
              <w:bottom w:val="single" w:sz="6" w:space="0" w:color="auto"/>
              <w:right w:val="single" w:sz="6" w:space="0" w:color="auto"/>
            </w:tcBorders>
          </w:tcPr>
          <w:p w14:paraId="5296E146" w14:textId="77ACBA3D" w:rsidR="003226C7" w:rsidRPr="004E50E7" w:rsidRDefault="00A7447E" w:rsidP="00084BC6">
            <w:pPr>
              <w:jc w:val="center"/>
              <w:rPr>
                <w:rFonts w:ascii="Calibri" w:hAnsi="Calibri"/>
                <w:sz w:val="20"/>
              </w:rPr>
            </w:pPr>
            <w:r>
              <w:rPr>
                <w:rFonts w:ascii="Calibri" w:hAnsi="Calibri"/>
                <w:sz w:val="20"/>
                <w:szCs w:val="22"/>
              </w:rPr>
              <w:t>445</w:t>
            </w:r>
          </w:p>
        </w:tc>
        <w:tc>
          <w:tcPr>
            <w:tcW w:w="887" w:type="dxa"/>
            <w:tcBorders>
              <w:top w:val="single" w:sz="6" w:space="0" w:color="auto"/>
              <w:left w:val="single" w:sz="6" w:space="0" w:color="auto"/>
              <w:bottom w:val="single" w:sz="6" w:space="0" w:color="auto"/>
              <w:right w:val="single" w:sz="6" w:space="0" w:color="auto"/>
            </w:tcBorders>
          </w:tcPr>
          <w:p w14:paraId="014D1B51" w14:textId="03BD5455" w:rsidR="003226C7" w:rsidRPr="004E50E7" w:rsidRDefault="00A7447E" w:rsidP="00084BC6">
            <w:pPr>
              <w:jc w:val="center"/>
              <w:rPr>
                <w:rFonts w:ascii="Calibri" w:hAnsi="Calibri"/>
                <w:sz w:val="20"/>
              </w:rPr>
            </w:pPr>
            <w:r>
              <w:rPr>
                <w:rFonts w:ascii="Calibri" w:hAnsi="Calibri"/>
                <w:sz w:val="20"/>
                <w:szCs w:val="22"/>
              </w:rPr>
              <w:t>5.3</w:t>
            </w:r>
          </w:p>
        </w:tc>
        <w:tc>
          <w:tcPr>
            <w:tcW w:w="900" w:type="dxa"/>
            <w:tcBorders>
              <w:top w:val="single" w:sz="6" w:space="0" w:color="auto"/>
              <w:left w:val="single" w:sz="6" w:space="0" w:color="auto"/>
              <w:bottom w:val="single" w:sz="6" w:space="0" w:color="auto"/>
              <w:right w:val="single" w:sz="6" w:space="0" w:color="auto"/>
            </w:tcBorders>
          </w:tcPr>
          <w:p w14:paraId="061DA096" w14:textId="5F23EE78" w:rsidR="003226C7" w:rsidRPr="004E50E7" w:rsidRDefault="005A6850" w:rsidP="00084BC6">
            <w:pPr>
              <w:jc w:val="center"/>
              <w:rPr>
                <w:rFonts w:ascii="Calibri" w:hAnsi="Calibri"/>
                <w:sz w:val="20"/>
              </w:rPr>
            </w:pPr>
            <w:r>
              <w:rPr>
                <w:rFonts w:ascii="Calibri" w:hAnsi="Calibri"/>
                <w:sz w:val="20"/>
                <w:szCs w:val="22"/>
              </w:rPr>
              <w:t>73</w:t>
            </w:r>
          </w:p>
        </w:tc>
        <w:tc>
          <w:tcPr>
            <w:tcW w:w="934" w:type="dxa"/>
            <w:tcBorders>
              <w:top w:val="single" w:sz="6" w:space="0" w:color="auto"/>
              <w:left w:val="single" w:sz="6" w:space="0" w:color="auto"/>
              <w:bottom w:val="single" w:sz="6" w:space="0" w:color="auto"/>
              <w:right w:val="single" w:sz="6" w:space="0" w:color="auto"/>
            </w:tcBorders>
          </w:tcPr>
          <w:p w14:paraId="39A649C6" w14:textId="6CAB83D8" w:rsidR="003226C7" w:rsidRPr="004E50E7" w:rsidRDefault="005A6850" w:rsidP="00084BC6">
            <w:pPr>
              <w:jc w:val="center"/>
              <w:rPr>
                <w:rFonts w:ascii="Calibri" w:hAnsi="Calibri"/>
                <w:sz w:val="20"/>
              </w:rPr>
            </w:pPr>
            <w:r>
              <w:rPr>
                <w:rFonts w:ascii="Calibri" w:hAnsi="Calibri"/>
                <w:sz w:val="20"/>
                <w:szCs w:val="22"/>
              </w:rPr>
              <w:t>7.4</w:t>
            </w:r>
          </w:p>
        </w:tc>
        <w:tc>
          <w:tcPr>
            <w:tcW w:w="990" w:type="dxa"/>
            <w:tcBorders>
              <w:top w:val="single" w:sz="6" w:space="0" w:color="auto"/>
              <w:left w:val="single" w:sz="6" w:space="0" w:color="auto"/>
              <w:bottom w:val="single" w:sz="6" w:space="0" w:color="auto"/>
              <w:right w:val="single" w:sz="6" w:space="0" w:color="auto"/>
            </w:tcBorders>
          </w:tcPr>
          <w:p w14:paraId="3B690781" w14:textId="13199E5F" w:rsidR="003226C7" w:rsidRPr="004E50E7" w:rsidRDefault="005A6850" w:rsidP="00084BC6">
            <w:pPr>
              <w:jc w:val="center"/>
              <w:rPr>
                <w:rFonts w:ascii="Calibri" w:hAnsi="Calibri"/>
                <w:sz w:val="20"/>
              </w:rPr>
            </w:pPr>
            <w:r>
              <w:rPr>
                <w:rFonts w:ascii="Calibri" w:hAnsi="Calibri"/>
                <w:sz w:val="20"/>
                <w:szCs w:val="22"/>
              </w:rPr>
              <w:t>518</w:t>
            </w:r>
          </w:p>
        </w:tc>
        <w:tc>
          <w:tcPr>
            <w:tcW w:w="900" w:type="dxa"/>
            <w:tcBorders>
              <w:top w:val="single" w:sz="6" w:space="0" w:color="auto"/>
              <w:left w:val="single" w:sz="6" w:space="0" w:color="auto"/>
              <w:bottom w:val="single" w:sz="6" w:space="0" w:color="auto"/>
              <w:right w:val="single" w:sz="6" w:space="0" w:color="auto"/>
            </w:tcBorders>
          </w:tcPr>
          <w:p w14:paraId="4751C0E5" w14:textId="020CD2D5" w:rsidR="003226C7" w:rsidRPr="004E50E7" w:rsidRDefault="005A6850" w:rsidP="00084BC6">
            <w:pPr>
              <w:jc w:val="center"/>
              <w:rPr>
                <w:rFonts w:ascii="Calibri" w:hAnsi="Calibri"/>
                <w:sz w:val="20"/>
              </w:rPr>
            </w:pPr>
            <w:r>
              <w:rPr>
                <w:rFonts w:ascii="Calibri" w:hAnsi="Calibri"/>
                <w:sz w:val="20"/>
                <w:szCs w:val="22"/>
              </w:rPr>
              <w:t>5.5</w:t>
            </w:r>
          </w:p>
        </w:tc>
      </w:tr>
      <w:tr w:rsidR="003226C7" w:rsidRPr="004E50E7" w14:paraId="3DB7F919"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16CCF4B5" w14:textId="77777777" w:rsidR="003226C7" w:rsidRPr="004E50E7" w:rsidRDefault="003226C7" w:rsidP="00084BC6">
            <w:pPr>
              <w:jc w:val="center"/>
              <w:rPr>
                <w:rFonts w:ascii="Calibri" w:hAnsi="Calibri"/>
                <w:sz w:val="20"/>
              </w:rPr>
            </w:pPr>
            <w:r w:rsidRPr="004E50E7">
              <w:rPr>
                <w:rFonts w:ascii="Calibri" w:hAnsi="Calibri"/>
                <w:sz w:val="20"/>
                <w:szCs w:val="22"/>
              </w:rPr>
              <w:t>$600,000-699,999</w:t>
            </w:r>
          </w:p>
        </w:tc>
        <w:tc>
          <w:tcPr>
            <w:tcW w:w="969" w:type="dxa"/>
            <w:tcBorders>
              <w:top w:val="single" w:sz="6" w:space="0" w:color="auto"/>
              <w:left w:val="single" w:sz="6" w:space="0" w:color="auto"/>
              <w:bottom w:val="single" w:sz="6" w:space="0" w:color="auto"/>
              <w:right w:val="single" w:sz="6" w:space="0" w:color="auto"/>
            </w:tcBorders>
          </w:tcPr>
          <w:p w14:paraId="4FD48F95" w14:textId="7D5369C4" w:rsidR="003226C7" w:rsidRPr="004E50E7" w:rsidRDefault="00A7447E" w:rsidP="00084BC6">
            <w:pPr>
              <w:jc w:val="center"/>
              <w:rPr>
                <w:rFonts w:ascii="Calibri" w:hAnsi="Calibri"/>
                <w:sz w:val="20"/>
              </w:rPr>
            </w:pPr>
            <w:r>
              <w:rPr>
                <w:rFonts w:ascii="Calibri" w:hAnsi="Calibri"/>
                <w:sz w:val="20"/>
                <w:szCs w:val="22"/>
              </w:rPr>
              <w:t>1,126</w:t>
            </w:r>
          </w:p>
        </w:tc>
        <w:tc>
          <w:tcPr>
            <w:tcW w:w="887" w:type="dxa"/>
            <w:tcBorders>
              <w:top w:val="single" w:sz="6" w:space="0" w:color="auto"/>
              <w:left w:val="single" w:sz="6" w:space="0" w:color="auto"/>
              <w:bottom w:val="single" w:sz="6" w:space="0" w:color="auto"/>
              <w:right w:val="single" w:sz="6" w:space="0" w:color="auto"/>
            </w:tcBorders>
          </w:tcPr>
          <w:p w14:paraId="28951A14" w14:textId="715FD3A9" w:rsidR="003226C7" w:rsidRPr="004E50E7" w:rsidRDefault="00A7447E" w:rsidP="00084BC6">
            <w:pPr>
              <w:jc w:val="center"/>
              <w:rPr>
                <w:rFonts w:ascii="Calibri" w:hAnsi="Calibri"/>
                <w:sz w:val="20"/>
              </w:rPr>
            </w:pPr>
            <w:r>
              <w:rPr>
                <w:rFonts w:ascii="Calibri" w:hAnsi="Calibri"/>
                <w:sz w:val="20"/>
                <w:szCs w:val="22"/>
              </w:rPr>
              <w:t>13.4</w:t>
            </w:r>
          </w:p>
        </w:tc>
        <w:tc>
          <w:tcPr>
            <w:tcW w:w="900" w:type="dxa"/>
            <w:tcBorders>
              <w:top w:val="single" w:sz="6" w:space="0" w:color="auto"/>
              <w:left w:val="single" w:sz="6" w:space="0" w:color="auto"/>
              <w:bottom w:val="single" w:sz="6" w:space="0" w:color="auto"/>
              <w:right w:val="single" w:sz="6" w:space="0" w:color="auto"/>
            </w:tcBorders>
          </w:tcPr>
          <w:p w14:paraId="7B1627A9" w14:textId="55143069" w:rsidR="003226C7" w:rsidRPr="004E50E7" w:rsidRDefault="005A6850" w:rsidP="00084BC6">
            <w:pPr>
              <w:jc w:val="center"/>
              <w:rPr>
                <w:rFonts w:ascii="Calibri" w:hAnsi="Calibri"/>
                <w:sz w:val="20"/>
              </w:rPr>
            </w:pPr>
            <w:r>
              <w:rPr>
                <w:rFonts w:ascii="Calibri" w:hAnsi="Calibri"/>
                <w:sz w:val="20"/>
                <w:szCs w:val="22"/>
              </w:rPr>
              <w:t>83</w:t>
            </w:r>
          </w:p>
        </w:tc>
        <w:tc>
          <w:tcPr>
            <w:tcW w:w="934" w:type="dxa"/>
            <w:tcBorders>
              <w:top w:val="single" w:sz="6" w:space="0" w:color="auto"/>
              <w:left w:val="single" w:sz="6" w:space="0" w:color="auto"/>
              <w:bottom w:val="single" w:sz="6" w:space="0" w:color="auto"/>
              <w:right w:val="single" w:sz="6" w:space="0" w:color="auto"/>
            </w:tcBorders>
          </w:tcPr>
          <w:p w14:paraId="1BFC79A7" w14:textId="19808FA4" w:rsidR="003226C7" w:rsidRPr="004E50E7" w:rsidRDefault="005A6850" w:rsidP="00084BC6">
            <w:pPr>
              <w:jc w:val="center"/>
              <w:rPr>
                <w:rFonts w:ascii="Calibri" w:hAnsi="Calibri"/>
                <w:sz w:val="20"/>
              </w:rPr>
            </w:pPr>
            <w:r>
              <w:rPr>
                <w:rFonts w:ascii="Calibri" w:hAnsi="Calibri"/>
                <w:sz w:val="20"/>
                <w:szCs w:val="22"/>
              </w:rPr>
              <w:t>8.4</w:t>
            </w:r>
          </w:p>
        </w:tc>
        <w:tc>
          <w:tcPr>
            <w:tcW w:w="990" w:type="dxa"/>
            <w:tcBorders>
              <w:top w:val="single" w:sz="6" w:space="0" w:color="auto"/>
              <w:left w:val="single" w:sz="6" w:space="0" w:color="auto"/>
              <w:bottom w:val="single" w:sz="6" w:space="0" w:color="auto"/>
              <w:right w:val="single" w:sz="6" w:space="0" w:color="auto"/>
            </w:tcBorders>
          </w:tcPr>
          <w:p w14:paraId="3FD3CDDD" w14:textId="05BCCFDD" w:rsidR="003226C7" w:rsidRPr="004E50E7" w:rsidRDefault="005A6850" w:rsidP="00084BC6">
            <w:pPr>
              <w:jc w:val="center"/>
              <w:rPr>
                <w:rFonts w:ascii="Calibri" w:hAnsi="Calibri"/>
                <w:sz w:val="20"/>
              </w:rPr>
            </w:pPr>
            <w:r>
              <w:rPr>
                <w:rFonts w:ascii="Calibri" w:hAnsi="Calibri"/>
                <w:sz w:val="20"/>
                <w:szCs w:val="22"/>
              </w:rPr>
              <w:t>1,209</w:t>
            </w:r>
          </w:p>
        </w:tc>
        <w:tc>
          <w:tcPr>
            <w:tcW w:w="900" w:type="dxa"/>
            <w:tcBorders>
              <w:top w:val="single" w:sz="6" w:space="0" w:color="auto"/>
              <w:left w:val="single" w:sz="6" w:space="0" w:color="auto"/>
              <w:bottom w:val="single" w:sz="6" w:space="0" w:color="auto"/>
              <w:right w:val="single" w:sz="6" w:space="0" w:color="auto"/>
            </w:tcBorders>
          </w:tcPr>
          <w:p w14:paraId="3B8D7B17" w14:textId="7F432856" w:rsidR="003226C7" w:rsidRPr="004E50E7" w:rsidRDefault="005A6850" w:rsidP="00084BC6">
            <w:pPr>
              <w:jc w:val="center"/>
              <w:rPr>
                <w:rFonts w:ascii="Calibri" w:hAnsi="Calibri"/>
                <w:sz w:val="20"/>
              </w:rPr>
            </w:pPr>
            <w:r>
              <w:rPr>
                <w:rFonts w:ascii="Calibri" w:hAnsi="Calibri"/>
                <w:sz w:val="20"/>
                <w:szCs w:val="22"/>
              </w:rPr>
              <w:t>12.7</w:t>
            </w:r>
          </w:p>
        </w:tc>
      </w:tr>
      <w:tr w:rsidR="003226C7" w:rsidRPr="004E50E7" w14:paraId="0F77A051"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55DC0275" w14:textId="77777777" w:rsidR="003226C7" w:rsidRPr="004E50E7" w:rsidRDefault="003226C7" w:rsidP="00084BC6">
            <w:pPr>
              <w:jc w:val="center"/>
              <w:rPr>
                <w:rFonts w:ascii="Calibri" w:hAnsi="Calibri"/>
                <w:sz w:val="20"/>
              </w:rPr>
            </w:pPr>
            <w:r w:rsidRPr="004E50E7">
              <w:rPr>
                <w:rFonts w:ascii="Calibri" w:hAnsi="Calibri"/>
                <w:sz w:val="20"/>
                <w:szCs w:val="22"/>
              </w:rPr>
              <w:t>$700,000-799,999</w:t>
            </w:r>
          </w:p>
        </w:tc>
        <w:tc>
          <w:tcPr>
            <w:tcW w:w="969" w:type="dxa"/>
            <w:tcBorders>
              <w:top w:val="single" w:sz="6" w:space="0" w:color="auto"/>
              <w:left w:val="single" w:sz="6" w:space="0" w:color="auto"/>
              <w:bottom w:val="single" w:sz="6" w:space="0" w:color="auto"/>
              <w:right w:val="single" w:sz="6" w:space="0" w:color="auto"/>
            </w:tcBorders>
          </w:tcPr>
          <w:p w14:paraId="74571C31" w14:textId="20C58F51" w:rsidR="003226C7" w:rsidRPr="004E50E7" w:rsidRDefault="00A7447E" w:rsidP="00084BC6">
            <w:pPr>
              <w:jc w:val="center"/>
              <w:rPr>
                <w:rFonts w:ascii="Calibri" w:hAnsi="Calibri"/>
                <w:sz w:val="20"/>
              </w:rPr>
            </w:pPr>
            <w:r>
              <w:rPr>
                <w:rFonts w:ascii="Calibri" w:hAnsi="Calibri"/>
                <w:sz w:val="20"/>
                <w:szCs w:val="22"/>
              </w:rPr>
              <w:t>1,442</w:t>
            </w:r>
          </w:p>
        </w:tc>
        <w:tc>
          <w:tcPr>
            <w:tcW w:w="887" w:type="dxa"/>
            <w:tcBorders>
              <w:top w:val="single" w:sz="6" w:space="0" w:color="auto"/>
              <w:left w:val="single" w:sz="6" w:space="0" w:color="auto"/>
              <w:bottom w:val="single" w:sz="6" w:space="0" w:color="auto"/>
              <w:right w:val="single" w:sz="6" w:space="0" w:color="auto"/>
            </w:tcBorders>
          </w:tcPr>
          <w:p w14:paraId="4CE16DE6" w14:textId="5F071410" w:rsidR="003226C7" w:rsidRPr="004E50E7" w:rsidRDefault="00A7447E" w:rsidP="00084BC6">
            <w:pPr>
              <w:jc w:val="center"/>
              <w:rPr>
                <w:rFonts w:ascii="Calibri" w:hAnsi="Calibri"/>
                <w:sz w:val="20"/>
              </w:rPr>
            </w:pPr>
            <w:r>
              <w:rPr>
                <w:rFonts w:ascii="Calibri" w:hAnsi="Calibri"/>
                <w:sz w:val="20"/>
                <w:szCs w:val="22"/>
              </w:rPr>
              <w:t>17.1</w:t>
            </w:r>
          </w:p>
        </w:tc>
        <w:tc>
          <w:tcPr>
            <w:tcW w:w="900" w:type="dxa"/>
            <w:tcBorders>
              <w:top w:val="single" w:sz="6" w:space="0" w:color="auto"/>
              <w:left w:val="single" w:sz="6" w:space="0" w:color="auto"/>
              <w:bottom w:val="single" w:sz="6" w:space="0" w:color="auto"/>
              <w:right w:val="single" w:sz="6" w:space="0" w:color="auto"/>
            </w:tcBorders>
          </w:tcPr>
          <w:p w14:paraId="7F41F22F" w14:textId="3610BC4A" w:rsidR="003226C7" w:rsidRPr="004E50E7" w:rsidRDefault="005A6850" w:rsidP="00084BC6">
            <w:pPr>
              <w:jc w:val="center"/>
              <w:rPr>
                <w:rFonts w:ascii="Calibri" w:hAnsi="Calibri"/>
                <w:sz w:val="20"/>
              </w:rPr>
            </w:pPr>
            <w:r>
              <w:rPr>
                <w:rFonts w:ascii="Calibri" w:hAnsi="Calibri"/>
                <w:sz w:val="20"/>
                <w:szCs w:val="22"/>
              </w:rPr>
              <w:t>95</w:t>
            </w:r>
          </w:p>
        </w:tc>
        <w:tc>
          <w:tcPr>
            <w:tcW w:w="934" w:type="dxa"/>
            <w:tcBorders>
              <w:top w:val="single" w:sz="6" w:space="0" w:color="auto"/>
              <w:left w:val="single" w:sz="6" w:space="0" w:color="auto"/>
              <w:bottom w:val="single" w:sz="6" w:space="0" w:color="auto"/>
              <w:right w:val="single" w:sz="6" w:space="0" w:color="auto"/>
            </w:tcBorders>
          </w:tcPr>
          <w:p w14:paraId="1FF4E8EA" w14:textId="7E6121C4" w:rsidR="003226C7" w:rsidRPr="004E50E7" w:rsidRDefault="005A6850" w:rsidP="00084BC6">
            <w:pPr>
              <w:jc w:val="center"/>
              <w:rPr>
                <w:rFonts w:ascii="Calibri" w:hAnsi="Calibri"/>
                <w:sz w:val="20"/>
              </w:rPr>
            </w:pPr>
            <w:r>
              <w:rPr>
                <w:rFonts w:ascii="Calibri" w:hAnsi="Calibri"/>
                <w:sz w:val="20"/>
                <w:szCs w:val="22"/>
              </w:rPr>
              <w:t>7.6</w:t>
            </w:r>
          </w:p>
        </w:tc>
        <w:tc>
          <w:tcPr>
            <w:tcW w:w="990" w:type="dxa"/>
            <w:tcBorders>
              <w:top w:val="single" w:sz="6" w:space="0" w:color="auto"/>
              <w:left w:val="single" w:sz="6" w:space="0" w:color="auto"/>
              <w:bottom w:val="single" w:sz="6" w:space="0" w:color="auto"/>
              <w:right w:val="single" w:sz="6" w:space="0" w:color="auto"/>
            </w:tcBorders>
          </w:tcPr>
          <w:p w14:paraId="11982BF5" w14:textId="3CF0BF92" w:rsidR="003226C7" w:rsidRPr="004E50E7" w:rsidRDefault="005A6850" w:rsidP="00084BC6">
            <w:pPr>
              <w:jc w:val="center"/>
              <w:rPr>
                <w:rFonts w:ascii="Calibri" w:hAnsi="Calibri"/>
                <w:sz w:val="20"/>
              </w:rPr>
            </w:pPr>
            <w:r>
              <w:rPr>
                <w:rFonts w:ascii="Calibri" w:hAnsi="Calibri"/>
                <w:sz w:val="20"/>
                <w:szCs w:val="22"/>
              </w:rPr>
              <w:t>1,537</w:t>
            </w:r>
          </w:p>
        </w:tc>
        <w:tc>
          <w:tcPr>
            <w:tcW w:w="900" w:type="dxa"/>
            <w:tcBorders>
              <w:top w:val="single" w:sz="6" w:space="0" w:color="auto"/>
              <w:left w:val="single" w:sz="6" w:space="0" w:color="auto"/>
              <w:bottom w:val="single" w:sz="6" w:space="0" w:color="auto"/>
              <w:right w:val="single" w:sz="6" w:space="0" w:color="auto"/>
            </w:tcBorders>
          </w:tcPr>
          <w:p w14:paraId="15DB0C68" w14:textId="36431605" w:rsidR="003226C7" w:rsidRPr="004E50E7" w:rsidRDefault="005A6850" w:rsidP="00084BC6">
            <w:pPr>
              <w:jc w:val="center"/>
              <w:rPr>
                <w:rFonts w:ascii="Calibri" w:hAnsi="Calibri"/>
                <w:sz w:val="20"/>
              </w:rPr>
            </w:pPr>
            <w:r>
              <w:rPr>
                <w:rFonts w:ascii="Calibri" w:hAnsi="Calibri"/>
                <w:sz w:val="20"/>
                <w:szCs w:val="22"/>
              </w:rPr>
              <w:t>16.4</w:t>
            </w:r>
          </w:p>
        </w:tc>
      </w:tr>
      <w:tr w:rsidR="003226C7" w:rsidRPr="004E50E7" w14:paraId="14BF3E8E"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7B4DEF2E" w14:textId="77777777" w:rsidR="003226C7" w:rsidRPr="004E50E7" w:rsidRDefault="003226C7" w:rsidP="00084BC6">
            <w:pPr>
              <w:jc w:val="center"/>
              <w:rPr>
                <w:rFonts w:ascii="Calibri" w:hAnsi="Calibri"/>
                <w:sz w:val="20"/>
              </w:rPr>
            </w:pPr>
            <w:r w:rsidRPr="004E50E7">
              <w:rPr>
                <w:rFonts w:ascii="Calibri" w:hAnsi="Calibri"/>
                <w:sz w:val="20"/>
                <w:szCs w:val="22"/>
              </w:rPr>
              <w:t>$800,000-899,999</w:t>
            </w:r>
          </w:p>
        </w:tc>
        <w:tc>
          <w:tcPr>
            <w:tcW w:w="969" w:type="dxa"/>
            <w:tcBorders>
              <w:top w:val="single" w:sz="6" w:space="0" w:color="auto"/>
              <w:left w:val="single" w:sz="6" w:space="0" w:color="auto"/>
              <w:bottom w:val="single" w:sz="6" w:space="0" w:color="auto"/>
              <w:right w:val="single" w:sz="6" w:space="0" w:color="auto"/>
            </w:tcBorders>
          </w:tcPr>
          <w:p w14:paraId="77DDBAE8" w14:textId="47FEDD39" w:rsidR="003226C7" w:rsidRPr="004E50E7" w:rsidRDefault="00A7447E" w:rsidP="00084BC6">
            <w:pPr>
              <w:jc w:val="center"/>
              <w:rPr>
                <w:rFonts w:ascii="Calibri" w:hAnsi="Calibri"/>
                <w:sz w:val="20"/>
              </w:rPr>
            </w:pPr>
            <w:r>
              <w:rPr>
                <w:rFonts w:ascii="Calibri" w:hAnsi="Calibri"/>
                <w:sz w:val="20"/>
                <w:szCs w:val="22"/>
              </w:rPr>
              <w:t>1,368</w:t>
            </w:r>
          </w:p>
        </w:tc>
        <w:tc>
          <w:tcPr>
            <w:tcW w:w="887" w:type="dxa"/>
            <w:tcBorders>
              <w:top w:val="single" w:sz="6" w:space="0" w:color="auto"/>
              <w:left w:val="single" w:sz="6" w:space="0" w:color="auto"/>
              <w:bottom w:val="single" w:sz="6" w:space="0" w:color="auto"/>
              <w:right w:val="single" w:sz="6" w:space="0" w:color="auto"/>
            </w:tcBorders>
          </w:tcPr>
          <w:p w14:paraId="10585896" w14:textId="379260A5" w:rsidR="003226C7" w:rsidRPr="004E50E7" w:rsidRDefault="00A7447E" w:rsidP="00084BC6">
            <w:pPr>
              <w:jc w:val="center"/>
              <w:rPr>
                <w:rFonts w:ascii="Calibri" w:hAnsi="Calibri"/>
                <w:sz w:val="20"/>
              </w:rPr>
            </w:pPr>
            <w:r>
              <w:rPr>
                <w:rFonts w:ascii="Calibri" w:hAnsi="Calibri"/>
                <w:sz w:val="20"/>
                <w:szCs w:val="22"/>
              </w:rPr>
              <w:t>16.3</w:t>
            </w:r>
          </w:p>
        </w:tc>
        <w:tc>
          <w:tcPr>
            <w:tcW w:w="900" w:type="dxa"/>
            <w:tcBorders>
              <w:top w:val="single" w:sz="6" w:space="0" w:color="auto"/>
              <w:left w:val="single" w:sz="6" w:space="0" w:color="auto"/>
              <w:bottom w:val="single" w:sz="6" w:space="0" w:color="auto"/>
              <w:right w:val="single" w:sz="6" w:space="0" w:color="auto"/>
            </w:tcBorders>
          </w:tcPr>
          <w:p w14:paraId="284B212D" w14:textId="100BE92C" w:rsidR="003226C7" w:rsidRPr="004E50E7" w:rsidRDefault="005A6850" w:rsidP="00084BC6">
            <w:pPr>
              <w:jc w:val="center"/>
              <w:rPr>
                <w:rFonts w:ascii="Calibri" w:hAnsi="Calibri"/>
                <w:sz w:val="20"/>
              </w:rPr>
            </w:pPr>
            <w:r>
              <w:rPr>
                <w:rFonts w:ascii="Calibri" w:hAnsi="Calibri"/>
                <w:sz w:val="20"/>
                <w:szCs w:val="22"/>
              </w:rPr>
              <w:t>89</w:t>
            </w:r>
          </w:p>
        </w:tc>
        <w:tc>
          <w:tcPr>
            <w:tcW w:w="934" w:type="dxa"/>
            <w:tcBorders>
              <w:top w:val="single" w:sz="6" w:space="0" w:color="auto"/>
              <w:left w:val="single" w:sz="6" w:space="0" w:color="auto"/>
              <w:bottom w:val="single" w:sz="6" w:space="0" w:color="auto"/>
              <w:right w:val="single" w:sz="6" w:space="0" w:color="auto"/>
            </w:tcBorders>
          </w:tcPr>
          <w:p w14:paraId="6544750A" w14:textId="2FC29ED6" w:rsidR="003226C7" w:rsidRPr="004E50E7" w:rsidRDefault="005A6850" w:rsidP="00084BC6">
            <w:pPr>
              <w:jc w:val="center"/>
              <w:rPr>
                <w:rFonts w:ascii="Calibri" w:hAnsi="Calibri"/>
                <w:sz w:val="20"/>
              </w:rPr>
            </w:pPr>
            <w:r>
              <w:rPr>
                <w:rFonts w:ascii="Calibri" w:hAnsi="Calibri"/>
                <w:sz w:val="20"/>
                <w:szCs w:val="22"/>
              </w:rPr>
              <w:t>9.0</w:t>
            </w:r>
          </w:p>
        </w:tc>
        <w:tc>
          <w:tcPr>
            <w:tcW w:w="990" w:type="dxa"/>
            <w:tcBorders>
              <w:top w:val="single" w:sz="6" w:space="0" w:color="auto"/>
              <w:left w:val="single" w:sz="6" w:space="0" w:color="auto"/>
              <w:bottom w:val="single" w:sz="6" w:space="0" w:color="auto"/>
              <w:right w:val="single" w:sz="6" w:space="0" w:color="auto"/>
            </w:tcBorders>
          </w:tcPr>
          <w:p w14:paraId="0E4AFB98" w14:textId="64FD578B" w:rsidR="003226C7" w:rsidRPr="004E50E7" w:rsidRDefault="005A6850" w:rsidP="00084BC6">
            <w:pPr>
              <w:jc w:val="center"/>
              <w:rPr>
                <w:rFonts w:ascii="Calibri" w:hAnsi="Calibri"/>
                <w:sz w:val="20"/>
              </w:rPr>
            </w:pPr>
            <w:r>
              <w:rPr>
                <w:rFonts w:ascii="Calibri" w:hAnsi="Calibri"/>
                <w:sz w:val="20"/>
                <w:szCs w:val="22"/>
              </w:rPr>
              <w:t>1,457</w:t>
            </w:r>
          </w:p>
        </w:tc>
        <w:tc>
          <w:tcPr>
            <w:tcW w:w="900" w:type="dxa"/>
            <w:tcBorders>
              <w:top w:val="single" w:sz="6" w:space="0" w:color="auto"/>
              <w:left w:val="single" w:sz="6" w:space="0" w:color="auto"/>
              <w:bottom w:val="single" w:sz="6" w:space="0" w:color="auto"/>
              <w:right w:val="single" w:sz="6" w:space="0" w:color="auto"/>
            </w:tcBorders>
          </w:tcPr>
          <w:p w14:paraId="6DA2AC77" w14:textId="2F853D4B" w:rsidR="003226C7" w:rsidRPr="004E50E7" w:rsidRDefault="005A6850" w:rsidP="00084BC6">
            <w:pPr>
              <w:jc w:val="center"/>
              <w:rPr>
                <w:rFonts w:ascii="Calibri" w:hAnsi="Calibri"/>
                <w:sz w:val="20"/>
              </w:rPr>
            </w:pPr>
            <w:r>
              <w:rPr>
                <w:rFonts w:ascii="Calibri" w:hAnsi="Calibri"/>
                <w:sz w:val="20"/>
                <w:szCs w:val="22"/>
              </w:rPr>
              <w:t>15.5</w:t>
            </w:r>
          </w:p>
        </w:tc>
      </w:tr>
      <w:tr w:rsidR="003226C7" w:rsidRPr="004E50E7" w14:paraId="77471B1A"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07CF81AA" w14:textId="77777777" w:rsidR="003226C7" w:rsidRPr="004E50E7" w:rsidRDefault="003226C7" w:rsidP="00084BC6">
            <w:pPr>
              <w:jc w:val="center"/>
              <w:rPr>
                <w:rFonts w:ascii="Calibri" w:hAnsi="Calibri"/>
                <w:sz w:val="20"/>
              </w:rPr>
            </w:pPr>
            <w:r w:rsidRPr="004E50E7">
              <w:rPr>
                <w:rFonts w:ascii="Calibri" w:hAnsi="Calibri"/>
                <w:sz w:val="20"/>
                <w:szCs w:val="22"/>
              </w:rPr>
              <w:t>$900,000-999,999</w:t>
            </w:r>
          </w:p>
        </w:tc>
        <w:tc>
          <w:tcPr>
            <w:tcW w:w="969" w:type="dxa"/>
            <w:tcBorders>
              <w:top w:val="single" w:sz="6" w:space="0" w:color="auto"/>
              <w:left w:val="single" w:sz="6" w:space="0" w:color="auto"/>
              <w:bottom w:val="single" w:sz="6" w:space="0" w:color="auto"/>
              <w:right w:val="single" w:sz="6" w:space="0" w:color="auto"/>
            </w:tcBorders>
          </w:tcPr>
          <w:p w14:paraId="3EAE1373" w14:textId="274DDEF6" w:rsidR="003226C7" w:rsidRPr="004E50E7" w:rsidRDefault="00A7447E" w:rsidP="00084BC6">
            <w:pPr>
              <w:jc w:val="center"/>
              <w:rPr>
                <w:rFonts w:ascii="Calibri" w:hAnsi="Calibri"/>
                <w:sz w:val="20"/>
              </w:rPr>
            </w:pPr>
            <w:r>
              <w:rPr>
                <w:rFonts w:ascii="Calibri" w:hAnsi="Calibri"/>
                <w:sz w:val="20"/>
                <w:szCs w:val="22"/>
              </w:rPr>
              <w:t>857</w:t>
            </w:r>
          </w:p>
        </w:tc>
        <w:tc>
          <w:tcPr>
            <w:tcW w:w="887" w:type="dxa"/>
            <w:tcBorders>
              <w:top w:val="single" w:sz="6" w:space="0" w:color="auto"/>
              <w:left w:val="single" w:sz="6" w:space="0" w:color="auto"/>
              <w:bottom w:val="single" w:sz="6" w:space="0" w:color="auto"/>
              <w:right w:val="single" w:sz="6" w:space="0" w:color="auto"/>
            </w:tcBorders>
          </w:tcPr>
          <w:p w14:paraId="372D0190" w14:textId="13ED355E" w:rsidR="003226C7" w:rsidRPr="004E50E7" w:rsidRDefault="00A7447E" w:rsidP="00084BC6">
            <w:pPr>
              <w:jc w:val="center"/>
              <w:rPr>
                <w:rFonts w:ascii="Calibri" w:hAnsi="Calibri"/>
                <w:sz w:val="20"/>
              </w:rPr>
            </w:pPr>
            <w:r>
              <w:rPr>
                <w:rFonts w:ascii="Calibri" w:hAnsi="Calibri"/>
                <w:sz w:val="20"/>
                <w:szCs w:val="22"/>
              </w:rPr>
              <w:t>10</w:t>
            </w:r>
            <w:r w:rsidR="005A6850">
              <w:rPr>
                <w:rFonts w:ascii="Calibri" w:hAnsi="Calibri"/>
                <w:sz w:val="20"/>
                <w:szCs w:val="22"/>
              </w:rPr>
              <w:t>.2</w:t>
            </w:r>
          </w:p>
        </w:tc>
        <w:tc>
          <w:tcPr>
            <w:tcW w:w="900" w:type="dxa"/>
            <w:tcBorders>
              <w:top w:val="single" w:sz="6" w:space="0" w:color="auto"/>
              <w:left w:val="single" w:sz="6" w:space="0" w:color="auto"/>
              <w:bottom w:val="single" w:sz="6" w:space="0" w:color="auto"/>
              <w:right w:val="single" w:sz="6" w:space="0" w:color="auto"/>
            </w:tcBorders>
          </w:tcPr>
          <w:p w14:paraId="54A1C289" w14:textId="0C08D4DE" w:rsidR="003226C7" w:rsidRPr="004E50E7" w:rsidRDefault="005A6850" w:rsidP="00084BC6">
            <w:pPr>
              <w:jc w:val="center"/>
              <w:rPr>
                <w:rFonts w:ascii="Calibri" w:hAnsi="Calibri"/>
                <w:sz w:val="20"/>
              </w:rPr>
            </w:pPr>
            <w:r>
              <w:rPr>
                <w:rFonts w:ascii="Calibri" w:hAnsi="Calibri"/>
                <w:sz w:val="20"/>
                <w:szCs w:val="22"/>
              </w:rPr>
              <w:t>92</w:t>
            </w:r>
          </w:p>
        </w:tc>
        <w:tc>
          <w:tcPr>
            <w:tcW w:w="934" w:type="dxa"/>
            <w:tcBorders>
              <w:top w:val="single" w:sz="6" w:space="0" w:color="auto"/>
              <w:left w:val="single" w:sz="6" w:space="0" w:color="auto"/>
              <w:bottom w:val="single" w:sz="6" w:space="0" w:color="auto"/>
              <w:right w:val="single" w:sz="6" w:space="0" w:color="auto"/>
            </w:tcBorders>
          </w:tcPr>
          <w:p w14:paraId="5CB0D7B6" w14:textId="74F19D16" w:rsidR="003226C7" w:rsidRPr="004E50E7" w:rsidRDefault="005A6850" w:rsidP="00084BC6">
            <w:pPr>
              <w:jc w:val="center"/>
              <w:rPr>
                <w:rFonts w:ascii="Calibri" w:hAnsi="Calibri"/>
                <w:sz w:val="20"/>
              </w:rPr>
            </w:pPr>
            <w:r>
              <w:rPr>
                <w:rFonts w:ascii="Calibri" w:hAnsi="Calibri"/>
                <w:sz w:val="20"/>
                <w:szCs w:val="22"/>
              </w:rPr>
              <w:t>9.3</w:t>
            </w:r>
          </w:p>
        </w:tc>
        <w:tc>
          <w:tcPr>
            <w:tcW w:w="990" w:type="dxa"/>
            <w:tcBorders>
              <w:top w:val="single" w:sz="6" w:space="0" w:color="auto"/>
              <w:left w:val="single" w:sz="6" w:space="0" w:color="auto"/>
              <w:bottom w:val="single" w:sz="6" w:space="0" w:color="auto"/>
              <w:right w:val="single" w:sz="6" w:space="0" w:color="auto"/>
            </w:tcBorders>
          </w:tcPr>
          <w:p w14:paraId="07504813" w14:textId="7DA9FFDD" w:rsidR="003226C7" w:rsidRPr="004E50E7" w:rsidRDefault="005A6850" w:rsidP="00084BC6">
            <w:pPr>
              <w:jc w:val="center"/>
              <w:rPr>
                <w:rFonts w:ascii="Calibri" w:hAnsi="Calibri"/>
                <w:sz w:val="20"/>
              </w:rPr>
            </w:pPr>
            <w:r>
              <w:rPr>
                <w:rFonts w:ascii="Calibri" w:hAnsi="Calibri"/>
                <w:sz w:val="20"/>
                <w:szCs w:val="22"/>
              </w:rPr>
              <w:t>949</w:t>
            </w:r>
          </w:p>
        </w:tc>
        <w:tc>
          <w:tcPr>
            <w:tcW w:w="900" w:type="dxa"/>
            <w:tcBorders>
              <w:top w:val="single" w:sz="6" w:space="0" w:color="auto"/>
              <w:left w:val="single" w:sz="6" w:space="0" w:color="auto"/>
              <w:bottom w:val="single" w:sz="6" w:space="0" w:color="auto"/>
              <w:right w:val="single" w:sz="6" w:space="0" w:color="auto"/>
            </w:tcBorders>
          </w:tcPr>
          <w:p w14:paraId="2DE9A40C" w14:textId="08B927FF" w:rsidR="003226C7" w:rsidRPr="004E50E7" w:rsidRDefault="005A6850" w:rsidP="00084BC6">
            <w:pPr>
              <w:jc w:val="center"/>
              <w:rPr>
                <w:rFonts w:ascii="Calibri" w:hAnsi="Calibri"/>
                <w:sz w:val="20"/>
              </w:rPr>
            </w:pPr>
            <w:r>
              <w:rPr>
                <w:rFonts w:ascii="Calibri" w:hAnsi="Calibri"/>
                <w:sz w:val="20"/>
                <w:szCs w:val="22"/>
              </w:rPr>
              <w:t>10.1</w:t>
            </w:r>
          </w:p>
        </w:tc>
      </w:tr>
      <w:tr w:rsidR="003226C7" w:rsidRPr="004E50E7" w14:paraId="3A481F9C"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7DE79DDE" w14:textId="77777777" w:rsidR="003226C7" w:rsidRPr="004E50E7" w:rsidRDefault="003226C7" w:rsidP="00084BC6">
            <w:pPr>
              <w:jc w:val="center"/>
              <w:rPr>
                <w:rFonts w:ascii="Calibri" w:hAnsi="Calibri"/>
                <w:sz w:val="20"/>
              </w:rPr>
            </w:pPr>
            <w:r w:rsidRPr="004E50E7">
              <w:rPr>
                <w:rFonts w:ascii="Calibri" w:hAnsi="Calibri"/>
                <w:sz w:val="20"/>
                <w:szCs w:val="22"/>
              </w:rPr>
              <w:t>Over $1 million</w:t>
            </w:r>
          </w:p>
        </w:tc>
        <w:tc>
          <w:tcPr>
            <w:tcW w:w="969" w:type="dxa"/>
            <w:tcBorders>
              <w:top w:val="single" w:sz="6" w:space="0" w:color="auto"/>
              <w:left w:val="single" w:sz="6" w:space="0" w:color="auto"/>
              <w:bottom w:val="single" w:sz="6" w:space="0" w:color="auto"/>
              <w:right w:val="single" w:sz="6" w:space="0" w:color="auto"/>
            </w:tcBorders>
          </w:tcPr>
          <w:p w14:paraId="39A03D5E" w14:textId="1B2E0DF2" w:rsidR="003226C7" w:rsidRPr="004E50E7" w:rsidRDefault="00A7447E" w:rsidP="00084BC6">
            <w:pPr>
              <w:jc w:val="center"/>
              <w:rPr>
                <w:rFonts w:ascii="Calibri" w:hAnsi="Calibri"/>
                <w:sz w:val="20"/>
              </w:rPr>
            </w:pPr>
            <w:r>
              <w:rPr>
                <w:rFonts w:ascii="Calibri" w:hAnsi="Calibri"/>
                <w:sz w:val="20"/>
                <w:szCs w:val="22"/>
              </w:rPr>
              <w:t>3,062</w:t>
            </w:r>
          </w:p>
        </w:tc>
        <w:tc>
          <w:tcPr>
            <w:tcW w:w="887" w:type="dxa"/>
            <w:tcBorders>
              <w:top w:val="single" w:sz="6" w:space="0" w:color="auto"/>
              <w:left w:val="single" w:sz="6" w:space="0" w:color="auto"/>
              <w:bottom w:val="single" w:sz="6" w:space="0" w:color="auto"/>
              <w:right w:val="single" w:sz="6" w:space="0" w:color="auto"/>
            </w:tcBorders>
          </w:tcPr>
          <w:p w14:paraId="535F1265" w14:textId="5858296D" w:rsidR="003226C7" w:rsidRPr="004E50E7" w:rsidRDefault="005A6850" w:rsidP="00084BC6">
            <w:pPr>
              <w:jc w:val="center"/>
              <w:rPr>
                <w:rFonts w:ascii="Calibri" w:hAnsi="Calibri"/>
                <w:sz w:val="20"/>
              </w:rPr>
            </w:pPr>
            <w:r>
              <w:rPr>
                <w:rFonts w:ascii="Calibri" w:hAnsi="Calibri"/>
                <w:sz w:val="20"/>
                <w:szCs w:val="22"/>
              </w:rPr>
              <w:t>36.4</w:t>
            </w:r>
          </w:p>
        </w:tc>
        <w:tc>
          <w:tcPr>
            <w:tcW w:w="900" w:type="dxa"/>
            <w:tcBorders>
              <w:top w:val="single" w:sz="6" w:space="0" w:color="auto"/>
              <w:left w:val="single" w:sz="6" w:space="0" w:color="auto"/>
              <w:bottom w:val="single" w:sz="6" w:space="0" w:color="auto"/>
              <w:right w:val="single" w:sz="6" w:space="0" w:color="auto"/>
            </w:tcBorders>
          </w:tcPr>
          <w:p w14:paraId="01517EF8" w14:textId="3AC82200" w:rsidR="003226C7" w:rsidRPr="004E50E7" w:rsidRDefault="005A6850" w:rsidP="00084BC6">
            <w:pPr>
              <w:jc w:val="center"/>
              <w:rPr>
                <w:rFonts w:ascii="Calibri" w:hAnsi="Calibri"/>
                <w:sz w:val="20"/>
              </w:rPr>
            </w:pPr>
            <w:r>
              <w:rPr>
                <w:rFonts w:ascii="Calibri" w:hAnsi="Calibri"/>
                <w:sz w:val="20"/>
                <w:szCs w:val="22"/>
              </w:rPr>
              <w:t>156</w:t>
            </w:r>
          </w:p>
        </w:tc>
        <w:tc>
          <w:tcPr>
            <w:tcW w:w="934" w:type="dxa"/>
            <w:tcBorders>
              <w:top w:val="single" w:sz="6" w:space="0" w:color="auto"/>
              <w:left w:val="single" w:sz="6" w:space="0" w:color="auto"/>
              <w:bottom w:val="single" w:sz="6" w:space="0" w:color="auto"/>
              <w:right w:val="single" w:sz="6" w:space="0" w:color="auto"/>
            </w:tcBorders>
          </w:tcPr>
          <w:p w14:paraId="2E808E24" w14:textId="23DB731A" w:rsidR="003226C7" w:rsidRPr="004E50E7" w:rsidRDefault="005A6850" w:rsidP="00084BC6">
            <w:pPr>
              <w:jc w:val="center"/>
              <w:rPr>
                <w:rFonts w:ascii="Calibri" w:hAnsi="Calibri"/>
                <w:sz w:val="20"/>
              </w:rPr>
            </w:pPr>
            <w:r>
              <w:rPr>
                <w:rFonts w:ascii="Calibri" w:hAnsi="Calibri"/>
                <w:sz w:val="20"/>
                <w:szCs w:val="22"/>
              </w:rPr>
              <w:t>15.8</w:t>
            </w:r>
          </w:p>
        </w:tc>
        <w:tc>
          <w:tcPr>
            <w:tcW w:w="990" w:type="dxa"/>
            <w:tcBorders>
              <w:top w:val="single" w:sz="6" w:space="0" w:color="auto"/>
              <w:left w:val="single" w:sz="6" w:space="0" w:color="auto"/>
              <w:bottom w:val="single" w:sz="6" w:space="0" w:color="auto"/>
              <w:right w:val="single" w:sz="6" w:space="0" w:color="auto"/>
            </w:tcBorders>
          </w:tcPr>
          <w:p w14:paraId="14D9CEB4" w14:textId="318B73B9" w:rsidR="003226C7" w:rsidRPr="004E50E7" w:rsidRDefault="005A6850" w:rsidP="00084BC6">
            <w:pPr>
              <w:jc w:val="center"/>
              <w:rPr>
                <w:rFonts w:ascii="Calibri" w:hAnsi="Calibri"/>
                <w:sz w:val="20"/>
              </w:rPr>
            </w:pPr>
            <w:r>
              <w:rPr>
                <w:rFonts w:ascii="Calibri" w:hAnsi="Calibri"/>
                <w:sz w:val="20"/>
                <w:szCs w:val="22"/>
              </w:rPr>
              <w:t>3,218</w:t>
            </w:r>
          </w:p>
        </w:tc>
        <w:tc>
          <w:tcPr>
            <w:tcW w:w="900" w:type="dxa"/>
            <w:tcBorders>
              <w:top w:val="single" w:sz="6" w:space="0" w:color="auto"/>
              <w:left w:val="single" w:sz="6" w:space="0" w:color="auto"/>
              <w:bottom w:val="single" w:sz="6" w:space="0" w:color="auto"/>
              <w:right w:val="single" w:sz="6" w:space="0" w:color="auto"/>
            </w:tcBorders>
          </w:tcPr>
          <w:p w14:paraId="02DB8348" w14:textId="62EA13AC" w:rsidR="003226C7" w:rsidRPr="004E50E7" w:rsidRDefault="005A6850" w:rsidP="00084BC6">
            <w:pPr>
              <w:jc w:val="center"/>
              <w:rPr>
                <w:rFonts w:ascii="Calibri" w:hAnsi="Calibri"/>
                <w:sz w:val="20"/>
              </w:rPr>
            </w:pPr>
            <w:r>
              <w:rPr>
                <w:rFonts w:ascii="Calibri" w:hAnsi="Calibri"/>
                <w:sz w:val="20"/>
                <w:szCs w:val="22"/>
              </w:rPr>
              <w:t>34.2</w:t>
            </w:r>
          </w:p>
        </w:tc>
      </w:tr>
      <w:tr w:rsidR="003226C7" w:rsidRPr="004E50E7" w14:paraId="16095C37" w14:textId="77777777" w:rsidTr="00084BC6">
        <w:trPr>
          <w:jc w:val="center"/>
        </w:trPr>
        <w:tc>
          <w:tcPr>
            <w:tcW w:w="1800" w:type="dxa"/>
            <w:tcBorders>
              <w:top w:val="single" w:sz="6" w:space="0" w:color="auto"/>
              <w:left w:val="single" w:sz="6" w:space="0" w:color="auto"/>
              <w:bottom w:val="single" w:sz="6" w:space="0" w:color="auto"/>
              <w:right w:val="single" w:sz="6" w:space="0" w:color="auto"/>
            </w:tcBorders>
          </w:tcPr>
          <w:p w14:paraId="7BF17993" w14:textId="77777777" w:rsidR="003226C7" w:rsidRPr="004E50E7" w:rsidRDefault="003226C7" w:rsidP="00084BC6">
            <w:pPr>
              <w:jc w:val="center"/>
              <w:rPr>
                <w:rFonts w:ascii="Calibri" w:hAnsi="Calibri"/>
                <w:sz w:val="20"/>
              </w:rPr>
            </w:pPr>
            <w:r w:rsidRPr="004E50E7">
              <w:rPr>
                <w:rFonts w:ascii="Calibri" w:hAnsi="Calibri"/>
                <w:sz w:val="20"/>
                <w:szCs w:val="22"/>
              </w:rPr>
              <w:t>Total</w:t>
            </w:r>
          </w:p>
        </w:tc>
        <w:tc>
          <w:tcPr>
            <w:tcW w:w="969" w:type="dxa"/>
            <w:tcBorders>
              <w:top w:val="single" w:sz="6" w:space="0" w:color="auto"/>
              <w:left w:val="single" w:sz="6" w:space="0" w:color="auto"/>
              <w:bottom w:val="single" w:sz="6" w:space="0" w:color="auto"/>
              <w:right w:val="single" w:sz="6" w:space="0" w:color="auto"/>
            </w:tcBorders>
          </w:tcPr>
          <w:p w14:paraId="79D20A03" w14:textId="5AA59451" w:rsidR="003226C7" w:rsidRPr="004E50E7" w:rsidRDefault="00A7447E" w:rsidP="00084BC6">
            <w:pPr>
              <w:jc w:val="center"/>
              <w:rPr>
                <w:rFonts w:ascii="Calibri" w:hAnsi="Calibri"/>
                <w:sz w:val="20"/>
              </w:rPr>
            </w:pPr>
            <w:r>
              <w:rPr>
                <w:rFonts w:ascii="Calibri" w:hAnsi="Calibri"/>
                <w:sz w:val="20"/>
                <w:szCs w:val="22"/>
              </w:rPr>
              <w:t>8,413</w:t>
            </w:r>
          </w:p>
        </w:tc>
        <w:tc>
          <w:tcPr>
            <w:tcW w:w="887" w:type="dxa"/>
            <w:tcBorders>
              <w:top w:val="single" w:sz="6" w:space="0" w:color="auto"/>
              <w:left w:val="single" w:sz="6" w:space="0" w:color="auto"/>
              <w:bottom w:val="single" w:sz="6" w:space="0" w:color="auto"/>
              <w:right w:val="single" w:sz="6" w:space="0" w:color="auto"/>
            </w:tcBorders>
          </w:tcPr>
          <w:p w14:paraId="09D720FC" w14:textId="38DD2254" w:rsidR="003226C7" w:rsidRPr="004E50E7" w:rsidRDefault="005A6850" w:rsidP="00084BC6">
            <w:pPr>
              <w:jc w:val="center"/>
              <w:rPr>
                <w:rFonts w:ascii="Calibri" w:hAnsi="Calibri"/>
                <w:sz w:val="20"/>
              </w:rPr>
            </w:pPr>
            <w:r>
              <w:rPr>
                <w:rFonts w:ascii="Calibri" w:hAnsi="Calibri"/>
                <w:sz w:val="20"/>
                <w:szCs w:val="22"/>
              </w:rPr>
              <w:t>100.0</w:t>
            </w:r>
          </w:p>
        </w:tc>
        <w:tc>
          <w:tcPr>
            <w:tcW w:w="900" w:type="dxa"/>
            <w:tcBorders>
              <w:top w:val="single" w:sz="6" w:space="0" w:color="auto"/>
              <w:left w:val="single" w:sz="6" w:space="0" w:color="auto"/>
              <w:bottom w:val="single" w:sz="6" w:space="0" w:color="auto"/>
              <w:right w:val="single" w:sz="6" w:space="0" w:color="auto"/>
            </w:tcBorders>
          </w:tcPr>
          <w:p w14:paraId="1D191BD2" w14:textId="7A454884" w:rsidR="003226C7" w:rsidRPr="004E50E7" w:rsidRDefault="005A6850" w:rsidP="00084BC6">
            <w:pPr>
              <w:jc w:val="center"/>
              <w:rPr>
                <w:rFonts w:ascii="Calibri" w:hAnsi="Calibri"/>
                <w:sz w:val="20"/>
              </w:rPr>
            </w:pPr>
            <w:r>
              <w:rPr>
                <w:rFonts w:ascii="Calibri" w:hAnsi="Calibri"/>
                <w:sz w:val="20"/>
                <w:szCs w:val="22"/>
              </w:rPr>
              <w:t>988</w:t>
            </w:r>
          </w:p>
        </w:tc>
        <w:tc>
          <w:tcPr>
            <w:tcW w:w="934" w:type="dxa"/>
            <w:tcBorders>
              <w:top w:val="single" w:sz="6" w:space="0" w:color="auto"/>
              <w:left w:val="single" w:sz="6" w:space="0" w:color="auto"/>
              <w:bottom w:val="single" w:sz="6" w:space="0" w:color="auto"/>
              <w:right w:val="single" w:sz="6" w:space="0" w:color="auto"/>
            </w:tcBorders>
          </w:tcPr>
          <w:p w14:paraId="674D0A93" w14:textId="581D20B3" w:rsidR="003226C7" w:rsidRPr="004E50E7" w:rsidRDefault="005A6850" w:rsidP="00084BC6">
            <w:pPr>
              <w:jc w:val="center"/>
              <w:rPr>
                <w:rFonts w:ascii="Calibri" w:hAnsi="Calibri"/>
                <w:sz w:val="20"/>
              </w:rPr>
            </w:pPr>
            <w:r>
              <w:rPr>
                <w:rFonts w:ascii="Calibri" w:hAnsi="Calibri"/>
                <w:sz w:val="20"/>
                <w:szCs w:val="22"/>
              </w:rPr>
              <w:t>100.0</w:t>
            </w:r>
          </w:p>
        </w:tc>
        <w:tc>
          <w:tcPr>
            <w:tcW w:w="990" w:type="dxa"/>
            <w:tcBorders>
              <w:top w:val="single" w:sz="6" w:space="0" w:color="auto"/>
              <w:left w:val="single" w:sz="6" w:space="0" w:color="auto"/>
              <w:bottom w:val="single" w:sz="6" w:space="0" w:color="auto"/>
              <w:right w:val="single" w:sz="6" w:space="0" w:color="auto"/>
            </w:tcBorders>
          </w:tcPr>
          <w:p w14:paraId="119B8797" w14:textId="40EBF647" w:rsidR="003226C7" w:rsidRPr="004E50E7" w:rsidRDefault="005A6850" w:rsidP="00084BC6">
            <w:pPr>
              <w:jc w:val="center"/>
              <w:rPr>
                <w:rFonts w:ascii="Calibri" w:hAnsi="Calibri"/>
                <w:sz w:val="20"/>
              </w:rPr>
            </w:pPr>
            <w:r>
              <w:rPr>
                <w:rFonts w:ascii="Calibri" w:hAnsi="Calibri"/>
                <w:sz w:val="20"/>
                <w:szCs w:val="22"/>
              </w:rPr>
              <w:t>9,401</w:t>
            </w:r>
          </w:p>
        </w:tc>
        <w:tc>
          <w:tcPr>
            <w:tcW w:w="900" w:type="dxa"/>
            <w:tcBorders>
              <w:top w:val="single" w:sz="6" w:space="0" w:color="auto"/>
              <w:left w:val="single" w:sz="6" w:space="0" w:color="auto"/>
              <w:bottom w:val="single" w:sz="6" w:space="0" w:color="auto"/>
              <w:right w:val="single" w:sz="6" w:space="0" w:color="auto"/>
            </w:tcBorders>
          </w:tcPr>
          <w:p w14:paraId="16AD6BB2" w14:textId="14852739" w:rsidR="003226C7" w:rsidRPr="004E50E7" w:rsidRDefault="005A6850" w:rsidP="00084BC6">
            <w:pPr>
              <w:jc w:val="center"/>
              <w:rPr>
                <w:rFonts w:ascii="Calibri" w:hAnsi="Calibri"/>
                <w:sz w:val="20"/>
              </w:rPr>
            </w:pPr>
            <w:r>
              <w:rPr>
                <w:rFonts w:ascii="Calibri" w:hAnsi="Calibri"/>
                <w:sz w:val="20"/>
                <w:szCs w:val="22"/>
              </w:rPr>
              <w:t>100.0</w:t>
            </w:r>
          </w:p>
        </w:tc>
      </w:tr>
      <w:tr w:rsidR="003226C7" w:rsidRPr="004E50E7" w14:paraId="59E72833" w14:textId="77777777" w:rsidTr="00084BC6">
        <w:trPr>
          <w:cantSplit/>
          <w:jc w:val="center"/>
        </w:trPr>
        <w:tc>
          <w:tcPr>
            <w:tcW w:w="1800" w:type="dxa"/>
            <w:tcBorders>
              <w:top w:val="single" w:sz="6" w:space="0" w:color="auto"/>
              <w:left w:val="single" w:sz="6" w:space="0" w:color="auto"/>
              <w:bottom w:val="single" w:sz="6" w:space="0" w:color="auto"/>
              <w:right w:val="single" w:sz="6" w:space="0" w:color="auto"/>
            </w:tcBorders>
          </w:tcPr>
          <w:p w14:paraId="00236793" w14:textId="77777777" w:rsidR="003226C7" w:rsidRPr="004E50E7" w:rsidRDefault="003226C7" w:rsidP="00084BC6">
            <w:pPr>
              <w:jc w:val="center"/>
              <w:rPr>
                <w:rFonts w:ascii="Calibri" w:hAnsi="Calibri"/>
                <w:sz w:val="20"/>
              </w:rPr>
            </w:pPr>
            <w:r w:rsidRPr="004E50E7">
              <w:rPr>
                <w:rFonts w:ascii="Calibri" w:hAnsi="Calibri"/>
                <w:sz w:val="20"/>
                <w:szCs w:val="22"/>
              </w:rPr>
              <w:t>Median</w:t>
            </w:r>
          </w:p>
        </w:tc>
        <w:tc>
          <w:tcPr>
            <w:tcW w:w="1856" w:type="dxa"/>
            <w:gridSpan w:val="2"/>
            <w:tcBorders>
              <w:top w:val="single" w:sz="6" w:space="0" w:color="auto"/>
              <w:left w:val="single" w:sz="6" w:space="0" w:color="auto"/>
              <w:bottom w:val="single" w:sz="6" w:space="0" w:color="auto"/>
              <w:right w:val="single" w:sz="6" w:space="0" w:color="auto"/>
            </w:tcBorders>
          </w:tcPr>
          <w:p w14:paraId="694931B7" w14:textId="5BF095CC" w:rsidR="003226C7" w:rsidRPr="004E50E7" w:rsidRDefault="00A7447E" w:rsidP="00084BC6">
            <w:pPr>
              <w:jc w:val="center"/>
              <w:rPr>
                <w:rFonts w:ascii="Calibri" w:hAnsi="Calibri"/>
                <w:sz w:val="20"/>
              </w:rPr>
            </w:pPr>
            <w:r>
              <w:rPr>
                <w:rFonts w:ascii="Calibri" w:hAnsi="Calibri"/>
                <w:sz w:val="20"/>
                <w:szCs w:val="22"/>
              </w:rPr>
              <w:t>$876,300</w:t>
            </w:r>
          </w:p>
        </w:tc>
        <w:tc>
          <w:tcPr>
            <w:tcW w:w="1834" w:type="dxa"/>
            <w:gridSpan w:val="2"/>
            <w:tcBorders>
              <w:top w:val="single" w:sz="6" w:space="0" w:color="auto"/>
              <w:left w:val="single" w:sz="6" w:space="0" w:color="auto"/>
              <w:bottom w:val="single" w:sz="6" w:space="0" w:color="auto"/>
              <w:right w:val="single" w:sz="6" w:space="0" w:color="auto"/>
            </w:tcBorders>
          </w:tcPr>
          <w:p w14:paraId="380525FB" w14:textId="103CE8AA" w:rsidR="003226C7" w:rsidRPr="004E50E7" w:rsidRDefault="005A6850" w:rsidP="00084BC6">
            <w:pPr>
              <w:jc w:val="center"/>
              <w:rPr>
                <w:rFonts w:ascii="Calibri" w:hAnsi="Calibri"/>
                <w:sz w:val="20"/>
              </w:rPr>
            </w:pPr>
            <w:r>
              <w:rPr>
                <w:rFonts w:ascii="Calibri" w:hAnsi="Calibri"/>
                <w:sz w:val="20"/>
                <w:szCs w:val="22"/>
              </w:rPr>
              <w:t>$698,300</w:t>
            </w:r>
          </w:p>
        </w:tc>
        <w:tc>
          <w:tcPr>
            <w:tcW w:w="1890" w:type="dxa"/>
            <w:gridSpan w:val="2"/>
            <w:tcBorders>
              <w:top w:val="single" w:sz="6" w:space="0" w:color="auto"/>
              <w:left w:val="single" w:sz="6" w:space="0" w:color="auto"/>
              <w:bottom w:val="single" w:sz="6" w:space="0" w:color="auto"/>
              <w:right w:val="single" w:sz="6" w:space="0" w:color="auto"/>
            </w:tcBorders>
          </w:tcPr>
          <w:p w14:paraId="388ED0A5" w14:textId="77777777" w:rsidR="003226C7" w:rsidRPr="004E50E7" w:rsidRDefault="0027566D" w:rsidP="00084BC6">
            <w:pPr>
              <w:jc w:val="center"/>
              <w:rPr>
                <w:rFonts w:ascii="Calibri" w:hAnsi="Calibri"/>
                <w:sz w:val="20"/>
              </w:rPr>
            </w:pPr>
            <w:r>
              <w:rPr>
                <w:rFonts w:ascii="Calibri" w:hAnsi="Calibri"/>
                <w:sz w:val="20"/>
                <w:szCs w:val="22"/>
              </w:rPr>
              <w:t>--</w:t>
            </w:r>
          </w:p>
        </w:tc>
      </w:tr>
    </w:tbl>
    <w:p w14:paraId="13FE19B3" w14:textId="2DBF2C64" w:rsidR="003226C7" w:rsidRPr="004E50E7" w:rsidRDefault="003226C7" w:rsidP="003226C7">
      <w:pPr>
        <w:ind w:left="720" w:firstLine="720"/>
        <w:jc w:val="both"/>
        <w:rPr>
          <w:rFonts w:ascii="Calibri" w:hAnsi="Calibri"/>
          <w:sz w:val="20"/>
          <w:szCs w:val="20"/>
        </w:rPr>
      </w:pPr>
      <w:r>
        <w:rPr>
          <w:rFonts w:ascii="Calibri" w:hAnsi="Calibri"/>
          <w:sz w:val="20"/>
          <w:szCs w:val="20"/>
        </w:rPr>
        <w:t>Source: Needham Assessor, F</w:t>
      </w:r>
      <w:r w:rsidRPr="004E50E7">
        <w:rPr>
          <w:rFonts w:ascii="Calibri" w:hAnsi="Calibri"/>
          <w:sz w:val="20"/>
          <w:szCs w:val="20"/>
        </w:rPr>
        <w:t xml:space="preserve">iscal </w:t>
      </w:r>
      <w:r>
        <w:rPr>
          <w:rFonts w:ascii="Calibri" w:hAnsi="Calibri"/>
          <w:sz w:val="20"/>
          <w:szCs w:val="20"/>
        </w:rPr>
        <w:t>Y</w:t>
      </w:r>
      <w:r w:rsidRPr="004E50E7">
        <w:rPr>
          <w:rFonts w:ascii="Calibri" w:hAnsi="Calibri"/>
          <w:sz w:val="20"/>
          <w:szCs w:val="20"/>
        </w:rPr>
        <w:t>ear 20</w:t>
      </w:r>
      <w:r w:rsidR="00F625AE">
        <w:rPr>
          <w:rFonts w:ascii="Calibri" w:hAnsi="Calibri"/>
          <w:sz w:val="20"/>
          <w:szCs w:val="20"/>
        </w:rPr>
        <w:t>2</w:t>
      </w:r>
      <w:r w:rsidR="00094A7A">
        <w:rPr>
          <w:rFonts w:ascii="Calibri" w:hAnsi="Calibri"/>
          <w:sz w:val="20"/>
          <w:szCs w:val="20"/>
        </w:rPr>
        <w:t>2</w:t>
      </w:r>
      <w:r w:rsidRPr="004E50E7">
        <w:rPr>
          <w:rFonts w:ascii="Calibri" w:hAnsi="Calibri"/>
          <w:sz w:val="20"/>
          <w:szCs w:val="20"/>
        </w:rPr>
        <w:t>.</w:t>
      </w:r>
    </w:p>
    <w:p w14:paraId="162CB475" w14:textId="77777777" w:rsidR="004D53AD" w:rsidRDefault="004D53AD" w:rsidP="008772FC">
      <w:pPr>
        <w:jc w:val="center"/>
        <w:rPr>
          <w:rFonts w:ascii="Calibri" w:hAnsi="Calibri"/>
          <w:b/>
          <w:sz w:val="22"/>
          <w:szCs w:val="22"/>
        </w:rPr>
      </w:pPr>
    </w:p>
    <w:p w14:paraId="297F9FC0" w14:textId="0690FDF6" w:rsidR="00FA2AE1" w:rsidRDefault="00113B17" w:rsidP="008772FC">
      <w:pPr>
        <w:jc w:val="center"/>
        <w:rPr>
          <w:rFonts w:ascii="Calibri" w:hAnsi="Calibri"/>
          <w:b/>
          <w:sz w:val="22"/>
          <w:szCs w:val="22"/>
        </w:rPr>
      </w:pPr>
      <w:r>
        <w:rPr>
          <w:noProof/>
        </w:rPr>
        <w:drawing>
          <wp:inline distT="0" distB="0" distL="0" distR="0" wp14:anchorId="036B8A2E" wp14:editId="24460083">
            <wp:extent cx="4244340" cy="2522220"/>
            <wp:effectExtent l="0" t="0" r="3810" b="11430"/>
            <wp:docPr id="6" name="Chart 6">
              <a:extLst xmlns:a="http://schemas.openxmlformats.org/drawingml/2006/main">
                <a:ext uri="{FF2B5EF4-FFF2-40B4-BE49-F238E27FC236}">
                  <a16:creationId xmlns:a16="http://schemas.microsoft.com/office/drawing/2014/main" id="{380BD662-B9B0-4252-B627-22D09D86F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2060A5" w14:textId="3EB0F7E0" w:rsidR="004D53AD" w:rsidRPr="00F94804" w:rsidRDefault="004D53AD" w:rsidP="004D53AD">
      <w:pPr>
        <w:jc w:val="both"/>
        <w:rPr>
          <w:rFonts w:ascii="Calibri" w:hAnsi="Calibri"/>
          <w:sz w:val="22"/>
          <w:szCs w:val="22"/>
        </w:rPr>
      </w:pPr>
      <w:r w:rsidRPr="008B375C">
        <w:rPr>
          <w:rFonts w:ascii="Calibri" w:hAnsi="Calibri"/>
          <w:sz w:val="22"/>
          <w:szCs w:val="22"/>
        </w:rPr>
        <w:t>While condo</w:t>
      </w:r>
      <w:r w:rsidR="00991844">
        <w:rPr>
          <w:rFonts w:ascii="Calibri" w:hAnsi="Calibri"/>
          <w:sz w:val="22"/>
          <w:szCs w:val="22"/>
        </w:rPr>
        <w:t xml:space="preserve"> unit</w:t>
      </w:r>
      <w:r w:rsidRPr="008B375C">
        <w:rPr>
          <w:rFonts w:ascii="Calibri" w:hAnsi="Calibri"/>
          <w:sz w:val="22"/>
          <w:szCs w:val="22"/>
        </w:rPr>
        <w:t>s are on the whole more affordable, they also tend to be more susceptible to wide fluctuations in the housing market. Condo</w:t>
      </w:r>
      <w:r w:rsidR="00991844">
        <w:rPr>
          <w:rFonts w:ascii="Calibri" w:hAnsi="Calibri"/>
          <w:sz w:val="22"/>
          <w:szCs w:val="22"/>
        </w:rPr>
        <w:t>minium</w:t>
      </w:r>
      <w:r w:rsidRPr="008B375C">
        <w:rPr>
          <w:rFonts w:ascii="Calibri" w:hAnsi="Calibri"/>
          <w:sz w:val="22"/>
          <w:szCs w:val="22"/>
        </w:rPr>
        <w:t xml:space="preserve"> markets are historically slower to appreciate and faster to decline in value, and </w:t>
      </w:r>
      <w:r w:rsidRPr="00F94804">
        <w:rPr>
          <w:rFonts w:ascii="Calibri" w:hAnsi="Calibri"/>
          <w:sz w:val="22"/>
          <w:szCs w:val="22"/>
        </w:rPr>
        <w:t>condo</w:t>
      </w:r>
      <w:r w:rsidR="0052605B" w:rsidRPr="00F94804">
        <w:rPr>
          <w:rFonts w:ascii="Calibri" w:hAnsi="Calibri"/>
          <w:sz w:val="22"/>
          <w:szCs w:val="22"/>
        </w:rPr>
        <w:t>minium unit</w:t>
      </w:r>
      <w:r w:rsidRPr="00F94804">
        <w:rPr>
          <w:rFonts w:ascii="Calibri" w:hAnsi="Calibri"/>
          <w:sz w:val="22"/>
          <w:szCs w:val="22"/>
        </w:rPr>
        <w:t xml:space="preserve"> values </w:t>
      </w:r>
      <w:r w:rsidRPr="00F94804">
        <w:rPr>
          <w:rFonts w:asciiTheme="minorHAnsi" w:hAnsiTheme="minorHAnsi"/>
          <w:sz w:val="22"/>
          <w:szCs w:val="22"/>
        </w:rPr>
        <w:t>tend to rise when the price of single-family homes reaches unprecedented high levels, a trend Needham is</w:t>
      </w:r>
      <w:r w:rsidRPr="00F94804">
        <w:rPr>
          <w:rFonts w:ascii="Calibri" w:hAnsi="Calibri"/>
          <w:sz w:val="22"/>
          <w:szCs w:val="22"/>
        </w:rPr>
        <w:t xml:space="preserve"> currently witnessing.  </w:t>
      </w:r>
    </w:p>
    <w:p w14:paraId="15284FE5" w14:textId="77777777" w:rsidR="003935DC" w:rsidRPr="00F94804" w:rsidRDefault="003935DC" w:rsidP="00563FBA">
      <w:pPr>
        <w:jc w:val="both"/>
        <w:rPr>
          <w:rFonts w:ascii="Calibri" w:hAnsi="Calibri"/>
          <w:sz w:val="22"/>
          <w:szCs w:val="22"/>
        </w:rPr>
      </w:pPr>
    </w:p>
    <w:p w14:paraId="468DAF46" w14:textId="0825657B" w:rsidR="002548D9" w:rsidRDefault="008772FC" w:rsidP="00615DA4">
      <w:pPr>
        <w:pStyle w:val="BodyText"/>
        <w:spacing w:after="0"/>
        <w:jc w:val="both"/>
        <w:rPr>
          <w:rFonts w:ascii="Calibri" w:hAnsi="Calibri"/>
          <w:sz w:val="22"/>
          <w:szCs w:val="22"/>
        </w:rPr>
      </w:pPr>
      <w:r w:rsidRPr="008B375C">
        <w:rPr>
          <w:rFonts w:ascii="Calibri" w:hAnsi="Calibri"/>
          <w:sz w:val="22"/>
          <w:szCs w:val="22"/>
        </w:rPr>
        <w:t xml:space="preserve">Assessor’s data for multi-family properties, as summarized in Table </w:t>
      </w:r>
      <w:r w:rsidR="00A7447E">
        <w:rPr>
          <w:rFonts w:ascii="Calibri" w:hAnsi="Calibri"/>
          <w:sz w:val="22"/>
          <w:szCs w:val="22"/>
        </w:rPr>
        <w:t>III-</w:t>
      </w:r>
      <w:r w:rsidR="00AF2462">
        <w:rPr>
          <w:rFonts w:ascii="Calibri" w:hAnsi="Calibri"/>
          <w:sz w:val="22"/>
          <w:szCs w:val="22"/>
        </w:rPr>
        <w:t>3</w:t>
      </w:r>
      <w:r w:rsidR="00A7447E">
        <w:rPr>
          <w:rFonts w:ascii="Calibri" w:hAnsi="Calibri"/>
          <w:sz w:val="22"/>
          <w:szCs w:val="22"/>
        </w:rPr>
        <w:t>2</w:t>
      </w:r>
      <w:r w:rsidRPr="008B375C">
        <w:rPr>
          <w:rFonts w:ascii="Calibri" w:hAnsi="Calibri"/>
          <w:sz w:val="22"/>
          <w:szCs w:val="22"/>
        </w:rPr>
        <w:t>, indicate</w:t>
      </w:r>
      <w:r w:rsidR="00AF2462">
        <w:rPr>
          <w:rFonts w:ascii="Calibri" w:hAnsi="Calibri"/>
          <w:sz w:val="22"/>
          <w:szCs w:val="22"/>
        </w:rPr>
        <w:t>s</w:t>
      </w:r>
      <w:r w:rsidRPr="008B375C">
        <w:rPr>
          <w:rFonts w:ascii="Calibri" w:hAnsi="Calibri"/>
          <w:sz w:val="22"/>
          <w:szCs w:val="22"/>
        </w:rPr>
        <w:t xml:space="preserve"> that there </w:t>
      </w:r>
      <w:r w:rsidR="00AF2462">
        <w:rPr>
          <w:rFonts w:ascii="Calibri" w:hAnsi="Calibri"/>
          <w:sz w:val="22"/>
          <w:szCs w:val="22"/>
        </w:rPr>
        <w:t>are</w:t>
      </w:r>
      <w:r w:rsidR="00680F3B">
        <w:rPr>
          <w:rFonts w:ascii="Calibri" w:hAnsi="Calibri"/>
          <w:sz w:val="22"/>
          <w:szCs w:val="22"/>
        </w:rPr>
        <w:t xml:space="preserve"> </w:t>
      </w:r>
      <w:r w:rsidR="00392CA4">
        <w:rPr>
          <w:rFonts w:ascii="Calibri" w:hAnsi="Calibri"/>
          <w:sz w:val="22"/>
          <w:szCs w:val="22"/>
        </w:rPr>
        <w:t>197</w:t>
      </w:r>
      <w:r w:rsidR="00680F3B">
        <w:rPr>
          <w:rFonts w:ascii="Calibri" w:hAnsi="Calibri"/>
          <w:sz w:val="22"/>
          <w:szCs w:val="22"/>
        </w:rPr>
        <w:t xml:space="preserve"> two-family homes (</w:t>
      </w:r>
      <w:r w:rsidR="00392CA4">
        <w:rPr>
          <w:rFonts w:ascii="Calibri" w:hAnsi="Calibri"/>
          <w:sz w:val="22"/>
          <w:szCs w:val="22"/>
        </w:rPr>
        <w:t>394</w:t>
      </w:r>
      <w:r w:rsidR="00680F3B">
        <w:rPr>
          <w:rFonts w:ascii="Calibri" w:hAnsi="Calibri"/>
          <w:sz w:val="22"/>
          <w:szCs w:val="22"/>
        </w:rPr>
        <w:t xml:space="preserve"> units), down from</w:t>
      </w:r>
      <w:r w:rsidRPr="008B375C">
        <w:rPr>
          <w:rFonts w:ascii="Calibri" w:hAnsi="Calibri"/>
          <w:sz w:val="22"/>
          <w:szCs w:val="22"/>
        </w:rPr>
        <w:t xml:space="preserve"> 254 two-famil</w:t>
      </w:r>
      <w:r w:rsidR="00680F3B">
        <w:rPr>
          <w:rFonts w:ascii="Calibri" w:hAnsi="Calibri"/>
          <w:sz w:val="22"/>
          <w:szCs w:val="22"/>
        </w:rPr>
        <w:t>ies</w:t>
      </w:r>
      <w:r w:rsidRPr="008B375C">
        <w:rPr>
          <w:rFonts w:ascii="Calibri" w:hAnsi="Calibri"/>
          <w:sz w:val="22"/>
          <w:szCs w:val="22"/>
        </w:rPr>
        <w:t xml:space="preserve"> (508 units)</w:t>
      </w:r>
      <w:r w:rsidR="00680F3B">
        <w:rPr>
          <w:rFonts w:ascii="Calibri" w:hAnsi="Calibri"/>
          <w:sz w:val="22"/>
          <w:szCs w:val="22"/>
        </w:rPr>
        <w:t xml:space="preserve"> in FY14</w:t>
      </w:r>
      <w:r w:rsidR="00991844">
        <w:rPr>
          <w:rFonts w:ascii="Calibri" w:hAnsi="Calibri"/>
          <w:sz w:val="22"/>
          <w:szCs w:val="22"/>
        </w:rPr>
        <w:t xml:space="preserve">, likely related to the conversion of two-family homes to </w:t>
      </w:r>
      <w:r w:rsidR="001B4AFC">
        <w:rPr>
          <w:rFonts w:ascii="Calibri" w:hAnsi="Calibri"/>
          <w:sz w:val="22"/>
          <w:szCs w:val="22"/>
        </w:rPr>
        <w:t>single-family</w:t>
      </w:r>
      <w:r w:rsidR="00991844">
        <w:rPr>
          <w:rFonts w:ascii="Calibri" w:hAnsi="Calibri"/>
          <w:sz w:val="22"/>
          <w:szCs w:val="22"/>
        </w:rPr>
        <w:t xml:space="preserve"> u</w:t>
      </w:r>
      <w:r w:rsidR="001B4AFC">
        <w:rPr>
          <w:rFonts w:ascii="Calibri" w:hAnsi="Calibri"/>
          <w:sz w:val="22"/>
          <w:szCs w:val="22"/>
        </w:rPr>
        <w:t>se</w:t>
      </w:r>
      <w:r w:rsidR="00680F3B">
        <w:rPr>
          <w:rFonts w:ascii="Calibri" w:hAnsi="Calibri"/>
          <w:sz w:val="22"/>
          <w:szCs w:val="22"/>
        </w:rPr>
        <w:t xml:space="preserve">.  </w:t>
      </w:r>
      <w:r w:rsidR="00744F72">
        <w:rPr>
          <w:rFonts w:ascii="Calibri" w:hAnsi="Calibri"/>
          <w:sz w:val="22"/>
          <w:szCs w:val="22"/>
        </w:rPr>
        <w:t>The 20</w:t>
      </w:r>
      <w:r w:rsidR="00AA31BB">
        <w:rPr>
          <w:rFonts w:ascii="Calibri" w:hAnsi="Calibri"/>
          <w:sz w:val="22"/>
          <w:szCs w:val="22"/>
        </w:rPr>
        <w:t>20</w:t>
      </w:r>
      <w:r w:rsidR="00744F72">
        <w:rPr>
          <w:rFonts w:ascii="Calibri" w:hAnsi="Calibri"/>
          <w:sz w:val="22"/>
          <w:szCs w:val="22"/>
        </w:rPr>
        <w:t xml:space="preserve"> census estimates are</w:t>
      </w:r>
      <w:r w:rsidR="001B4AFC">
        <w:rPr>
          <w:rFonts w:ascii="Calibri" w:hAnsi="Calibri"/>
          <w:sz w:val="22"/>
          <w:szCs w:val="22"/>
        </w:rPr>
        <w:t xml:space="preserve"> lower</w:t>
      </w:r>
      <w:r w:rsidR="00744F72">
        <w:rPr>
          <w:rFonts w:ascii="Calibri" w:hAnsi="Calibri"/>
          <w:sz w:val="22"/>
          <w:szCs w:val="22"/>
        </w:rPr>
        <w:t xml:space="preserve"> than the Assessor’s count, at </w:t>
      </w:r>
      <w:r w:rsidR="001B4AFC">
        <w:rPr>
          <w:rFonts w:ascii="Calibri" w:hAnsi="Calibri"/>
          <w:sz w:val="22"/>
          <w:szCs w:val="22"/>
        </w:rPr>
        <w:t>281</w:t>
      </w:r>
      <w:r w:rsidR="00744F72">
        <w:rPr>
          <w:rFonts w:ascii="Calibri" w:hAnsi="Calibri"/>
          <w:sz w:val="22"/>
          <w:szCs w:val="22"/>
        </w:rPr>
        <w:t xml:space="preserve"> units. </w:t>
      </w:r>
      <w:r w:rsidR="00D30819">
        <w:rPr>
          <w:rFonts w:ascii="Calibri" w:hAnsi="Calibri"/>
          <w:sz w:val="22"/>
          <w:szCs w:val="22"/>
        </w:rPr>
        <w:t xml:space="preserve"> The median two-family house price was $</w:t>
      </w:r>
      <w:r w:rsidR="00392CA4">
        <w:rPr>
          <w:rFonts w:ascii="Calibri" w:hAnsi="Calibri"/>
          <w:sz w:val="22"/>
          <w:szCs w:val="22"/>
        </w:rPr>
        <w:t>635,900</w:t>
      </w:r>
      <w:r w:rsidR="00C35543">
        <w:rPr>
          <w:rFonts w:ascii="Calibri" w:hAnsi="Calibri"/>
          <w:sz w:val="22"/>
          <w:szCs w:val="22"/>
        </w:rPr>
        <w:t xml:space="preserve"> based on Assessor records</w:t>
      </w:r>
      <w:r w:rsidR="00C152A8">
        <w:rPr>
          <w:rFonts w:ascii="Calibri" w:hAnsi="Calibri"/>
          <w:sz w:val="22"/>
          <w:szCs w:val="22"/>
        </w:rPr>
        <w:t>.</w:t>
      </w:r>
      <w:r w:rsidR="00D30819">
        <w:rPr>
          <w:rFonts w:ascii="Calibri" w:hAnsi="Calibri"/>
          <w:sz w:val="22"/>
          <w:szCs w:val="22"/>
        </w:rPr>
        <w:t xml:space="preserve">  </w:t>
      </w:r>
      <w:r w:rsidR="00680F3B">
        <w:rPr>
          <w:rFonts w:ascii="Calibri" w:hAnsi="Calibri"/>
          <w:sz w:val="22"/>
          <w:szCs w:val="22"/>
        </w:rPr>
        <w:t>There w</w:t>
      </w:r>
      <w:r w:rsidR="00C35543">
        <w:rPr>
          <w:rFonts w:ascii="Calibri" w:hAnsi="Calibri"/>
          <w:sz w:val="22"/>
          <w:szCs w:val="22"/>
        </w:rPr>
        <w:t>ere also</w:t>
      </w:r>
      <w:r w:rsidR="00680F3B">
        <w:rPr>
          <w:rFonts w:ascii="Calibri" w:hAnsi="Calibri"/>
          <w:sz w:val="22"/>
          <w:szCs w:val="22"/>
        </w:rPr>
        <w:t xml:space="preserve"> </w:t>
      </w:r>
      <w:r w:rsidR="00D34A6A">
        <w:rPr>
          <w:rFonts w:ascii="Calibri" w:hAnsi="Calibri"/>
          <w:sz w:val="22"/>
          <w:szCs w:val="22"/>
        </w:rPr>
        <w:t>12</w:t>
      </w:r>
      <w:r w:rsidR="00680F3B">
        <w:rPr>
          <w:rFonts w:ascii="Calibri" w:hAnsi="Calibri"/>
          <w:sz w:val="22"/>
          <w:szCs w:val="22"/>
        </w:rPr>
        <w:t xml:space="preserve"> three-family properties</w:t>
      </w:r>
      <w:r w:rsidR="002548D9">
        <w:rPr>
          <w:rFonts w:ascii="Calibri" w:hAnsi="Calibri"/>
          <w:sz w:val="22"/>
          <w:szCs w:val="22"/>
        </w:rPr>
        <w:t>, all assessed at more than $</w:t>
      </w:r>
      <w:r w:rsidR="00D34A6A">
        <w:rPr>
          <w:rFonts w:ascii="Calibri" w:hAnsi="Calibri"/>
          <w:sz w:val="22"/>
          <w:szCs w:val="22"/>
        </w:rPr>
        <w:t>6</w:t>
      </w:r>
      <w:r w:rsidR="002548D9">
        <w:rPr>
          <w:rFonts w:ascii="Calibri" w:hAnsi="Calibri"/>
          <w:sz w:val="22"/>
          <w:szCs w:val="22"/>
        </w:rPr>
        <w:t xml:space="preserve">00,000 and </w:t>
      </w:r>
      <w:r w:rsidR="00C35543">
        <w:rPr>
          <w:rFonts w:ascii="Calibri" w:hAnsi="Calibri"/>
          <w:sz w:val="22"/>
          <w:szCs w:val="22"/>
        </w:rPr>
        <w:t xml:space="preserve">with a </w:t>
      </w:r>
      <w:r w:rsidR="002548D9">
        <w:rPr>
          <w:rFonts w:ascii="Calibri" w:hAnsi="Calibri"/>
          <w:sz w:val="22"/>
          <w:szCs w:val="22"/>
        </w:rPr>
        <w:t>median of $</w:t>
      </w:r>
      <w:r w:rsidR="00D34A6A">
        <w:rPr>
          <w:rFonts w:ascii="Calibri" w:hAnsi="Calibri"/>
          <w:sz w:val="22"/>
          <w:szCs w:val="22"/>
        </w:rPr>
        <w:t>822,600</w:t>
      </w:r>
      <w:r w:rsidR="002548D9">
        <w:rPr>
          <w:rFonts w:ascii="Calibri" w:hAnsi="Calibri"/>
          <w:sz w:val="22"/>
          <w:szCs w:val="22"/>
        </w:rPr>
        <w:t xml:space="preserve">.  </w:t>
      </w:r>
    </w:p>
    <w:p w14:paraId="4489FB47" w14:textId="77777777" w:rsidR="002548D9" w:rsidRDefault="002548D9" w:rsidP="00615DA4">
      <w:pPr>
        <w:pStyle w:val="BodyText"/>
        <w:spacing w:after="0"/>
        <w:jc w:val="both"/>
        <w:rPr>
          <w:rFonts w:ascii="Calibri" w:hAnsi="Calibri"/>
          <w:sz w:val="22"/>
          <w:szCs w:val="22"/>
        </w:rPr>
      </w:pPr>
    </w:p>
    <w:p w14:paraId="2B6ED4FA" w14:textId="5A625AAD" w:rsidR="008772FC" w:rsidRDefault="00991844" w:rsidP="00615DA4">
      <w:pPr>
        <w:pStyle w:val="BodyText"/>
        <w:spacing w:after="0"/>
        <w:jc w:val="both"/>
        <w:rPr>
          <w:rFonts w:ascii="Calibri" w:hAnsi="Calibri"/>
          <w:sz w:val="22"/>
          <w:szCs w:val="22"/>
        </w:rPr>
      </w:pPr>
      <w:r>
        <w:rPr>
          <w:rFonts w:ascii="Calibri" w:hAnsi="Calibri"/>
          <w:sz w:val="22"/>
          <w:szCs w:val="22"/>
        </w:rPr>
        <w:t xml:space="preserve">As to larger multi-family rental properties, there are 31 properties with four units or more that ranged in assessed value from $482,900 to $92,289,800.  Many of the larger properties were concentrated on Tillotson and Perrault Roads (off Rosemary Street) but also included Charles River Landing, Chestnut </w:t>
      </w:r>
      <w:r>
        <w:rPr>
          <w:rFonts w:ascii="Calibri" w:hAnsi="Calibri"/>
          <w:sz w:val="22"/>
          <w:szCs w:val="22"/>
        </w:rPr>
        <w:lastRenderedPageBreak/>
        <w:t xml:space="preserve">Hollow, </w:t>
      </w:r>
      <w:r w:rsidR="00976E29">
        <w:rPr>
          <w:rFonts w:ascii="Calibri" w:hAnsi="Calibri"/>
          <w:sz w:val="22"/>
          <w:szCs w:val="22"/>
        </w:rPr>
        <w:t>Nehoiden</w:t>
      </w:r>
      <w:r>
        <w:rPr>
          <w:rFonts w:ascii="Calibri" w:hAnsi="Calibri"/>
          <w:sz w:val="22"/>
          <w:szCs w:val="22"/>
        </w:rPr>
        <w:t xml:space="preserve"> Glen, Modera Needham, The Kendrick, and </w:t>
      </w:r>
      <w:r w:rsidR="00FA2612">
        <w:rPr>
          <w:rFonts w:ascii="Calibri" w:hAnsi="Calibri"/>
          <w:sz w:val="22"/>
          <w:szCs w:val="22"/>
        </w:rPr>
        <w:t>Hamilton Highland</w:t>
      </w:r>
      <w:r>
        <w:rPr>
          <w:rFonts w:ascii="Calibri" w:hAnsi="Calibri"/>
          <w:sz w:val="22"/>
          <w:szCs w:val="22"/>
        </w:rPr>
        <w:t xml:space="preserve"> developments for example.  </w:t>
      </w:r>
      <w:r w:rsidRPr="008B375C">
        <w:rPr>
          <w:rFonts w:ascii="Calibri" w:hAnsi="Calibri"/>
          <w:sz w:val="22"/>
          <w:szCs w:val="22"/>
        </w:rPr>
        <w:t>There were also 2</w:t>
      </w:r>
      <w:r>
        <w:rPr>
          <w:rFonts w:ascii="Calibri" w:hAnsi="Calibri"/>
          <w:sz w:val="22"/>
          <w:szCs w:val="22"/>
        </w:rPr>
        <w:t>6</w:t>
      </w:r>
      <w:r w:rsidRPr="008B375C">
        <w:rPr>
          <w:rFonts w:ascii="Calibri" w:hAnsi="Calibri"/>
          <w:sz w:val="22"/>
          <w:szCs w:val="22"/>
        </w:rPr>
        <w:t xml:space="preserve"> mixed residential and commercial properties</w:t>
      </w:r>
      <w:r>
        <w:rPr>
          <w:rFonts w:ascii="Calibri" w:hAnsi="Calibri"/>
          <w:sz w:val="22"/>
          <w:szCs w:val="22"/>
        </w:rPr>
        <w:t xml:space="preserve"> including 13 properties that were primarily residential and 13 that were primarily commercial.</w:t>
      </w:r>
      <w:r w:rsidRPr="008B375C">
        <w:rPr>
          <w:rFonts w:ascii="Calibri" w:hAnsi="Calibri"/>
          <w:sz w:val="22"/>
          <w:szCs w:val="22"/>
        </w:rPr>
        <w:t xml:space="preserve"> </w:t>
      </w:r>
    </w:p>
    <w:p w14:paraId="48AD2801" w14:textId="77777777" w:rsidR="004E1F11" w:rsidRDefault="004E1F11" w:rsidP="00615DA4">
      <w:pPr>
        <w:pStyle w:val="BodyText"/>
        <w:spacing w:after="0"/>
        <w:jc w:val="both"/>
        <w:rPr>
          <w:rFonts w:ascii="Calibri" w:hAnsi="Calibri"/>
          <w:sz w:val="22"/>
          <w:szCs w:val="22"/>
        </w:rPr>
      </w:pPr>
    </w:p>
    <w:p w14:paraId="0BA7D6A6" w14:textId="2C70C755" w:rsidR="008772FC" w:rsidRPr="004E50E7" w:rsidRDefault="008772FC" w:rsidP="008772FC">
      <w:pPr>
        <w:ind w:right="-720"/>
        <w:jc w:val="center"/>
        <w:rPr>
          <w:rFonts w:ascii="Calibri" w:hAnsi="Calibri"/>
          <w:b/>
          <w:bCs/>
          <w:sz w:val="22"/>
          <w:szCs w:val="22"/>
        </w:rPr>
      </w:pPr>
      <w:r w:rsidRPr="004E50E7">
        <w:rPr>
          <w:rFonts w:ascii="Calibri" w:hAnsi="Calibri"/>
          <w:b/>
          <w:bCs/>
          <w:sz w:val="22"/>
          <w:szCs w:val="22"/>
        </w:rPr>
        <w:t xml:space="preserve">Table </w:t>
      </w:r>
      <w:r w:rsidR="00920B15">
        <w:rPr>
          <w:rFonts w:ascii="Calibri" w:hAnsi="Calibri"/>
          <w:b/>
          <w:bCs/>
          <w:sz w:val="22"/>
          <w:szCs w:val="22"/>
        </w:rPr>
        <w:t>III-3</w:t>
      </w:r>
      <w:r w:rsidR="0028014C">
        <w:rPr>
          <w:rFonts w:ascii="Calibri" w:hAnsi="Calibri"/>
          <w:b/>
          <w:bCs/>
          <w:sz w:val="22"/>
          <w:szCs w:val="22"/>
        </w:rPr>
        <w:t>2</w:t>
      </w:r>
      <w:r>
        <w:rPr>
          <w:rFonts w:ascii="Calibri" w:hAnsi="Calibri"/>
          <w:b/>
          <w:bCs/>
          <w:sz w:val="22"/>
          <w:szCs w:val="22"/>
        </w:rPr>
        <w:t xml:space="preserve">: </w:t>
      </w:r>
      <w:r w:rsidRPr="004E50E7">
        <w:rPr>
          <w:rFonts w:ascii="Calibri" w:hAnsi="Calibri"/>
          <w:b/>
          <w:bCs/>
          <w:sz w:val="22"/>
          <w:szCs w:val="22"/>
        </w:rPr>
        <w:t xml:space="preserve">Assessed Values of Multi-family </w:t>
      </w:r>
      <w:r w:rsidRPr="00744F72">
        <w:rPr>
          <w:rFonts w:ascii="Calibri" w:hAnsi="Calibri"/>
          <w:b/>
          <w:bCs/>
          <w:sz w:val="22"/>
          <w:szCs w:val="22"/>
          <w:u w:val="single"/>
        </w:rPr>
        <w:t>Properties</w:t>
      </w:r>
      <w:r>
        <w:rPr>
          <w:rFonts w:ascii="Calibri" w:hAnsi="Calibri"/>
          <w:b/>
          <w:bCs/>
          <w:sz w:val="22"/>
          <w:szCs w:val="22"/>
        </w:rPr>
        <w:t xml:space="preserve">, </w:t>
      </w:r>
      <w:r w:rsidR="00680F3B">
        <w:rPr>
          <w:rFonts w:ascii="Calibri" w:hAnsi="Calibri"/>
          <w:b/>
          <w:bCs/>
          <w:sz w:val="22"/>
          <w:szCs w:val="22"/>
        </w:rPr>
        <w:t>Fiscal Year 20</w:t>
      </w:r>
      <w:r w:rsidR="00F625AE">
        <w:rPr>
          <w:rFonts w:ascii="Calibri" w:hAnsi="Calibri"/>
          <w:b/>
          <w:bCs/>
          <w:sz w:val="22"/>
          <w:szCs w:val="22"/>
        </w:rPr>
        <w:t>2</w:t>
      </w:r>
      <w:r w:rsidR="00BB5F55">
        <w:rPr>
          <w:rFonts w:ascii="Calibri" w:hAnsi="Calibri"/>
          <w:b/>
          <w:bCs/>
          <w:sz w:val="22"/>
          <w:szCs w:val="22"/>
        </w:rPr>
        <w:t>2</w:t>
      </w:r>
    </w:p>
    <w:tbl>
      <w:tblPr>
        <w:tblW w:w="8280" w:type="dxa"/>
        <w:tblInd w:w="558" w:type="dxa"/>
        <w:tblLayout w:type="fixed"/>
        <w:tblLook w:val="0000" w:firstRow="0" w:lastRow="0" w:firstColumn="0" w:lastColumn="0" w:noHBand="0" w:noVBand="0"/>
      </w:tblPr>
      <w:tblGrid>
        <w:gridCol w:w="1840"/>
        <w:gridCol w:w="1670"/>
        <w:gridCol w:w="1530"/>
        <w:gridCol w:w="1530"/>
        <w:gridCol w:w="1710"/>
      </w:tblGrid>
      <w:tr w:rsidR="00744F72" w:rsidRPr="004E50E7" w14:paraId="1113CC89" w14:textId="77777777" w:rsidTr="00744F72">
        <w:trPr>
          <w:cantSplit/>
        </w:trPr>
        <w:tc>
          <w:tcPr>
            <w:tcW w:w="1840" w:type="dxa"/>
            <w:vMerge w:val="restart"/>
            <w:tcBorders>
              <w:top w:val="single" w:sz="6" w:space="0" w:color="auto"/>
              <w:left w:val="single" w:sz="6" w:space="0" w:color="auto"/>
              <w:right w:val="single" w:sz="6" w:space="0" w:color="auto"/>
            </w:tcBorders>
          </w:tcPr>
          <w:p w14:paraId="40E25C0C" w14:textId="77777777" w:rsidR="00744F72" w:rsidRDefault="00744F72" w:rsidP="008F2513">
            <w:pPr>
              <w:jc w:val="center"/>
              <w:rPr>
                <w:rFonts w:ascii="Calibri" w:hAnsi="Calibri"/>
                <w:b/>
                <w:bCs/>
              </w:rPr>
            </w:pPr>
          </w:p>
          <w:p w14:paraId="46F2059C" w14:textId="77777777" w:rsidR="00744F72" w:rsidRPr="004E50E7" w:rsidRDefault="00744F72" w:rsidP="008F2513">
            <w:pPr>
              <w:jc w:val="center"/>
              <w:rPr>
                <w:rFonts w:ascii="Calibri" w:hAnsi="Calibri"/>
                <w:b/>
                <w:bCs/>
              </w:rPr>
            </w:pPr>
            <w:r w:rsidRPr="004E50E7">
              <w:rPr>
                <w:rFonts w:ascii="Calibri" w:hAnsi="Calibri"/>
                <w:b/>
                <w:bCs/>
                <w:sz w:val="22"/>
                <w:szCs w:val="22"/>
              </w:rPr>
              <w:t>Assessment</w:t>
            </w:r>
          </w:p>
        </w:tc>
        <w:tc>
          <w:tcPr>
            <w:tcW w:w="3200" w:type="dxa"/>
            <w:gridSpan w:val="2"/>
            <w:tcBorders>
              <w:top w:val="single" w:sz="6" w:space="0" w:color="auto"/>
              <w:left w:val="single" w:sz="6" w:space="0" w:color="auto"/>
              <w:bottom w:val="single" w:sz="6" w:space="0" w:color="auto"/>
              <w:right w:val="single" w:sz="6" w:space="0" w:color="auto"/>
            </w:tcBorders>
          </w:tcPr>
          <w:p w14:paraId="4DCE15ED" w14:textId="77777777" w:rsidR="00744F72" w:rsidRPr="004E50E7" w:rsidRDefault="00744F72" w:rsidP="008F2513">
            <w:pPr>
              <w:jc w:val="center"/>
              <w:rPr>
                <w:rFonts w:ascii="Calibri" w:hAnsi="Calibri"/>
                <w:b/>
                <w:bCs/>
              </w:rPr>
            </w:pPr>
            <w:r w:rsidRPr="004E50E7">
              <w:rPr>
                <w:rFonts w:ascii="Calibri" w:hAnsi="Calibri"/>
                <w:b/>
                <w:bCs/>
                <w:sz w:val="22"/>
                <w:szCs w:val="22"/>
              </w:rPr>
              <w:t>2/3-unit properties</w:t>
            </w:r>
          </w:p>
        </w:tc>
        <w:tc>
          <w:tcPr>
            <w:tcW w:w="3240" w:type="dxa"/>
            <w:gridSpan w:val="2"/>
            <w:tcBorders>
              <w:top w:val="single" w:sz="6" w:space="0" w:color="auto"/>
              <w:left w:val="single" w:sz="6" w:space="0" w:color="auto"/>
              <w:bottom w:val="single" w:sz="6" w:space="0" w:color="auto"/>
              <w:right w:val="single" w:sz="6" w:space="0" w:color="auto"/>
            </w:tcBorders>
          </w:tcPr>
          <w:p w14:paraId="762C0048" w14:textId="5C3E030B" w:rsidR="00744F72" w:rsidRPr="004E50E7" w:rsidRDefault="002548D9" w:rsidP="002548D9">
            <w:pPr>
              <w:jc w:val="center"/>
              <w:rPr>
                <w:rFonts w:ascii="Calibri" w:hAnsi="Calibri"/>
                <w:b/>
                <w:bCs/>
              </w:rPr>
            </w:pPr>
            <w:r>
              <w:rPr>
                <w:rFonts w:ascii="Calibri" w:hAnsi="Calibri"/>
                <w:b/>
                <w:bCs/>
                <w:sz w:val="22"/>
                <w:szCs w:val="22"/>
              </w:rPr>
              <w:t xml:space="preserve">More than </w:t>
            </w:r>
            <w:r w:rsidR="003C10B3">
              <w:rPr>
                <w:rFonts w:ascii="Calibri" w:hAnsi="Calibri"/>
                <w:b/>
                <w:bCs/>
                <w:sz w:val="22"/>
                <w:szCs w:val="22"/>
              </w:rPr>
              <w:t>4</w:t>
            </w:r>
            <w:r>
              <w:rPr>
                <w:rFonts w:ascii="Calibri" w:hAnsi="Calibri"/>
                <w:b/>
                <w:bCs/>
                <w:sz w:val="22"/>
                <w:szCs w:val="22"/>
              </w:rPr>
              <w:t>-</w:t>
            </w:r>
            <w:r w:rsidR="00744F72" w:rsidRPr="004E50E7">
              <w:rPr>
                <w:rFonts w:ascii="Calibri" w:hAnsi="Calibri"/>
                <w:b/>
                <w:bCs/>
                <w:sz w:val="22"/>
                <w:szCs w:val="22"/>
              </w:rPr>
              <w:t>unit properties</w:t>
            </w:r>
          </w:p>
        </w:tc>
      </w:tr>
      <w:tr w:rsidR="00744F72" w:rsidRPr="004E50E7" w14:paraId="4E524FB5" w14:textId="77777777" w:rsidTr="00744F72">
        <w:trPr>
          <w:cantSplit/>
        </w:trPr>
        <w:tc>
          <w:tcPr>
            <w:tcW w:w="1840" w:type="dxa"/>
            <w:vMerge/>
            <w:tcBorders>
              <w:left w:val="single" w:sz="6" w:space="0" w:color="auto"/>
              <w:bottom w:val="single" w:sz="6" w:space="0" w:color="auto"/>
              <w:right w:val="single" w:sz="6" w:space="0" w:color="auto"/>
            </w:tcBorders>
          </w:tcPr>
          <w:p w14:paraId="3F9A5958" w14:textId="77777777" w:rsidR="00744F72" w:rsidRPr="004E50E7" w:rsidRDefault="00744F72" w:rsidP="008F2513">
            <w:pPr>
              <w:jc w:val="center"/>
              <w:rPr>
                <w:rFonts w:ascii="Calibri" w:hAnsi="Calibri"/>
              </w:rPr>
            </w:pPr>
          </w:p>
        </w:tc>
        <w:tc>
          <w:tcPr>
            <w:tcW w:w="1670" w:type="dxa"/>
            <w:tcBorders>
              <w:top w:val="single" w:sz="6" w:space="0" w:color="auto"/>
              <w:left w:val="single" w:sz="6" w:space="0" w:color="auto"/>
              <w:bottom w:val="single" w:sz="6" w:space="0" w:color="auto"/>
              <w:right w:val="single" w:sz="6" w:space="0" w:color="auto"/>
            </w:tcBorders>
          </w:tcPr>
          <w:p w14:paraId="1F6259F1" w14:textId="77777777" w:rsidR="00744F72" w:rsidRPr="004E50E7" w:rsidRDefault="00744F72" w:rsidP="008F2513">
            <w:pPr>
              <w:jc w:val="center"/>
              <w:rPr>
                <w:rFonts w:ascii="Calibri" w:hAnsi="Calibri"/>
                <w:b/>
                <w:bCs/>
              </w:rPr>
            </w:pPr>
            <w:r w:rsidRPr="004E50E7">
              <w:rPr>
                <w:rFonts w:ascii="Calibri" w:hAnsi="Calibri"/>
                <w:b/>
                <w:bCs/>
                <w:sz w:val="22"/>
                <w:szCs w:val="22"/>
              </w:rPr>
              <w:t>#</w:t>
            </w:r>
          </w:p>
        </w:tc>
        <w:tc>
          <w:tcPr>
            <w:tcW w:w="1530" w:type="dxa"/>
            <w:tcBorders>
              <w:top w:val="single" w:sz="6" w:space="0" w:color="auto"/>
              <w:left w:val="single" w:sz="6" w:space="0" w:color="auto"/>
              <w:bottom w:val="single" w:sz="6" w:space="0" w:color="auto"/>
              <w:right w:val="single" w:sz="6" w:space="0" w:color="auto"/>
            </w:tcBorders>
          </w:tcPr>
          <w:p w14:paraId="1B212548" w14:textId="77777777" w:rsidR="00744F72" w:rsidRPr="004E50E7" w:rsidRDefault="00744F72" w:rsidP="007A335B">
            <w:pPr>
              <w:jc w:val="center"/>
              <w:rPr>
                <w:rFonts w:ascii="Calibri" w:hAnsi="Calibri"/>
                <w:b/>
                <w:bCs/>
              </w:rPr>
            </w:pPr>
            <w:r w:rsidRPr="004E50E7">
              <w:rPr>
                <w:rFonts w:ascii="Calibri" w:hAnsi="Calibri"/>
                <w:b/>
                <w:bCs/>
                <w:sz w:val="22"/>
                <w:szCs w:val="22"/>
              </w:rPr>
              <w:t>%</w:t>
            </w:r>
          </w:p>
        </w:tc>
        <w:tc>
          <w:tcPr>
            <w:tcW w:w="1530" w:type="dxa"/>
            <w:tcBorders>
              <w:top w:val="single" w:sz="6" w:space="0" w:color="auto"/>
              <w:left w:val="single" w:sz="6" w:space="0" w:color="auto"/>
              <w:bottom w:val="single" w:sz="6" w:space="0" w:color="auto"/>
              <w:right w:val="single" w:sz="6" w:space="0" w:color="auto"/>
            </w:tcBorders>
          </w:tcPr>
          <w:p w14:paraId="619FED82" w14:textId="77777777" w:rsidR="00744F72" w:rsidRPr="004E50E7" w:rsidRDefault="00744F72" w:rsidP="008F2513">
            <w:pPr>
              <w:jc w:val="center"/>
              <w:rPr>
                <w:rFonts w:ascii="Calibri" w:hAnsi="Calibri"/>
                <w:b/>
                <w:bCs/>
              </w:rPr>
            </w:pPr>
            <w:r w:rsidRPr="004E50E7">
              <w:rPr>
                <w:rFonts w:ascii="Calibri" w:hAnsi="Calibri"/>
                <w:b/>
                <w:bCs/>
                <w:sz w:val="22"/>
                <w:szCs w:val="22"/>
              </w:rPr>
              <w:t>#</w:t>
            </w:r>
          </w:p>
        </w:tc>
        <w:tc>
          <w:tcPr>
            <w:tcW w:w="1710" w:type="dxa"/>
            <w:tcBorders>
              <w:top w:val="single" w:sz="6" w:space="0" w:color="auto"/>
              <w:left w:val="single" w:sz="6" w:space="0" w:color="auto"/>
              <w:bottom w:val="single" w:sz="6" w:space="0" w:color="auto"/>
              <w:right w:val="single" w:sz="6" w:space="0" w:color="auto"/>
            </w:tcBorders>
          </w:tcPr>
          <w:p w14:paraId="4F677076" w14:textId="77777777" w:rsidR="00744F72" w:rsidRPr="004E50E7" w:rsidRDefault="00744F72" w:rsidP="007A335B">
            <w:pPr>
              <w:jc w:val="center"/>
              <w:rPr>
                <w:rFonts w:ascii="Calibri" w:hAnsi="Calibri"/>
                <w:b/>
                <w:bCs/>
              </w:rPr>
            </w:pPr>
            <w:r w:rsidRPr="004E50E7">
              <w:rPr>
                <w:rFonts w:ascii="Calibri" w:hAnsi="Calibri"/>
                <w:b/>
                <w:bCs/>
                <w:sz w:val="22"/>
                <w:szCs w:val="22"/>
              </w:rPr>
              <w:t>%</w:t>
            </w:r>
          </w:p>
        </w:tc>
      </w:tr>
      <w:tr w:rsidR="00744F72" w:rsidRPr="004E50E7" w14:paraId="6BD91157" w14:textId="77777777" w:rsidTr="00744F72">
        <w:tc>
          <w:tcPr>
            <w:tcW w:w="1840" w:type="dxa"/>
            <w:tcBorders>
              <w:top w:val="single" w:sz="6" w:space="0" w:color="auto"/>
              <w:left w:val="single" w:sz="6" w:space="0" w:color="auto"/>
              <w:bottom w:val="single" w:sz="6" w:space="0" w:color="auto"/>
              <w:right w:val="single" w:sz="6" w:space="0" w:color="auto"/>
            </w:tcBorders>
          </w:tcPr>
          <w:p w14:paraId="46C8C1B9" w14:textId="77777777" w:rsidR="00744F72" w:rsidRPr="004E50E7" w:rsidRDefault="00744F72" w:rsidP="008F2513">
            <w:pPr>
              <w:jc w:val="center"/>
              <w:rPr>
                <w:rFonts w:ascii="Calibri" w:hAnsi="Calibri"/>
                <w:sz w:val="20"/>
              </w:rPr>
            </w:pPr>
            <w:r>
              <w:rPr>
                <w:rFonts w:ascii="Calibri" w:hAnsi="Calibri"/>
                <w:sz w:val="20"/>
                <w:szCs w:val="22"/>
              </w:rPr>
              <w:t>Less than $200,000</w:t>
            </w:r>
          </w:p>
        </w:tc>
        <w:tc>
          <w:tcPr>
            <w:tcW w:w="1670" w:type="dxa"/>
            <w:tcBorders>
              <w:top w:val="single" w:sz="6" w:space="0" w:color="auto"/>
              <w:left w:val="single" w:sz="6" w:space="0" w:color="auto"/>
              <w:bottom w:val="single" w:sz="6" w:space="0" w:color="auto"/>
              <w:right w:val="single" w:sz="6" w:space="0" w:color="auto"/>
            </w:tcBorders>
          </w:tcPr>
          <w:p w14:paraId="1EBCB06C" w14:textId="59D2CFB6" w:rsidR="00744F72" w:rsidRPr="004E50E7" w:rsidRDefault="003C10B3" w:rsidP="008F2513">
            <w:pPr>
              <w:jc w:val="center"/>
              <w:rPr>
                <w:rFonts w:ascii="Calibri" w:hAnsi="Calibri"/>
                <w:sz w:val="20"/>
              </w:rPr>
            </w:pPr>
            <w:r>
              <w:rPr>
                <w:rFonts w:ascii="Calibri" w:hAnsi="Calibri"/>
                <w:sz w:val="20"/>
                <w:szCs w:val="22"/>
              </w:rPr>
              <w:t>0/0</w:t>
            </w:r>
          </w:p>
        </w:tc>
        <w:tc>
          <w:tcPr>
            <w:tcW w:w="1530" w:type="dxa"/>
            <w:tcBorders>
              <w:top w:val="single" w:sz="6" w:space="0" w:color="auto"/>
              <w:left w:val="single" w:sz="6" w:space="0" w:color="auto"/>
              <w:bottom w:val="single" w:sz="6" w:space="0" w:color="auto"/>
              <w:right w:val="single" w:sz="6" w:space="0" w:color="auto"/>
            </w:tcBorders>
          </w:tcPr>
          <w:p w14:paraId="47C8ED62" w14:textId="60D900A1" w:rsidR="00744F72" w:rsidRPr="004E50E7" w:rsidRDefault="003C10B3" w:rsidP="008F2513">
            <w:pPr>
              <w:jc w:val="center"/>
              <w:rPr>
                <w:rFonts w:ascii="Calibri" w:hAnsi="Calibri"/>
                <w:sz w:val="20"/>
              </w:rPr>
            </w:pPr>
            <w:r>
              <w:rPr>
                <w:rFonts w:ascii="Calibri" w:hAnsi="Calibri"/>
                <w:sz w:val="20"/>
                <w:szCs w:val="22"/>
              </w:rPr>
              <w:t>0.0/0.0</w:t>
            </w:r>
          </w:p>
        </w:tc>
        <w:tc>
          <w:tcPr>
            <w:tcW w:w="1530" w:type="dxa"/>
            <w:tcBorders>
              <w:top w:val="single" w:sz="6" w:space="0" w:color="auto"/>
              <w:left w:val="single" w:sz="6" w:space="0" w:color="auto"/>
              <w:bottom w:val="single" w:sz="6" w:space="0" w:color="auto"/>
              <w:right w:val="single" w:sz="6" w:space="0" w:color="auto"/>
            </w:tcBorders>
          </w:tcPr>
          <w:p w14:paraId="0247B3C1" w14:textId="5207B315" w:rsidR="00744F72" w:rsidRPr="004E50E7" w:rsidRDefault="003C10B3" w:rsidP="008F2513">
            <w:pPr>
              <w:jc w:val="center"/>
              <w:rPr>
                <w:rFonts w:ascii="Calibri" w:hAnsi="Calibri"/>
                <w:sz w:val="20"/>
              </w:rPr>
            </w:pPr>
            <w:r>
              <w:rPr>
                <w:rFonts w:ascii="Calibri" w:hAnsi="Calibri"/>
                <w:sz w:val="20"/>
                <w:szCs w:val="22"/>
              </w:rPr>
              <w:t>0</w:t>
            </w:r>
          </w:p>
        </w:tc>
        <w:tc>
          <w:tcPr>
            <w:tcW w:w="1710" w:type="dxa"/>
            <w:tcBorders>
              <w:top w:val="single" w:sz="6" w:space="0" w:color="auto"/>
              <w:left w:val="single" w:sz="6" w:space="0" w:color="auto"/>
              <w:bottom w:val="single" w:sz="6" w:space="0" w:color="auto"/>
              <w:right w:val="single" w:sz="6" w:space="0" w:color="auto"/>
            </w:tcBorders>
          </w:tcPr>
          <w:p w14:paraId="13C79CDA" w14:textId="35A48F62" w:rsidR="00744F72" w:rsidRPr="004E50E7" w:rsidRDefault="003C10B3" w:rsidP="008F2513">
            <w:pPr>
              <w:jc w:val="center"/>
              <w:rPr>
                <w:rFonts w:ascii="Calibri" w:hAnsi="Calibri"/>
                <w:sz w:val="20"/>
              </w:rPr>
            </w:pPr>
            <w:r>
              <w:rPr>
                <w:rFonts w:ascii="Calibri" w:hAnsi="Calibri"/>
                <w:sz w:val="20"/>
                <w:szCs w:val="22"/>
              </w:rPr>
              <w:t>0.0</w:t>
            </w:r>
          </w:p>
        </w:tc>
      </w:tr>
      <w:tr w:rsidR="00744F72" w:rsidRPr="004E50E7" w14:paraId="28833EF8" w14:textId="77777777" w:rsidTr="00744F72">
        <w:tc>
          <w:tcPr>
            <w:tcW w:w="1840" w:type="dxa"/>
            <w:tcBorders>
              <w:top w:val="single" w:sz="6" w:space="0" w:color="auto"/>
              <w:left w:val="single" w:sz="6" w:space="0" w:color="auto"/>
              <w:bottom w:val="single" w:sz="6" w:space="0" w:color="auto"/>
              <w:right w:val="single" w:sz="6" w:space="0" w:color="auto"/>
            </w:tcBorders>
          </w:tcPr>
          <w:p w14:paraId="017B25A7" w14:textId="77777777" w:rsidR="00744F72" w:rsidRPr="004E50E7" w:rsidRDefault="00744F72" w:rsidP="008F2513">
            <w:pPr>
              <w:jc w:val="center"/>
              <w:rPr>
                <w:rFonts w:ascii="Calibri" w:hAnsi="Calibri"/>
                <w:sz w:val="20"/>
              </w:rPr>
            </w:pPr>
            <w:r w:rsidRPr="004E50E7">
              <w:rPr>
                <w:rFonts w:ascii="Calibri" w:hAnsi="Calibri"/>
                <w:sz w:val="20"/>
                <w:szCs w:val="22"/>
              </w:rPr>
              <w:t>$200,000-299,999</w:t>
            </w:r>
          </w:p>
        </w:tc>
        <w:tc>
          <w:tcPr>
            <w:tcW w:w="1670" w:type="dxa"/>
            <w:tcBorders>
              <w:top w:val="single" w:sz="6" w:space="0" w:color="auto"/>
              <w:left w:val="single" w:sz="6" w:space="0" w:color="auto"/>
              <w:bottom w:val="single" w:sz="6" w:space="0" w:color="auto"/>
              <w:right w:val="single" w:sz="6" w:space="0" w:color="auto"/>
            </w:tcBorders>
          </w:tcPr>
          <w:p w14:paraId="6C6032A2" w14:textId="5C3A7FD8" w:rsidR="00744F72" w:rsidRPr="004E50E7" w:rsidRDefault="003C10B3" w:rsidP="008F2513">
            <w:pPr>
              <w:jc w:val="center"/>
              <w:rPr>
                <w:rFonts w:ascii="Calibri" w:hAnsi="Calibri"/>
                <w:sz w:val="20"/>
              </w:rPr>
            </w:pPr>
            <w:r>
              <w:rPr>
                <w:rFonts w:ascii="Calibri" w:hAnsi="Calibri"/>
                <w:sz w:val="20"/>
                <w:szCs w:val="22"/>
              </w:rPr>
              <w:t>0/0</w:t>
            </w:r>
          </w:p>
        </w:tc>
        <w:tc>
          <w:tcPr>
            <w:tcW w:w="1530" w:type="dxa"/>
            <w:tcBorders>
              <w:top w:val="single" w:sz="6" w:space="0" w:color="auto"/>
              <w:left w:val="single" w:sz="6" w:space="0" w:color="auto"/>
              <w:bottom w:val="single" w:sz="6" w:space="0" w:color="auto"/>
              <w:right w:val="single" w:sz="6" w:space="0" w:color="auto"/>
            </w:tcBorders>
          </w:tcPr>
          <w:p w14:paraId="41836F2F" w14:textId="0C8D6756" w:rsidR="00744F72" w:rsidRPr="004E50E7" w:rsidRDefault="003C10B3" w:rsidP="008F2513">
            <w:pPr>
              <w:jc w:val="center"/>
              <w:rPr>
                <w:rFonts w:ascii="Calibri" w:hAnsi="Calibri"/>
                <w:sz w:val="20"/>
              </w:rPr>
            </w:pPr>
            <w:r>
              <w:rPr>
                <w:rFonts w:ascii="Calibri" w:hAnsi="Calibri"/>
                <w:sz w:val="20"/>
                <w:szCs w:val="22"/>
              </w:rPr>
              <w:t>0.0/0.0</w:t>
            </w:r>
          </w:p>
        </w:tc>
        <w:tc>
          <w:tcPr>
            <w:tcW w:w="1530" w:type="dxa"/>
            <w:tcBorders>
              <w:top w:val="single" w:sz="6" w:space="0" w:color="auto"/>
              <w:left w:val="single" w:sz="6" w:space="0" w:color="auto"/>
              <w:bottom w:val="single" w:sz="6" w:space="0" w:color="auto"/>
              <w:right w:val="single" w:sz="6" w:space="0" w:color="auto"/>
            </w:tcBorders>
          </w:tcPr>
          <w:p w14:paraId="6A4D2687" w14:textId="0C6E10A9" w:rsidR="00744F72" w:rsidRPr="004E50E7" w:rsidRDefault="003C10B3" w:rsidP="008F2513">
            <w:pPr>
              <w:jc w:val="center"/>
              <w:rPr>
                <w:rFonts w:ascii="Calibri" w:hAnsi="Calibri"/>
                <w:sz w:val="20"/>
              </w:rPr>
            </w:pPr>
            <w:r>
              <w:rPr>
                <w:rFonts w:ascii="Calibri" w:hAnsi="Calibri"/>
                <w:sz w:val="20"/>
                <w:szCs w:val="22"/>
              </w:rPr>
              <w:t>0</w:t>
            </w:r>
          </w:p>
        </w:tc>
        <w:tc>
          <w:tcPr>
            <w:tcW w:w="1710" w:type="dxa"/>
            <w:tcBorders>
              <w:top w:val="single" w:sz="6" w:space="0" w:color="auto"/>
              <w:left w:val="single" w:sz="6" w:space="0" w:color="auto"/>
              <w:bottom w:val="single" w:sz="6" w:space="0" w:color="auto"/>
              <w:right w:val="single" w:sz="6" w:space="0" w:color="auto"/>
            </w:tcBorders>
          </w:tcPr>
          <w:p w14:paraId="2CCBFBAF" w14:textId="523E6D85" w:rsidR="00744F72" w:rsidRPr="004E50E7" w:rsidRDefault="003C10B3" w:rsidP="008F2513">
            <w:pPr>
              <w:jc w:val="center"/>
              <w:rPr>
                <w:rFonts w:ascii="Calibri" w:hAnsi="Calibri"/>
                <w:sz w:val="20"/>
              </w:rPr>
            </w:pPr>
            <w:r>
              <w:rPr>
                <w:rFonts w:ascii="Calibri" w:hAnsi="Calibri"/>
                <w:sz w:val="20"/>
                <w:szCs w:val="22"/>
              </w:rPr>
              <w:t>0.0</w:t>
            </w:r>
          </w:p>
        </w:tc>
      </w:tr>
      <w:tr w:rsidR="00744F72" w:rsidRPr="004E50E7" w14:paraId="21F21D7F" w14:textId="77777777" w:rsidTr="00744F72">
        <w:tc>
          <w:tcPr>
            <w:tcW w:w="1840" w:type="dxa"/>
            <w:tcBorders>
              <w:top w:val="single" w:sz="6" w:space="0" w:color="auto"/>
              <w:left w:val="single" w:sz="6" w:space="0" w:color="auto"/>
              <w:bottom w:val="single" w:sz="6" w:space="0" w:color="auto"/>
              <w:right w:val="single" w:sz="6" w:space="0" w:color="auto"/>
            </w:tcBorders>
          </w:tcPr>
          <w:p w14:paraId="4E137421" w14:textId="77777777" w:rsidR="00744F72" w:rsidRPr="004E50E7" w:rsidRDefault="00744F72" w:rsidP="008F2513">
            <w:pPr>
              <w:jc w:val="center"/>
              <w:rPr>
                <w:rFonts w:ascii="Calibri" w:hAnsi="Calibri"/>
                <w:sz w:val="20"/>
              </w:rPr>
            </w:pPr>
            <w:r w:rsidRPr="004E50E7">
              <w:rPr>
                <w:rFonts w:ascii="Calibri" w:hAnsi="Calibri"/>
                <w:sz w:val="20"/>
                <w:szCs w:val="22"/>
              </w:rPr>
              <w:t>$300,000-399,999</w:t>
            </w:r>
          </w:p>
        </w:tc>
        <w:tc>
          <w:tcPr>
            <w:tcW w:w="1670" w:type="dxa"/>
            <w:tcBorders>
              <w:top w:val="single" w:sz="6" w:space="0" w:color="auto"/>
              <w:left w:val="single" w:sz="6" w:space="0" w:color="auto"/>
              <w:bottom w:val="single" w:sz="6" w:space="0" w:color="auto"/>
              <w:right w:val="single" w:sz="6" w:space="0" w:color="auto"/>
            </w:tcBorders>
          </w:tcPr>
          <w:p w14:paraId="5B5AED21" w14:textId="6212F0E1" w:rsidR="00744F72" w:rsidRPr="004E50E7" w:rsidRDefault="003C10B3" w:rsidP="008F2513">
            <w:pPr>
              <w:jc w:val="center"/>
              <w:rPr>
                <w:rFonts w:ascii="Calibri" w:hAnsi="Calibri"/>
                <w:sz w:val="20"/>
              </w:rPr>
            </w:pPr>
            <w:r>
              <w:rPr>
                <w:rFonts w:ascii="Calibri" w:hAnsi="Calibri"/>
                <w:sz w:val="20"/>
                <w:szCs w:val="22"/>
              </w:rPr>
              <w:t>10/0</w:t>
            </w:r>
          </w:p>
        </w:tc>
        <w:tc>
          <w:tcPr>
            <w:tcW w:w="1530" w:type="dxa"/>
            <w:tcBorders>
              <w:top w:val="single" w:sz="6" w:space="0" w:color="auto"/>
              <w:left w:val="single" w:sz="6" w:space="0" w:color="auto"/>
              <w:bottom w:val="single" w:sz="6" w:space="0" w:color="auto"/>
              <w:right w:val="single" w:sz="6" w:space="0" w:color="auto"/>
            </w:tcBorders>
          </w:tcPr>
          <w:p w14:paraId="4A47EE58" w14:textId="4D000A89" w:rsidR="00744F72" w:rsidRPr="004E50E7" w:rsidRDefault="003C10B3" w:rsidP="008F2513">
            <w:pPr>
              <w:jc w:val="center"/>
              <w:rPr>
                <w:rFonts w:ascii="Calibri" w:hAnsi="Calibri"/>
                <w:sz w:val="20"/>
              </w:rPr>
            </w:pPr>
            <w:r>
              <w:rPr>
                <w:rFonts w:ascii="Calibri" w:hAnsi="Calibri"/>
                <w:sz w:val="20"/>
                <w:szCs w:val="22"/>
              </w:rPr>
              <w:t>5.1/0.0</w:t>
            </w:r>
          </w:p>
        </w:tc>
        <w:tc>
          <w:tcPr>
            <w:tcW w:w="1530" w:type="dxa"/>
            <w:tcBorders>
              <w:top w:val="single" w:sz="6" w:space="0" w:color="auto"/>
              <w:left w:val="single" w:sz="6" w:space="0" w:color="auto"/>
              <w:bottom w:val="single" w:sz="6" w:space="0" w:color="auto"/>
              <w:right w:val="single" w:sz="6" w:space="0" w:color="auto"/>
            </w:tcBorders>
          </w:tcPr>
          <w:p w14:paraId="448F7A43" w14:textId="7581E9AD" w:rsidR="00744F72" w:rsidRPr="004E50E7" w:rsidRDefault="003C10B3" w:rsidP="008F2513">
            <w:pPr>
              <w:jc w:val="center"/>
              <w:rPr>
                <w:rFonts w:ascii="Calibri" w:hAnsi="Calibri"/>
                <w:sz w:val="20"/>
              </w:rPr>
            </w:pPr>
            <w:r>
              <w:rPr>
                <w:rFonts w:ascii="Calibri" w:hAnsi="Calibri"/>
                <w:sz w:val="20"/>
                <w:szCs w:val="22"/>
              </w:rPr>
              <w:t>0</w:t>
            </w:r>
          </w:p>
        </w:tc>
        <w:tc>
          <w:tcPr>
            <w:tcW w:w="1710" w:type="dxa"/>
            <w:tcBorders>
              <w:top w:val="single" w:sz="6" w:space="0" w:color="auto"/>
              <w:left w:val="single" w:sz="6" w:space="0" w:color="auto"/>
              <w:bottom w:val="single" w:sz="6" w:space="0" w:color="auto"/>
              <w:right w:val="single" w:sz="6" w:space="0" w:color="auto"/>
            </w:tcBorders>
          </w:tcPr>
          <w:p w14:paraId="4F524371" w14:textId="58A41AED" w:rsidR="00744F72" w:rsidRPr="004E50E7" w:rsidRDefault="003C10B3" w:rsidP="008F2513">
            <w:pPr>
              <w:jc w:val="center"/>
              <w:rPr>
                <w:rFonts w:ascii="Calibri" w:hAnsi="Calibri"/>
                <w:sz w:val="20"/>
              </w:rPr>
            </w:pPr>
            <w:r>
              <w:rPr>
                <w:rFonts w:ascii="Calibri" w:hAnsi="Calibri"/>
                <w:sz w:val="20"/>
                <w:szCs w:val="22"/>
              </w:rPr>
              <w:t>0.0</w:t>
            </w:r>
          </w:p>
        </w:tc>
      </w:tr>
      <w:tr w:rsidR="00744F72" w:rsidRPr="004E50E7" w14:paraId="153D6092" w14:textId="77777777" w:rsidTr="00744F72">
        <w:tc>
          <w:tcPr>
            <w:tcW w:w="1840" w:type="dxa"/>
            <w:tcBorders>
              <w:top w:val="single" w:sz="6" w:space="0" w:color="auto"/>
              <w:left w:val="single" w:sz="6" w:space="0" w:color="auto"/>
              <w:bottom w:val="single" w:sz="6" w:space="0" w:color="auto"/>
              <w:right w:val="single" w:sz="6" w:space="0" w:color="auto"/>
            </w:tcBorders>
          </w:tcPr>
          <w:p w14:paraId="606243A3" w14:textId="77777777" w:rsidR="00744F72" w:rsidRPr="004E50E7" w:rsidRDefault="00744F72" w:rsidP="008F2513">
            <w:pPr>
              <w:jc w:val="center"/>
              <w:rPr>
                <w:rFonts w:ascii="Calibri" w:hAnsi="Calibri"/>
                <w:sz w:val="20"/>
              </w:rPr>
            </w:pPr>
            <w:r w:rsidRPr="004E50E7">
              <w:rPr>
                <w:rFonts w:ascii="Calibri" w:hAnsi="Calibri"/>
                <w:sz w:val="20"/>
                <w:szCs w:val="22"/>
              </w:rPr>
              <w:t>$400,000-499,999</w:t>
            </w:r>
          </w:p>
        </w:tc>
        <w:tc>
          <w:tcPr>
            <w:tcW w:w="1670" w:type="dxa"/>
            <w:tcBorders>
              <w:top w:val="single" w:sz="6" w:space="0" w:color="auto"/>
              <w:left w:val="single" w:sz="6" w:space="0" w:color="auto"/>
              <w:bottom w:val="single" w:sz="6" w:space="0" w:color="auto"/>
              <w:right w:val="single" w:sz="6" w:space="0" w:color="auto"/>
            </w:tcBorders>
          </w:tcPr>
          <w:p w14:paraId="34C9AE64" w14:textId="403A08D2" w:rsidR="00744F72" w:rsidRPr="004E50E7" w:rsidRDefault="003C10B3" w:rsidP="008F2513">
            <w:pPr>
              <w:jc w:val="center"/>
              <w:rPr>
                <w:rFonts w:ascii="Calibri" w:hAnsi="Calibri"/>
                <w:sz w:val="20"/>
              </w:rPr>
            </w:pPr>
            <w:r>
              <w:rPr>
                <w:rFonts w:ascii="Calibri" w:hAnsi="Calibri"/>
                <w:sz w:val="20"/>
                <w:szCs w:val="22"/>
              </w:rPr>
              <w:t>10/0</w:t>
            </w:r>
          </w:p>
        </w:tc>
        <w:tc>
          <w:tcPr>
            <w:tcW w:w="1530" w:type="dxa"/>
            <w:tcBorders>
              <w:top w:val="single" w:sz="6" w:space="0" w:color="auto"/>
              <w:left w:val="single" w:sz="6" w:space="0" w:color="auto"/>
              <w:bottom w:val="single" w:sz="6" w:space="0" w:color="auto"/>
              <w:right w:val="single" w:sz="6" w:space="0" w:color="auto"/>
            </w:tcBorders>
          </w:tcPr>
          <w:p w14:paraId="3833F491" w14:textId="568F2E37" w:rsidR="00744F72" w:rsidRPr="004E50E7" w:rsidRDefault="003C10B3" w:rsidP="008F2513">
            <w:pPr>
              <w:jc w:val="center"/>
              <w:rPr>
                <w:rFonts w:ascii="Calibri" w:hAnsi="Calibri"/>
                <w:sz w:val="20"/>
              </w:rPr>
            </w:pPr>
            <w:r>
              <w:rPr>
                <w:rFonts w:ascii="Calibri" w:hAnsi="Calibri"/>
                <w:sz w:val="20"/>
                <w:szCs w:val="22"/>
              </w:rPr>
              <w:t>5.1/0.0</w:t>
            </w:r>
          </w:p>
        </w:tc>
        <w:tc>
          <w:tcPr>
            <w:tcW w:w="1530" w:type="dxa"/>
            <w:tcBorders>
              <w:top w:val="single" w:sz="6" w:space="0" w:color="auto"/>
              <w:left w:val="single" w:sz="6" w:space="0" w:color="auto"/>
              <w:bottom w:val="single" w:sz="6" w:space="0" w:color="auto"/>
              <w:right w:val="single" w:sz="6" w:space="0" w:color="auto"/>
            </w:tcBorders>
          </w:tcPr>
          <w:p w14:paraId="3C3A2808" w14:textId="13EE7A3A" w:rsidR="00744F72" w:rsidRPr="004E50E7" w:rsidRDefault="003C10B3" w:rsidP="008F2513">
            <w:pPr>
              <w:jc w:val="center"/>
              <w:rPr>
                <w:rFonts w:ascii="Calibri" w:hAnsi="Calibri"/>
                <w:sz w:val="20"/>
              </w:rPr>
            </w:pPr>
            <w:r>
              <w:rPr>
                <w:rFonts w:ascii="Calibri" w:hAnsi="Calibri"/>
                <w:sz w:val="20"/>
                <w:szCs w:val="22"/>
              </w:rPr>
              <w:t>1</w:t>
            </w:r>
          </w:p>
        </w:tc>
        <w:tc>
          <w:tcPr>
            <w:tcW w:w="1710" w:type="dxa"/>
            <w:tcBorders>
              <w:top w:val="single" w:sz="6" w:space="0" w:color="auto"/>
              <w:left w:val="single" w:sz="6" w:space="0" w:color="auto"/>
              <w:bottom w:val="single" w:sz="6" w:space="0" w:color="auto"/>
              <w:right w:val="single" w:sz="6" w:space="0" w:color="auto"/>
            </w:tcBorders>
          </w:tcPr>
          <w:p w14:paraId="1E1E8E14" w14:textId="17AECF77" w:rsidR="00744F72" w:rsidRPr="004E50E7" w:rsidRDefault="003C10B3" w:rsidP="008F2513">
            <w:pPr>
              <w:jc w:val="center"/>
              <w:rPr>
                <w:rFonts w:ascii="Calibri" w:hAnsi="Calibri"/>
                <w:sz w:val="20"/>
              </w:rPr>
            </w:pPr>
            <w:r>
              <w:rPr>
                <w:rFonts w:ascii="Calibri" w:hAnsi="Calibri"/>
                <w:sz w:val="20"/>
                <w:szCs w:val="22"/>
              </w:rPr>
              <w:t>3.2</w:t>
            </w:r>
          </w:p>
        </w:tc>
      </w:tr>
      <w:tr w:rsidR="00744F72" w:rsidRPr="004E50E7" w14:paraId="23B2841F" w14:textId="77777777" w:rsidTr="00744F72">
        <w:tc>
          <w:tcPr>
            <w:tcW w:w="1840" w:type="dxa"/>
            <w:tcBorders>
              <w:top w:val="single" w:sz="6" w:space="0" w:color="auto"/>
              <w:left w:val="single" w:sz="6" w:space="0" w:color="auto"/>
              <w:bottom w:val="single" w:sz="6" w:space="0" w:color="auto"/>
              <w:right w:val="single" w:sz="6" w:space="0" w:color="auto"/>
            </w:tcBorders>
          </w:tcPr>
          <w:p w14:paraId="6EAE8991" w14:textId="77777777" w:rsidR="00744F72" w:rsidRPr="004E50E7" w:rsidRDefault="00744F72" w:rsidP="008F2513">
            <w:pPr>
              <w:jc w:val="center"/>
              <w:rPr>
                <w:rFonts w:ascii="Calibri" w:hAnsi="Calibri"/>
                <w:sz w:val="20"/>
              </w:rPr>
            </w:pPr>
            <w:r w:rsidRPr="004E50E7">
              <w:rPr>
                <w:rFonts w:ascii="Calibri" w:hAnsi="Calibri"/>
                <w:sz w:val="20"/>
                <w:szCs w:val="22"/>
              </w:rPr>
              <w:t>$500,000-599,999</w:t>
            </w:r>
          </w:p>
        </w:tc>
        <w:tc>
          <w:tcPr>
            <w:tcW w:w="1670" w:type="dxa"/>
            <w:tcBorders>
              <w:top w:val="single" w:sz="6" w:space="0" w:color="auto"/>
              <w:left w:val="single" w:sz="6" w:space="0" w:color="auto"/>
              <w:bottom w:val="single" w:sz="6" w:space="0" w:color="auto"/>
              <w:right w:val="single" w:sz="6" w:space="0" w:color="auto"/>
            </w:tcBorders>
          </w:tcPr>
          <w:p w14:paraId="38E07949" w14:textId="27326153" w:rsidR="00744F72" w:rsidRPr="004E50E7" w:rsidRDefault="003C10B3" w:rsidP="008F2513">
            <w:pPr>
              <w:jc w:val="center"/>
              <w:rPr>
                <w:rFonts w:ascii="Calibri" w:hAnsi="Calibri"/>
                <w:sz w:val="20"/>
              </w:rPr>
            </w:pPr>
            <w:r>
              <w:rPr>
                <w:rFonts w:ascii="Calibri" w:hAnsi="Calibri"/>
                <w:sz w:val="20"/>
                <w:szCs w:val="22"/>
              </w:rPr>
              <w:t>40/0</w:t>
            </w:r>
          </w:p>
        </w:tc>
        <w:tc>
          <w:tcPr>
            <w:tcW w:w="1530" w:type="dxa"/>
            <w:tcBorders>
              <w:top w:val="single" w:sz="6" w:space="0" w:color="auto"/>
              <w:left w:val="single" w:sz="6" w:space="0" w:color="auto"/>
              <w:bottom w:val="single" w:sz="6" w:space="0" w:color="auto"/>
              <w:right w:val="single" w:sz="6" w:space="0" w:color="auto"/>
            </w:tcBorders>
          </w:tcPr>
          <w:p w14:paraId="1699B7DE" w14:textId="45892C41" w:rsidR="00744F72" w:rsidRPr="004E50E7" w:rsidRDefault="003C10B3" w:rsidP="008F2513">
            <w:pPr>
              <w:jc w:val="center"/>
              <w:rPr>
                <w:rFonts w:ascii="Calibri" w:hAnsi="Calibri"/>
                <w:sz w:val="20"/>
              </w:rPr>
            </w:pPr>
            <w:r>
              <w:rPr>
                <w:rFonts w:ascii="Calibri" w:hAnsi="Calibri"/>
                <w:sz w:val="20"/>
                <w:szCs w:val="22"/>
              </w:rPr>
              <w:t>20.3/0.0</w:t>
            </w:r>
          </w:p>
        </w:tc>
        <w:tc>
          <w:tcPr>
            <w:tcW w:w="1530" w:type="dxa"/>
            <w:tcBorders>
              <w:top w:val="single" w:sz="6" w:space="0" w:color="auto"/>
              <w:left w:val="single" w:sz="6" w:space="0" w:color="auto"/>
              <w:bottom w:val="single" w:sz="6" w:space="0" w:color="auto"/>
              <w:right w:val="single" w:sz="6" w:space="0" w:color="auto"/>
            </w:tcBorders>
          </w:tcPr>
          <w:p w14:paraId="222F8B07" w14:textId="3ED3B798" w:rsidR="00744F72" w:rsidRPr="004E50E7" w:rsidRDefault="003C10B3" w:rsidP="008F2513">
            <w:pPr>
              <w:jc w:val="center"/>
              <w:rPr>
                <w:rFonts w:ascii="Calibri" w:hAnsi="Calibri"/>
                <w:sz w:val="20"/>
              </w:rPr>
            </w:pPr>
            <w:r>
              <w:rPr>
                <w:rFonts w:ascii="Calibri" w:hAnsi="Calibri"/>
                <w:sz w:val="20"/>
                <w:szCs w:val="22"/>
              </w:rPr>
              <w:t>0</w:t>
            </w:r>
          </w:p>
        </w:tc>
        <w:tc>
          <w:tcPr>
            <w:tcW w:w="1710" w:type="dxa"/>
            <w:tcBorders>
              <w:top w:val="single" w:sz="6" w:space="0" w:color="auto"/>
              <w:left w:val="single" w:sz="6" w:space="0" w:color="auto"/>
              <w:bottom w:val="single" w:sz="6" w:space="0" w:color="auto"/>
              <w:right w:val="single" w:sz="6" w:space="0" w:color="auto"/>
            </w:tcBorders>
          </w:tcPr>
          <w:p w14:paraId="14F55B0B" w14:textId="7DA70DBB" w:rsidR="00744F72" w:rsidRPr="004E50E7" w:rsidRDefault="003C10B3" w:rsidP="008F2513">
            <w:pPr>
              <w:jc w:val="center"/>
              <w:rPr>
                <w:rFonts w:ascii="Calibri" w:hAnsi="Calibri"/>
                <w:sz w:val="20"/>
              </w:rPr>
            </w:pPr>
            <w:r>
              <w:rPr>
                <w:rFonts w:ascii="Calibri" w:hAnsi="Calibri"/>
                <w:sz w:val="20"/>
                <w:szCs w:val="22"/>
              </w:rPr>
              <w:t>0.0</w:t>
            </w:r>
          </w:p>
        </w:tc>
      </w:tr>
      <w:tr w:rsidR="00744F72" w:rsidRPr="004E50E7" w14:paraId="38E7850F" w14:textId="77777777" w:rsidTr="00744F72">
        <w:tc>
          <w:tcPr>
            <w:tcW w:w="1840" w:type="dxa"/>
            <w:tcBorders>
              <w:top w:val="single" w:sz="6" w:space="0" w:color="auto"/>
              <w:left w:val="single" w:sz="6" w:space="0" w:color="auto"/>
              <w:bottom w:val="single" w:sz="6" w:space="0" w:color="auto"/>
              <w:right w:val="single" w:sz="6" w:space="0" w:color="auto"/>
            </w:tcBorders>
          </w:tcPr>
          <w:p w14:paraId="12836BE9" w14:textId="77777777" w:rsidR="00744F72" w:rsidRPr="004E50E7" w:rsidRDefault="00744F72" w:rsidP="008F2513">
            <w:pPr>
              <w:jc w:val="center"/>
              <w:rPr>
                <w:rFonts w:ascii="Calibri" w:hAnsi="Calibri"/>
                <w:sz w:val="20"/>
              </w:rPr>
            </w:pPr>
            <w:r w:rsidRPr="004E50E7">
              <w:rPr>
                <w:rFonts w:ascii="Calibri" w:hAnsi="Calibri"/>
                <w:sz w:val="20"/>
                <w:szCs w:val="22"/>
              </w:rPr>
              <w:t>$600,000-699,999</w:t>
            </w:r>
          </w:p>
        </w:tc>
        <w:tc>
          <w:tcPr>
            <w:tcW w:w="1670" w:type="dxa"/>
            <w:tcBorders>
              <w:top w:val="single" w:sz="6" w:space="0" w:color="auto"/>
              <w:left w:val="single" w:sz="6" w:space="0" w:color="auto"/>
              <w:bottom w:val="single" w:sz="6" w:space="0" w:color="auto"/>
              <w:right w:val="single" w:sz="6" w:space="0" w:color="auto"/>
            </w:tcBorders>
          </w:tcPr>
          <w:p w14:paraId="56CF8A88" w14:textId="37AED42F" w:rsidR="00744F72" w:rsidRPr="004E50E7" w:rsidRDefault="003C10B3" w:rsidP="008F2513">
            <w:pPr>
              <w:jc w:val="center"/>
              <w:rPr>
                <w:rFonts w:ascii="Calibri" w:hAnsi="Calibri"/>
                <w:sz w:val="20"/>
              </w:rPr>
            </w:pPr>
            <w:r>
              <w:rPr>
                <w:rFonts w:ascii="Calibri" w:hAnsi="Calibri"/>
                <w:sz w:val="20"/>
                <w:szCs w:val="22"/>
              </w:rPr>
              <w:t>81/4</w:t>
            </w:r>
          </w:p>
        </w:tc>
        <w:tc>
          <w:tcPr>
            <w:tcW w:w="1530" w:type="dxa"/>
            <w:tcBorders>
              <w:top w:val="single" w:sz="6" w:space="0" w:color="auto"/>
              <w:left w:val="single" w:sz="6" w:space="0" w:color="auto"/>
              <w:bottom w:val="single" w:sz="6" w:space="0" w:color="auto"/>
              <w:right w:val="single" w:sz="6" w:space="0" w:color="auto"/>
            </w:tcBorders>
          </w:tcPr>
          <w:p w14:paraId="730268C8" w14:textId="70EDC8EA" w:rsidR="00744F72" w:rsidRPr="004E50E7" w:rsidRDefault="003C10B3" w:rsidP="008F2513">
            <w:pPr>
              <w:jc w:val="center"/>
              <w:rPr>
                <w:rFonts w:ascii="Calibri" w:hAnsi="Calibri"/>
                <w:sz w:val="20"/>
              </w:rPr>
            </w:pPr>
            <w:r>
              <w:rPr>
                <w:rFonts w:ascii="Calibri" w:hAnsi="Calibri"/>
                <w:sz w:val="20"/>
                <w:szCs w:val="22"/>
              </w:rPr>
              <w:t>41.1/33.3</w:t>
            </w:r>
          </w:p>
        </w:tc>
        <w:tc>
          <w:tcPr>
            <w:tcW w:w="1530" w:type="dxa"/>
            <w:tcBorders>
              <w:top w:val="single" w:sz="6" w:space="0" w:color="auto"/>
              <w:left w:val="single" w:sz="6" w:space="0" w:color="auto"/>
              <w:bottom w:val="single" w:sz="6" w:space="0" w:color="auto"/>
              <w:right w:val="single" w:sz="6" w:space="0" w:color="auto"/>
            </w:tcBorders>
          </w:tcPr>
          <w:p w14:paraId="3E7AB7A5" w14:textId="5B3728B8" w:rsidR="00744F72" w:rsidRPr="004E50E7" w:rsidRDefault="003C10B3" w:rsidP="008F2513">
            <w:pPr>
              <w:jc w:val="center"/>
              <w:rPr>
                <w:rFonts w:ascii="Calibri" w:hAnsi="Calibri"/>
                <w:sz w:val="20"/>
              </w:rPr>
            </w:pPr>
            <w:r>
              <w:rPr>
                <w:rFonts w:ascii="Calibri" w:hAnsi="Calibri"/>
                <w:sz w:val="20"/>
                <w:szCs w:val="22"/>
              </w:rPr>
              <w:t>3</w:t>
            </w:r>
          </w:p>
        </w:tc>
        <w:tc>
          <w:tcPr>
            <w:tcW w:w="1710" w:type="dxa"/>
            <w:tcBorders>
              <w:top w:val="single" w:sz="6" w:space="0" w:color="auto"/>
              <w:left w:val="single" w:sz="6" w:space="0" w:color="auto"/>
              <w:bottom w:val="single" w:sz="6" w:space="0" w:color="auto"/>
              <w:right w:val="single" w:sz="6" w:space="0" w:color="auto"/>
            </w:tcBorders>
          </w:tcPr>
          <w:p w14:paraId="04E3F981" w14:textId="60C4C779" w:rsidR="00744F72" w:rsidRPr="004E50E7" w:rsidRDefault="008C755A" w:rsidP="008F2513">
            <w:pPr>
              <w:jc w:val="center"/>
              <w:rPr>
                <w:rFonts w:ascii="Calibri" w:hAnsi="Calibri"/>
                <w:sz w:val="20"/>
              </w:rPr>
            </w:pPr>
            <w:r>
              <w:rPr>
                <w:rFonts w:ascii="Calibri" w:hAnsi="Calibri"/>
                <w:sz w:val="20"/>
                <w:szCs w:val="22"/>
              </w:rPr>
              <w:t>9.7</w:t>
            </w:r>
          </w:p>
        </w:tc>
      </w:tr>
      <w:tr w:rsidR="00744F72" w:rsidRPr="004E50E7" w14:paraId="49F8B9CE" w14:textId="77777777" w:rsidTr="00744F72">
        <w:tc>
          <w:tcPr>
            <w:tcW w:w="1840" w:type="dxa"/>
            <w:tcBorders>
              <w:top w:val="single" w:sz="6" w:space="0" w:color="auto"/>
              <w:left w:val="single" w:sz="6" w:space="0" w:color="auto"/>
              <w:bottom w:val="single" w:sz="6" w:space="0" w:color="auto"/>
              <w:right w:val="single" w:sz="6" w:space="0" w:color="auto"/>
            </w:tcBorders>
          </w:tcPr>
          <w:p w14:paraId="24E856F5" w14:textId="77777777" w:rsidR="00744F72" w:rsidRPr="004E50E7" w:rsidRDefault="00744F72" w:rsidP="008F2513">
            <w:pPr>
              <w:jc w:val="center"/>
              <w:rPr>
                <w:rFonts w:ascii="Calibri" w:hAnsi="Calibri"/>
                <w:sz w:val="20"/>
              </w:rPr>
            </w:pPr>
            <w:r w:rsidRPr="004E50E7">
              <w:rPr>
                <w:rFonts w:ascii="Calibri" w:hAnsi="Calibri"/>
                <w:sz w:val="20"/>
                <w:szCs w:val="22"/>
              </w:rPr>
              <w:t>$700,000-799,999</w:t>
            </w:r>
          </w:p>
        </w:tc>
        <w:tc>
          <w:tcPr>
            <w:tcW w:w="1670" w:type="dxa"/>
            <w:tcBorders>
              <w:top w:val="single" w:sz="6" w:space="0" w:color="auto"/>
              <w:left w:val="single" w:sz="6" w:space="0" w:color="auto"/>
              <w:bottom w:val="single" w:sz="6" w:space="0" w:color="auto"/>
              <w:right w:val="single" w:sz="6" w:space="0" w:color="auto"/>
            </w:tcBorders>
          </w:tcPr>
          <w:p w14:paraId="005CCBED" w14:textId="2ADFC584" w:rsidR="00744F72" w:rsidRPr="004E50E7" w:rsidRDefault="003C10B3" w:rsidP="008F2513">
            <w:pPr>
              <w:jc w:val="center"/>
              <w:rPr>
                <w:rFonts w:ascii="Calibri" w:hAnsi="Calibri"/>
                <w:sz w:val="20"/>
              </w:rPr>
            </w:pPr>
            <w:r>
              <w:rPr>
                <w:rFonts w:ascii="Calibri" w:hAnsi="Calibri"/>
                <w:sz w:val="20"/>
                <w:szCs w:val="22"/>
              </w:rPr>
              <w:t>29/1</w:t>
            </w:r>
          </w:p>
        </w:tc>
        <w:tc>
          <w:tcPr>
            <w:tcW w:w="1530" w:type="dxa"/>
            <w:tcBorders>
              <w:top w:val="single" w:sz="6" w:space="0" w:color="auto"/>
              <w:left w:val="single" w:sz="6" w:space="0" w:color="auto"/>
              <w:bottom w:val="single" w:sz="6" w:space="0" w:color="auto"/>
              <w:right w:val="single" w:sz="6" w:space="0" w:color="auto"/>
            </w:tcBorders>
          </w:tcPr>
          <w:p w14:paraId="0307EB30" w14:textId="3E5980CF" w:rsidR="00744F72" w:rsidRPr="004E50E7" w:rsidRDefault="003C10B3" w:rsidP="008F2513">
            <w:pPr>
              <w:jc w:val="center"/>
              <w:rPr>
                <w:rFonts w:ascii="Calibri" w:hAnsi="Calibri"/>
                <w:sz w:val="20"/>
              </w:rPr>
            </w:pPr>
            <w:r>
              <w:rPr>
                <w:rFonts w:ascii="Calibri" w:hAnsi="Calibri"/>
                <w:sz w:val="20"/>
                <w:szCs w:val="22"/>
              </w:rPr>
              <w:t>14.7/8.3</w:t>
            </w:r>
          </w:p>
        </w:tc>
        <w:tc>
          <w:tcPr>
            <w:tcW w:w="1530" w:type="dxa"/>
            <w:tcBorders>
              <w:top w:val="single" w:sz="6" w:space="0" w:color="auto"/>
              <w:left w:val="single" w:sz="6" w:space="0" w:color="auto"/>
              <w:bottom w:val="single" w:sz="6" w:space="0" w:color="auto"/>
              <w:right w:val="single" w:sz="6" w:space="0" w:color="auto"/>
            </w:tcBorders>
          </w:tcPr>
          <w:p w14:paraId="61D64ABB" w14:textId="6E220743" w:rsidR="00744F72" w:rsidRPr="004E50E7" w:rsidRDefault="003C10B3" w:rsidP="008F2513">
            <w:pPr>
              <w:jc w:val="center"/>
              <w:rPr>
                <w:rFonts w:ascii="Calibri" w:hAnsi="Calibri"/>
                <w:sz w:val="20"/>
              </w:rPr>
            </w:pPr>
            <w:r>
              <w:rPr>
                <w:rFonts w:ascii="Calibri" w:hAnsi="Calibri"/>
                <w:sz w:val="20"/>
                <w:szCs w:val="22"/>
              </w:rPr>
              <w:t>2</w:t>
            </w:r>
          </w:p>
        </w:tc>
        <w:tc>
          <w:tcPr>
            <w:tcW w:w="1710" w:type="dxa"/>
            <w:tcBorders>
              <w:top w:val="single" w:sz="6" w:space="0" w:color="auto"/>
              <w:left w:val="single" w:sz="6" w:space="0" w:color="auto"/>
              <w:bottom w:val="single" w:sz="6" w:space="0" w:color="auto"/>
              <w:right w:val="single" w:sz="6" w:space="0" w:color="auto"/>
            </w:tcBorders>
          </w:tcPr>
          <w:p w14:paraId="74FDDC48" w14:textId="14383A65" w:rsidR="00744F72" w:rsidRPr="004E50E7" w:rsidRDefault="008C755A" w:rsidP="008F2513">
            <w:pPr>
              <w:jc w:val="center"/>
              <w:rPr>
                <w:rFonts w:ascii="Calibri" w:hAnsi="Calibri"/>
                <w:sz w:val="20"/>
              </w:rPr>
            </w:pPr>
            <w:r>
              <w:rPr>
                <w:rFonts w:ascii="Calibri" w:hAnsi="Calibri"/>
                <w:sz w:val="20"/>
                <w:szCs w:val="22"/>
              </w:rPr>
              <w:t>6.4</w:t>
            </w:r>
          </w:p>
        </w:tc>
      </w:tr>
      <w:tr w:rsidR="00744F72" w:rsidRPr="004E50E7" w14:paraId="6D34613D" w14:textId="77777777" w:rsidTr="00744F72">
        <w:tc>
          <w:tcPr>
            <w:tcW w:w="1840" w:type="dxa"/>
            <w:tcBorders>
              <w:top w:val="single" w:sz="6" w:space="0" w:color="auto"/>
              <w:left w:val="single" w:sz="6" w:space="0" w:color="auto"/>
              <w:bottom w:val="single" w:sz="6" w:space="0" w:color="auto"/>
              <w:right w:val="single" w:sz="6" w:space="0" w:color="auto"/>
            </w:tcBorders>
          </w:tcPr>
          <w:p w14:paraId="65FCF338" w14:textId="77777777" w:rsidR="00744F72" w:rsidRPr="004E50E7" w:rsidRDefault="00744F72" w:rsidP="008F2513">
            <w:pPr>
              <w:jc w:val="center"/>
              <w:rPr>
                <w:rFonts w:ascii="Calibri" w:hAnsi="Calibri"/>
                <w:sz w:val="20"/>
              </w:rPr>
            </w:pPr>
            <w:r w:rsidRPr="004E50E7">
              <w:rPr>
                <w:rFonts w:ascii="Calibri" w:hAnsi="Calibri"/>
                <w:sz w:val="20"/>
                <w:szCs w:val="22"/>
              </w:rPr>
              <w:t>$800,000-899,999</w:t>
            </w:r>
          </w:p>
        </w:tc>
        <w:tc>
          <w:tcPr>
            <w:tcW w:w="1670" w:type="dxa"/>
            <w:tcBorders>
              <w:top w:val="single" w:sz="6" w:space="0" w:color="auto"/>
              <w:left w:val="single" w:sz="6" w:space="0" w:color="auto"/>
              <w:bottom w:val="single" w:sz="6" w:space="0" w:color="auto"/>
              <w:right w:val="single" w:sz="6" w:space="0" w:color="auto"/>
            </w:tcBorders>
          </w:tcPr>
          <w:p w14:paraId="340B8DF3" w14:textId="676759AC" w:rsidR="00744F72" w:rsidRPr="004E50E7" w:rsidRDefault="003C10B3" w:rsidP="008F2513">
            <w:pPr>
              <w:jc w:val="center"/>
              <w:rPr>
                <w:rFonts w:ascii="Calibri" w:hAnsi="Calibri"/>
                <w:sz w:val="20"/>
              </w:rPr>
            </w:pPr>
            <w:r>
              <w:rPr>
                <w:rFonts w:ascii="Calibri" w:hAnsi="Calibri"/>
                <w:sz w:val="20"/>
                <w:szCs w:val="22"/>
              </w:rPr>
              <w:t>17/4</w:t>
            </w:r>
          </w:p>
        </w:tc>
        <w:tc>
          <w:tcPr>
            <w:tcW w:w="1530" w:type="dxa"/>
            <w:tcBorders>
              <w:top w:val="single" w:sz="6" w:space="0" w:color="auto"/>
              <w:left w:val="single" w:sz="6" w:space="0" w:color="auto"/>
              <w:bottom w:val="single" w:sz="6" w:space="0" w:color="auto"/>
              <w:right w:val="single" w:sz="6" w:space="0" w:color="auto"/>
            </w:tcBorders>
          </w:tcPr>
          <w:p w14:paraId="3A517E9E" w14:textId="390D1D38" w:rsidR="00744F72" w:rsidRPr="004E50E7" w:rsidRDefault="003C10B3" w:rsidP="008F2513">
            <w:pPr>
              <w:jc w:val="center"/>
              <w:rPr>
                <w:rFonts w:ascii="Calibri" w:hAnsi="Calibri"/>
                <w:sz w:val="20"/>
              </w:rPr>
            </w:pPr>
            <w:r>
              <w:rPr>
                <w:rFonts w:ascii="Calibri" w:hAnsi="Calibri"/>
                <w:sz w:val="20"/>
                <w:szCs w:val="22"/>
              </w:rPr>
              <w:t>8.6/33.3</w:t>
            </w:r>
          </w:p>
        </w:tc>
        <w:tc>
          <w:tcPr>
            <w:tcW w:w="1530" w:type="dxa"/>
            <w:tcBorders>
              <w:top w:val="single" w:sz="6" w:space="0" w:color="auto"/>
              <w:left w:val="single" w:sz="6" w:space="0" w:color="auto"/>
              <w:bottom w:val="single" w:sz="6" w:space="0" w:color="auto"/>
              <w:right w:val="single" w:sz="6" w:space="0" w:color="auto"/>
            </w:tcBorders>
          </w:tcPr>
          <w:p w14:paraId="637336FB" w14:textId="2A7D8F2D" w:rsidR="00744F72" w:rsidRPr="004E50E7" w:rsidRDefault="003C10B3" w:rsidP="008F2513">
            <w:pPr>
              <w:jc w:val="center"/>
              <w:rPr>
                <w:rFonts w:ascii="Calibri" w:hAnsi="Calibri"/>
                <w:sz w:val="20"/>
              </w:rPr>
            </w:pPr>
            <w:r>
              <w:rPr>
                <w:rFonts w:ascii="Calibri" w:hAnsi="Calibri"/>
                <w:sz w:val="20"/>
                <w:szCs w:val="22"/>
              </w:rPr>
              <w:t>2</w:t>
            </w:r>
          </w:p>
        </w:tc>
        <w:tc>
          <w:tcPr>
            <w:tcW w:w="1710" w:type="dxa"/>
            <w:tcBorders>
              <w:top w:val="single" w:sz="6" w:space="0" w:color="auto"/>
              <w:left w:val="single" w:sz="6" w:space="0" w:color="auto"/>
              <w:bottom w:val="single" w:sz="6" w:space="0" w:color="auto"/>
              <w:right w:val="single" w:sz="6" w:space="0" w:color="auto"/>
            </w:tcBorders>
          </w:tcPr>
          <w:p w14:paraId="5611353E" w14:textId="14E9E14E" w:rsidR="00744F72" w:rsidRPr="004E50E7" w:rsidRDefault="008C755A" w:rsidP="008F2513">
            <w:pPr>
              <w:jc w:val="center"/>
              <w:rPr>
                <w:rFonts w:ascii="Calibri" w:hAnsi="Calibri"/>
                <w:sz w:val="20"/>
              </w:rPr>
            </w:pPr>
            <w:r>
              <w:rPr>
                <w:rFonts w:ascii="Calibri" w:hAnsi="Calibri"/>
                <w:sz w:val="20"/>
                <w:szCs w:val="22"/>
              </w:rPr>
              <w:t>6.4</w:t>
            </w:r>
          </w:p>
        </w:tc>
      </w:tr>
      <w:tr w:rsidR="00744F72" w:rsidRPr="004E50E7" w14:paraId="463B8593" w14:textId="77777777" w:rsidTr="00744F72">
        <w:tc>
          <w:tcPr>
            <w:tcW w:w="1840" w:type="dxa"/>
            <w:tcBorders>
              <w:top w:val="single" w:sz="6" w:space="0" w:color="auto"/>
              <w:left w:val="single" w:sz="6" w:space="0" w:color="auto"/>
              <w:bottom w:val="single" w:sz="6" w:space="0" w:color="auto"/>
              <w:right w:val="single" w:sz="6" w:space="0" w:color="auto"/>
            </w:tcBorders>
          </w:tcPr>
          <w:p w14:paraId="0D835993" w14:textId="77777777" w:rsidR="00744F72" w:rsidRPr="004E50E7" w:rsidRDefault="00744F72" w:rsidP="008F2513">
            <w:pPr>
              <w:jc w:val="center"/>
              <w:rPr>
                <w:rFonts w:ascii="Calibri" w:hAnsi="Calibri"/>
                <w:sz w:val="20"/>
              </w:rPr>
            </w:pPr>
            <w:r w:rsidRPr="004E50E7">
              <w:rPr>
                <w:rFonts w:ascii="Calibri" w:hAnsi="Calibri"/>
                <w:sz w:val="20"/>
                <w:szCs w:val="22"/>
              </w:rPr>
              <w:t>$900,000-999,999</w:t>
            </w:r>
          </w:p>
        </w:tc>
        <w:tc>
          <w:tcPr>
            <w:tcW w:w="1670" w:type="dxa"/>
            <w:tcBorders>
              <w:top w:val="single" w:sz="6" w:space="0" w:color="auto"/>
              <w:left w:val="single" w:sz="6" w:space="0" w:color="auto"/>
              <w:bottom w:val="single" w:sz="6" w:space="0" w:color="auto"/>
              <w:right w:val="single" w:sz="6" w:space="0" w:color="auto"/>
            </w:tcBorders>
          </w:tcPr>
          <w:p w14:paraId="03100BFC" w14:textId="7552F43F" w:rsidR="00744F72" w:rsidRPr="004E50E7" w:rsidRDefault="003C10B3" w:rsidP="008F2513">
            <w:pPr>
              <w:jc w:val="center"/>
              <w:rPr>
                <w:rFonts w:ascii="Calibri" w:hAnsi="Calibri"/>
                <w:sz w:val="20"/>
              </w:rPr>
            </w:pPr>
            <w:r>
              <w:rPr>
                <w:rFonts w:ascii="Calibri" w:hAnsi="Calibri"/>
                <w:sz w:val="20"/>
                <w:szCs w:val="22"/>
              </w:rPr>
              <w:t>4/1</w:t>
            </w:r>
          </w:p>
        </w:tc>
        <w:tc>
          <w:tcPr>
            <w:tcW w:w="1530" w:type="dxa"/>
            <w:tcBorders>
              <w:top w:val="single" w:sz="6" w:space="0" w:color="auto"/>
              <w:left w:val="single" w:sz="6" w:space="0" w:color="auto"/>
              <w:bottom w:val="single" w:sz="6" w:space="0" w:color="auto"/>
              <w:right w:val="single" w:sz="6" w:space="0" w:color="auto"/>
            </w:tcBorders>
          </w:tcPr>
          <w:p w14:paraId="19A88323" w14:textId="7E2041E0" w:rsidR="00744F72" w:rsidRPr="004E50E7" w:rsidRDefault="003C10B3" w:rsidP="008F2513">
            <w:pPr>
              <w:jc w:val="center"/>
              <w:rPr>
                <w:rFonts w:ascii="Calibri" w:hAnsi="Calibri"/>
                <w:sz w:val="20"/>
              </w:rPr>
            </w:pPr>
            <w:r>
              <w:rPr>
                <w:rFonts w:ascii="Calibri" w:hAnsi="Calibri"/>
                <w:sz w:val="20"/>
                <w:szCs w:val="22"/>
              </w:rPr>
              <w:t>2.0/8.3</w:t>
            </w:r>
          </w:p>
        </w:tc>
        <w:tc>
          <w:tcPr>
            <w:tcW w:w="1530" w:type="dxa"/>
            <w:tcBorders>
              <w:top w:val="single" w:sz="6" w:space="0" w:color="auto"/>
              <w:left w:val="single" w:sz="6" w:space="0" w:color="auto"/>
              <w:bottom w:val="single" w:sz="6" w:space="0" w:color="auto"/>
              <w:right w:val="single" w:sz="6" w:space="0" w:color="auto"/>
            </w:tcBorders>
          </w:tcPr>
          <w:p w14:paraId="70BB9F38" w14:textId="2DEA7250" w:rsidR="00744F72" w:rsidRPr="004E50E7" w:rsidRDefault="003C10B3" w:rsidP="008F2513">
            <w:pPr>
              <w:jc w:val="center"/>
              <w:rPr>
                <w:rFonts w:ascii="Calibri" w:hAnsi="Calibri"/>
                <w:sz w:val="20"/>
              </w:rPr>
            </w:pPr>
            <w:r>
              <w:rPr>
                <w:rFonts w:ascii="Calibri" w:hAnsi="Calibri"/>
                <w:sz w:val="20"/>
                <w:szCs w:val="22"/>
              </w:rPr>
              <w:t>4</w:t>
            </w:r>
          </w:p>
        </w:tc>
        <w:tc>
          <w:tcPr>
            <w:tcW w:w="1710" w:type="dxa"/>
            <w:tcBorders>
              <w:top w:val="single" w:sz="6" w:space="0" w:color="auto"/>
              <w:left w:val="single" w:sz="6" w:space="0" w:color="auto"/>
              <w:bottom w:val="single" w:sz="6" w:space="0" w:color="auto"/>
              <w:right w:val="single" w:sz="6" w:space="0" w:color="auto"/>
            </w:tcBorders>
          </w:tcPr>
          <w:p w14:paraId="68D81F74" w14:textId="614B90E1" w:rsidR="00744F72" w:rsidRPr="004E50E7" w:rsidRDefault="008C755A" w:rsidP="008F2513">
            <w:pPr>
              <w:jc w:val="center"/>
              <w:rPr>
                <w:rFonts w:ascii="Calibri" w:hAnsi="Calibri"/>
                <w:sz w:val="20"/>
              </w:rPr>
            </w:pPr>
            <w:r>
              <w:rPr>
                <w:rFonts w:ascii="Calibri" w:hAnsi="Calibri"/>
                <w:sz w:val="20"/>
                <w:szCs w:val="22"/>
              </w:rPr>
              <w:t>12.9</w:t>
            </w:r>
          </w:p>
        </w:tc>
      </w:tr>
      <w:tr w:rsidR="00744F72" w:rsidRPr="004E50E7" w14:paraId="1BEA2672" w14:textId="77777777" w:rsidTr="00744F72">
        <w:tc>
          <w:tcPr>
            <w:tcW w:w="1840" w:type="dxa"/>
            <w:tcBorders>
              <w:top w:val="single" w:sz="6" w:space="0" w:color="auto"/>
              <w:left w:val="single" w:sz="6" w:space="0" w:color="auto"/>
              <w:bottom w:val="single" w:sz="6" w:space="0" w:color="auto"/>
              <w:right w:val="single" w:sz="6" w:space="0" w:color="auto"/>
            </w:tcBorders>
          </w:tcPr>
          <w:p w14:paraId="74802979" w14:textId="77777777" w:rsidR="00744F72" w:rsidRPr="004E50E7" w:rsidRDefault="00744F72" w:rsidP="008F2513">
            <w:pPr>
              <w:jc w:val="center"/>
              <w:rPr>
                <w:rFonts w:ascii="Calibri" w:hAnsi="Calibri"/>
                <w:sz w:val="20"/>
              </w:rPr>
            </w:pPr>
            <w:r w:rsidRPr="004E50E7">
              <w:rPr>
                <w:rFonts w:ascii="Calibri" w:hAnsi="Calibri"/>
                <w:sz w:val="20"/>
                <w:szCs w:val="22"/>
              </w:rPr>
              <w:t>Over $1 million</w:t>
            </w:r>
          </w:p>
        </w:tc>
        <w:tc>
          <w:tcPr>
            <w:tcW w:w="1670" w:type="dxa"/>
            <w:tcBorders>
              <w:top w:val="single" w:sz="6" w:space="0" w:color="auto"/>
              <w:left w:val="single" w:sz="6" w:space="0" w:color="auto"/>
              <w:bottom w:val="single" w:sz="6" w:space="0" w:color="auto"/>
              <w:right w:val="single" w:sz="6" w:space="0" w:color="auto"/>
            </w:tcBorders>
          </w:tcPr>
          <w:p w14:paraId="73C3F553" w14:textId="1AA9791F" w:rsidR="00744F72" w:rsidRPr="004E50E7" w:rsidRDefault="003C10B3" w:rsidP="008F2513">
            <w:pPr>
              <w:jc w:val="center"/>
              <w:rPr>
                <w:rFonts w:ascii="Calibri" w:hAnsi="Calibri"/>
                <w:sz w:val="20"/>
              </w:rPr>
            </w:pPr>
            <w:r>
              <w:rPr>
                <w:rFonts w:ascii="Calibri" w:hAnsi="Calibri"/>
                <w:sz w:val="20"/>
                <w:szCs w:val="22"/>
              </w:rPr>
              <w:t>6/2</w:t>
            </w:r>
          </w:p>
        </w:tc>
        <w:tc>
          <w:tcPr>
            <w:tcW w:w="1530" w:type="dxa"/>
            <w:tcBorders>
              <w:top w:val="single" w:sz="6" w:space="0" w:color="auto"/>
              <w:left w:val="single" w:sz="6" w:space="0" w:color="auto"/>
              <w:bottom w:val="single" w:sz="6" w:space="0" w:color="auto"/>
              <w:right w:val="single" w:sz="6" w:space="0" w:color="auto"/>
            </w:tcBorders>
          </w:tcPr>
          <w:p w14:paraId="3FA7606C" w14:textId="4A765114" w:rsidR="00744F72" w:rsidRPr="004E50E7" w:rsidRDefault="003C10B3" w:rsidP="008F2513">
            <w:pPr>
              <w:jc w:val="center"/>
              <w:rPr>
                <w:rFonts w:ascii="Calibri" w:hAnsi="Calibri"/>
                <w:sz w:val="20"/>
              </w:rPr>
            </w:pPr>
            <w:r>
              <w:rPr>
                <w:rFonts w:ascii="Calibri" w:hAnsi="Calibri"/>
                <w:sz w:val="20"/>
                <w:szCs w:val="22"/>
              </w:rPr>
              <w:t>3.0/16.7</w:t>
            </w:r>
          </w:p>
        </w:tc>
        <w:tc>
          <w:tcPr>
            <w:tcW w:w="1530" w:type="dxa"/>
            <w:tcBorders>
              <w:top w:val="single" w:sz="6" w:space="0" w:color="auto"/>
              <w:left w:val="single" w:sz="6" w:space="0" w:color="auto"/>
              <w:bottom w:val="single" w:sz="6" w:space="0" w:color="auto"/>
              <w:right w:val="single" w:sz="6" w:space="0" w:color="auto"/>
            </w:tcBorders>
          </w:tcPr>
          <w:p w14:paraId="132ADF09" w14:textId="513CF1DC" w:rsidR="00744F72" w:rsidRPr="004E50E7" w:rsidRDefault="003C10B3" w:rsidP="008F2513">
            <w:pPr>
              <w:jc w:val="center"/>
              <w:rPr>
                <w:rFonts w:ascii="Calibri" w:hAnsi="Calibri"/>
                <w:sz w:val="20"/>
              </w:rPr>
            </w:pPr>
            <w:r>
              <w:rPr>
                <w:rFonts w:ascii="Calibri" w:hAnsi="Calibri"/>
                <w:sz w:val="20"/>
                <w:szCs w:val="22"/>
              </w:rPr>
              <w:t>19</w:t>
            </w:r>
          </w:p>
        </w:tc>
        <w:tc>
          <w:tcPr>
            <w:tcW w:w="1710" w:type="dxa"/>
            <w:tcBorders>
              <w:top w:val="single" w:sz="6" w:space="0" w:color="auto"/>
              <w:left w:val="single" w:sz="6" w:space="0" w:color="auto"/>
              <w:bottom w:val="single" w:sz="6" w:space="0" w:color="auto"/>
              <w:right w:val="single" w:sz="6" w:space="0" w:color="auto"/>
            </w:tcBorders>
          </w:tcPr>
          <w:p w14:paraId="6EBB20E7" w14:textId="23696586" w:rsidR="00744F72" w:rsidRPr="004E50E7" w:rsidRDefault="008C755A" w:rsidP="008F2513">
            <w:pPr>
              <w:jc w:val="center"/>
              <w:rPr>
                <w:rFonts w:ascii="Calibri" w:hAnsi="Calibri"/>
                <w:sz w:val="20"/>
              </w:rPr>
            </w:pPr>
            <w:r>
              <w:rPr>
                <w:rFonts w:ascii="Calibri" w:hAnsi="Calibri"/>
                <w:sz w:val="20"/>
                <w:szCs w:val="22"/>
              </w:rPr>
              <w:t>61.3</w:t>
            </w:r>
          </w:p>
        </w:tc>
      </w:tr>
      <w:tr w:rsidR="00744F72" w:rsidRPr="004E50E7" w14:paraId="256558EE" w14:textId="77777777" w:rsidTr="00744F72">
        <w:tc>
          <w:tcPr>
            <w:tcW w:w="1840" w:type="dxa"/>
            <w:tcBorders>
              <w:top w:val="single" w:sz="6" w:space="0" w:color="auto"/>
              <w:left w:val="single" w:sz="6" w:space="0" w:color="auto"/>
              <w:bottom w:val="single" w:sz="6" w:space="0" w:color="auto"/>
              <w:right w:val="single" w:sz="6" w:space="0" w:color="auto"/>
            </w:tcBorders>
          </w:tcPr>
          <w:p w14:paraId="00D1A5E1" w14:textId="77777777" w:rsidR="00744F72" w:rsidRPr="004E50E7" w:rsidRDefault="00744F72" w:rsidP="008F2513">
            <w:pPr>
              <w:jc w:val="center"/>
              <w:rPr>
                <w:rFonts w:ascii="Calibri" w:hAnsi="Calibri"/>
                <w:sz w:val="20"/>
              </w:rPr>
            </w:pPr>
            <w:r w:rsidRPr="004E50E7">
              <w:rPr>
                <w:rFonts w:ascii="Calibri" w:hAnsi="Calibri"/>
                <w:sz w:val="20"/>
                <w:szCs w:val="22"/>
              </w:rPr>
              <w:t>Total</w:t>
            </w:r>
          </w:p>
        </w:tc>
        <w:tc>
          <w:tcPr>
            <w:tcW w:w="1670" w:type="dxa"/>
            <w:tcBorders>
              <w:top w:val="single" w:sz="6" w:space="0" w:color="auto"/>
              <w:left w:val="single" w:sz="6" w:space="0" w:color="auto"/>
              <w:bottom w:val="single" w:sz="6" w:space="0" w:color="auto"/>
              <w:right w:val="single" w:sz="6" w:space="0" w:color="auto"/>
            </w:tcBorders>
          </w:tcPr>
          <w:p w14:paraId="05D560A3" w14:textId="44E78A0A" w:rsidR="00744F72" w:rsidRPr="004E50E7" w:rsidRDefault="003C10B3" w:rsidP="008F2513">
            <w:pPr>
              <w:jc w:val="center"/>
              <w:rPr>
                <w:rFonts w:ascii="Calibri" w:hAnsi="Calibri"/>
                <w:sz w:val="20"/>
              </w:rPr>
            </w:pPr>
            <w:r>
              <w:rPr>
                <w:rFonts w:ascii="Calibri" w:hAnsi="Calibri"/>
                <w:sz w:val="20"/>
                <w:szCs w:val="22"/>
              </w:rPr>
              <w:t>197/12</w:t>
            </w:r>
          </w:p>
        </w:tc>
        <w:tc>
          <w:tcPr>
            <w:tcW w:w="1530" w:type="dxa"/>
            <w:tcBorders>
              <w:top w:val="single" w:sz="6" w:space="0" w:color="auto"/>
              <w:left w:val="single" w:sz="6" w:space="0" w:color="auto"/>
              <w:bottom w:val="single" w:sz="6" w:space="0" w:color="auto"/>
              <w:right w:val="single" w:sz="6" w:space="0" w:color="auto"/>
            </w:tcBorders>
          </w:tcPr>
          <w:p w14:paraId="65E91405" w14:textId="524781B2" w:rsidR="00744F72" w:rsidRPr="004E50E7" w:rsidRDefault="003C10B3" w:rsidP="00744F72">
            <w:pPr>
              <w:jc w:val="center"/>
              <w:rPr>
                <w:rFonts w:ascii="Calibri" w:hAnsi="Calibri"/>
                <w:sz w:val="20"/>
              </w:rPr>
            </w:pPr>
            <w:r>
              <w:rPr>
                <w:rFonts w:ascii="Calibri" w:hAnsi="Calibri"/>
                <w:sz w:val="20"/>
                <w:szCs w:val="22"/>
              </w:rPr>
              <w:t>100.0/100.0</w:t>
            </w:r>
          </w:p>
        </w:tc>
        <w:tc>
          <w:tcPr>
            <w:tcW w:w="1530" w:type="dxa"/>
            <w:tcBorders>
              <w:top w:val="single" w:sz="6" w:space="0" w:color="auto"/>
              <w:left w:val="single" w:sz="6" w:space="0" w:color="auto"/>
              <w:bottom w:val="single" w:sz="6" w:space="0" w:color="auto"/>
              <w:right w:val="single" w:sz="6" w:space="0" w:color="auto"/>
            </w:tcBorders>
          </w:tcPr>
          <w:p w14:paraId="39B2021B" w14:textId="6038F261" w:rsidR="00744F72" w:rsidRPr="004E50E7" w:rsidRDefault="003C10B3" w:rsidP="008F2513">
            <w:pPr>
              <w:jc w:val="center"/>
              <w:rPr>
                <w:rFonts w:ascii="Calibri" w:hAnsi="Calibri"/>
                <w:sz w:val="20"/>
              </w:rPr>
            </w:pPr>
            <w:r>
              <w:rPr>
                <w:rFonts w:ascii="Calibri" w:hAnsi="Calibri"/>
                <w:sz w:val="20"/>
                <w:szCs w:val="22"/>
              </w:rPr>
              <w:t>31</w:t>
            </w:r>
          </w:p>
        </w:tc>
        <w:tc>
          <w:tcPr>
            <w:tcW w:w="1710" w:type="dxa"/>
            <w:tcBorders>
              <w:top w:val="single" w:sz="6" w:space="0" w:color="auto"/>
              <w:left w:val="single" w:sz="6" w:space="0" w:color="auto"/>
              <w:bottom w:val="single" w:sz="6" w:space="0" w:color="auto"/>
              <w:right w:val="single" w:sz="6" w:space="0" w:color="auto"/>
            </w:tcBorders>
          </w:tcPr>
          <w:p w14:paraId="7D078AD0" w14:textId="56269A21" w:rsidR="00744F72" w:rsidRPr="004E50E7" w:rsidRDefault="008C755A" w:rsidP="008F2513">
            <w:pPr>
              <w:jc w:val="center"/>
              <w:rPr>
                <w:rFonts w:ascii="Calibri" w:hAnsi="Calibri"/>
                <w:sz w:val="20"/>
              </w:rPr>
            </w:pPr>
            <w:r>
              <w:rPr>
                <w:rFonts w:ascii="Calibri" w:hAnsi="Calibri"/>
                <w:sz w:val="20"/>
                <w:szCs w:val="22"/>
              </w:rPr>
              <w:t>100.0</w:t>
            </w:r>
          </w:p>
        </w:tc>
      </w:tr>
    </w:tbl>
    <w:p w14:paraId="3C11769B" w14:textId="5F54AB58" w:rsidR="008772FC" w:rsidRPr="004E50E7" w:rsidRDefault="00680F3B" w:rsidP="008772FC">
      <w:pPr>
        <w:ind w:firstLine="720"/>
        <w:rPr>
          <w:rFonts w:ascii="Calibri" w:hAnsi="Calibri"/>
          <w:sz w:val="20"/>
          <w:szCs w:val="20"/>
        </w:rPr>
      </w:pPr>
      <w:r>
        <w:rPr>
          <w:rFonts w:ascii="Calibri" w:hAnsi="Calibri"/>
          <w:sz w:val="20"/>
          <w:szCs w:val="20"/>
        </w:rPr>
        <w:t>Source: Needham Assessor, F</w:t>
      </w:r>
      <w:r w:rsidR="008772FC" w:rsidRPr="004E50E7">
        <w:rPr>
          <w:rFonts w:ascii="Calibri" w:hAnsi="Calibri"/>
          <w:sz w:val="20"/>
          <w:szCs w:val="20"/>
        </w:rPr>
        <w:t xml:space="preserve">iscal </w:t>
      </w:r>
      <w:r>
        <w:rPr>
          <w:rFonts w:ascii="Calibri" w:hAnsi="Calibri"/>
          <w:sz w:val="20"/>
          <w:szCs w:val="20"/>
        </w:rPr>
        <w:t>Y</w:t>
      </w:r>
      <w:r w:rsidR="008772FC" w:rsidRPr="004E50E7">
        <w:rPr>
          <w:rFonts w:ascii="Calibri" w:hAnsi="Calibri"/>
          <w:sz w:val="20"/>
          <w:szCs w:val="20"/>
        </w:rPr>
        <w:t>ear 20</w:t>
      </w:r>
      <w:r w:rsidR="00F625AE">
        <w:rPr>
          <w:rFonts w:ascii="Calibri" w:hAnsi="Calibri"/>
          <w:sz w:val="20"/>
          <w:szCs w:val="20"/>
        </w:rPr>
        <w:t>2</w:t>
      </w:r>
      <w:r w:rsidR="00BB5F55">
        <w:rPr>
          <w:rFonts w:ascii="Calibri" w:hAnsi="Calibri"/>
          <w:sz w:val="20"/>
          <w:szCs w:val="20"/>
        </w:rPr>
        <w:t>2</w:t>
      </w:r>
      <w:r w:rsidR="008772FC" w:rsidRPr="004E50E7">
        <w:rPr>
          <w:rFonts w:ascii="Calibri" w:hAnsi="Calibri"/>
          <w:sz w:val="20"/>
          <w:szCs w:val="20"/>
        </w:rPr>
        <w:t>.</w:t>
      </w:r>
    </w:p>
    <w:p w14:paraId="1AF6A851" w14:textId="77777777" w:rsidR="004E1F11" w:rsidRDefault="004E1F11" w:rsidP="008772FC">
      <w:pPr>
        <w:pStyle w:val="BodyTextIndent"/>
        <w:spacing w:after="0"/>
        <w:ind w:left="0" w:right="-720"/>
        <w:rPr>
          <w:rFonts w:ascii="Calibri" w:hAnsi="Calibri"/>
          <w:b/>
          <w:bCs/>
          <w:iCs/>
          <w:sz w:val="22"/>
          <w:szCs w:val="22"/>
        </w:rPr>
      </w:pPr>
    </w:p>
    <w:p w14:paraId="69DF8EA3" w14:textId="35E48608" w:rsidR="008772FC" w:rsidRPr="008B375C" w:rsidRDefault="008772FC" w:rsidP="008772FC">
      <w:pPr>
        <w:pStyle w:val="BodyTextIndent"/>
        <w:spacing w:after="0"/>
        <w:ind w:left="0" w:right="-720"/>
        <w:rPr>
          <w:rFonts w:ascii="Calibri" w:hAnsi="Calibri"/>
          <w:b/>
          <w:bCs/>
          <w:iCs/>
          <w:sz w:val="22"/>
          <w:szCs w:val="22"/>
        </w:rPr>
      </w:pPr>
      <w:r w:rsidRPr="008B375C">
        <w:rPr>
          <w:rFonts w:ascii="Calibri" w:hAnsi="Calibri"/>
          <w:b/>
          <w:bCs/>
          <w:iCs/>
          <w:sz w:val="22"/>
          <w:szCs w:val="22"/>
        </w:rPr>
        <w:t xml:space="preserve">Rental Housing </w:t>
      </w:r>
    </w:p>
    <w:p w14:paraId="407001B2" w14:textId="51698CB6" w:rsidR="008772FC" w:rsidRDefault="008772FC" w:rsidP="00615DA4">
      <w:pPr>
        <w:pStyle w:val="BodyTextIndent"/>
        <w:spacing w:after="0"/>
        <w:ind w:left="0"/>
        <w:jc w:val="both"/>
        <w:rPr>
          <w:rFonts w:ascii="Calibri" w:hAnsi="Calibri"/>
          <w:i/>
          <w:sz w:val="22"/>
          <w:szCs w:val="22"/>
        </w:rPr>
      </w:pPr>
      <w:r w:rsidRPr="008B375C">
        <w:rPr>
          <w:rFonts w:ascii="Calibri" w:hAnsi="Calibri"/>
          <w:sz w:val="22"/>
          <w:szCs w:val="22"/>
        </w:rPr>
        <w:t xml:space="preserve">Table </w:t>
      </w:r>
      <w:r w:rsidR="0028014C">
        <w:rPr>
          <w:rFonts w:ascii="Calibri" w:hAnsi="Calibri"/>
          <w:sz w:val="22"/>
          <w:szCs w:val="22"/>
        </w:rPr>
        <w:t>III-33</w:t>
      </w:r>
      <w:r w:rsidRPr="008B375C">
        <w:rPr>
          <w:rFonts w:ascii="Calibri" w:hAnsi="Calibri"/>
          <w:sz w:val="22"/>
          <w:szCs w:val="22"/>
        </w:rPr>
        <w:t xml:space="preserve"> presents information on rental costs from 1990 to 20</w:t>
      </w:r>
      <w:r w:rsidR="00652DAA">
        <w:rPr>
          <w:rFonts w:ascii="Calibri" w:hAnsi="Calibri"/>
          <w:sz w:val="22"/>
          <w:szCs w:val="22"/>
        </w:rPr>
        <w:t>20</w:t>
      </w:r>
      <w:r w:rsidRPr="008B375C">
        <w:rPr>
          <w:rFonts w:ascii="Calibri" w:hAnsi="Calibri"/>
          <w:sz w:val="22"/>
          <w:szCs w:val="22"/>
        </w:rPr>
        <w:t xml:space="preserve"> based on the </w:t>
      </w:r>
      <w:r w:rsidRPr="008B375C">
        <w:rPr>
          <w:rFonts w:ascii="Calibri" w:hAnsi="Calibri"/>
          <w:i/>
          <w:iCs/>
          <w:sz w:val="22"/>
          <w:szCs w:val="22"/>
        </w:rPr>
        <w:t>U.S. Census</w:t>
      </w:r>
      <w:r w:rsidRPr="008B375C">
        <w:rPr>
          <w:rFonts w:ascii="Calibri" w:hAnsi="Calibri"/>
          <w:sz w:val="22"/>
          <w:szCs w:val="22"/>
        </w:rPr>
        <w:t xml:space="preserve"> </w:t>
      </w:r>
      <w:r w:rsidRPr="008B375C">
        <w:rPr>
          <w:rFonts w:ascii="Calibri" w:hAnsi="Calibri"/>
          <w:i/>
          <w:iCs/>
          <w:sz w:val="22"/>
          <w:szCs w:val="22"/>
        </w:rPr>
        <w:t xml:space="preserve">Bureau </w:t>
      </w:r>
      <w:r w:rsidRPr="008B375C">
        <w:rPr>
          <w:rFonts w:ascii="Calibri" w:hAnsi="Calibri"/>
          <w:sz w:val="22"/>
          <w:szCs w:val="22"/>
        </w:rPr>
        <w:t xml:space="preserve">sample data.  The rental market has changed </w:t>
      </w:r>
      <w:r w:rsidR="00FA6403">
        <w:rPr>
          <w:rFonts w:ascii="Calibri" w:hAnsi="Calibri"/>
          <w:sz w:val="22"/>
          <w:szCs w:val="22"/>
        </w:rPr>
        <w:t>over the years</w:t>
      </w:r>
      <w:r w:rsidRPr="008B375C">
        <w:rPr>
          <w:rFonts w:ascii="Calibri" w:hAnsi="Calibri"/>
          <w:sz w:val="22"/>
          <w:szCs w:val="22"/>
        </w:rPr>
        <w:t xml:space="preserve"> as the median rent </w:t>
      </w:r>
      <w:r w:rsidR="00652DAA">
        <w:rPr>
          <w:rFonts w:ascii="Calibri" w:hAnsi="Calibri"/>
          <w:sz w:val="22"/>
          <w:szCs w:val="22"/>
        </w:rPr>
        <w:t>doubled</w:t>
      </w:r>
      <w:r w:rsidRPr="008B375C">
        <w:rPr>
          <w:rFonts w:ascii="Calibri" w:hAnsi="Calibri"/>
          <w:sz w:val="22"/>
          <w:szCs w:val="22"/>
        </w:rPr>
        <w:t xml:space="preserve"> between 1990 and 20</w:t>
      </w:r>
      <w:r w:rsidR="00652DAA">
        <w:rPr>
          <w:rFonts w:ascii="Calibri" w:hAnsi="Calibri"/>
          <w:sz w:val="22"/>
          <w:szCs w:val="22"/>
        </w:rPr>
        <w:t>20</w:t>
      </w:r>
      <w:r w:rsidRPr="008B375C">
        <w:rPr>
          <w:rFonts w:ascii="Calibri" w:hAnsi="Calibri"/>
          <w:sz w:val="22"/>
          <w:szCs w:val="22"/>
        </w:rPr>
        <w:t>, going from $798 per month to $</w:t>
      </w:r>
      <w:r w:rsidR="008839CD">
        <w:rPr>
          <w:rFonts w:ascii="Calibri" w:hAnsi="Calibri"/>
          <w:sz w:val="22"/>
          <w:szCs w:val="22"/>
        </w:rPr>
        <w:t>1,</w:t>
      </w:r>
      <w:r w:rsidR="00652DAA">
        <w:rPr>
          <w:rFonts w:ascii="Calibri" w:hAnsi="Calibri"/>
          <w:sz w:val="22"/>
          <w:szCs w:val="22"/>
        </w:rPr>
        <w:t>604</w:t>
      </w:r>
      <w:r w:rsidRPr="008B375C">
        <w:rPr>
          <w:rFonts w:ascii="Calibri" w:hAnsi="Calibri"/>
          <w:sz w:val="22"/>
          <w:szCs w:val="22"/>
        </w:rPr>
        <w:t xml:space="preserve">.  </w:t>
      </w:r>
      <w:r w:rsidR="008839CD">
        <w:rPr>
          <w:rFonts w:ascii="Calibri" w:hAnsi="Calibri"/>
          <w:sz w:val="22"/>
          <w:szCs w:val="22"/>
        </w:rPr>
        <w:t>In 20</w:t>
      </w:r>
      <w:r w:rsidR="00652DAA">
        <w:rPr>
          <w:rFonts w:ascii="Calibri" w:hAnsi="Calibri"/>
          <w:sz w:val="22"/>
          <w:szCs w:val="22"/>
        </w:rPr>
        <w:t>20</w:t>
      </w:r>
      <w:r w:rsidR="008839CD">
        <w:rPr>
          <w:rFonts w:ascii="Calibri" w:hAnsi="Calibri"/>
          <w:sz w:val="22"/>
          <w:szCs w:val="22"/>
        </w:rPr>
        <w:t xml:space="preserve">, </w:t>
      </w:r>
      <w:r w:rsidR="00652DAA">
        <w:rPr>
          <w:rFonts w:ascii="Calibri" w:hAnsi="Calibri"/>
          <w:sz w:val="22"/>
          <w:szCs w:val="22"/>
        </w:rPr>
        <w:t>65.8</w:t>
      </w:r>
      <w:r w:rsidR="00EE4199">
        <w:rPr>
          <w:rFonts w:ascii="Calibri" w:hAnsi="Calibri"/>
          <w:sz w:val="22"/>
          <w:szCs w:val="22"/>
        </w:rPr>
        <w:t>%</w:t>
      </w:r>
      <w:r w:rsidRPr="008B375C">
        <w:rPr>
          <w:rFonts w:ascii="Calibri" w:hAnsi="Calibri"/>
          <w:sz w:val="22"/>
          <w:szCs w:val="22"/>
        </w:rPr>
        <w:t xml:space="preserve"> of the town’s rental units were renting for more than $1,000, </w:t>
      </w:r>
      <w:r w:rsidR="00652DAA">
        <w:rPr>
          <w:rFonts w:ascii="Calibri" w:hAnsi="Calibri"/>
          <w:sz w:val="22"/>
          <w:szCs w:val="22"/>
        </w:rPr>
        <w:t>50.8</w:t>
      </w:r>
      <w:r w:rsidRPr="008B375C">
        <w:rPr>
          <w:rFonts w:ascii="Calibri" w:hAnsi="Calibri"/>
          <w:sz w:val="22"/>
          <w:szCs w:val="22"/>
        </w:rPr>
        <w:t>% above $1,500</w:t>
      </w:r>
      <w:r w:rsidR="008839CD">
        <w:rPr>
          <w:rFonts w:ascii="Calibri" w:hAnsi="Calibri"/>
          <w:sz w:val="22"/>
          <w:szCs w:val="22"/>
        </w:rPr>
        <w:t>, and 1</w:t>
      </w:r>
      <w:r w:rsidR="00652DAA">
        <w:rPr>
          <w:rFonts w:ascii="Calibri" w:hAnsi="Calibri"/>
          <w:sz w:val="22"/>
          <w:szCs w:val="22"/>
        </w:rPr>
        <w:t>1.4</w:t>
      </w:r>
      <w:r w:rsidR="008839CD">
        <w:rPr>
          <w:rFonts w:ascii="Calibri" w:hAnsi="Calibri"/>
          <w:sz w:val="22"/>
          <w:szCs w:val="22"/>
        </w:rPr>
        <w:t>% at over $3,000</w:t>
      </w:r>
      <w:r w:rsidRPr="008B375C">
        <w:rPr>
          <w:rFonts w:ascii="Calibri" w:hAnsi="Calibri"/>
          <w:i/>
          <w:sz w:val="22"/>
          <w:szCs w:val="22"/>
        </w:rPr>
        <w:t xml:space="preserve">.  It is also important to note that the census figures include subsidized units, which represents </w:t>
      </w:r>
      <w:r w:rsidR="00EE4199">
        <w:rPr>
          <w:rFonts w:ascii="Calibri" w:hAnsi="Calibri"/>
          <w:i/>
          <w:sz w:val="22"/>
          <w:szCs w:val="22"/>
        </w:rPr>
        <w:t xml:space="preserve">about </w:t>
      </w:r>
      <w:r w:rsidR="00084BC6">
        <w:rPr>
          <w:rFonts w:ascii="Calibri" w:hAnsi="Calibri"/>
          <w:i/>
          <w:sz w:val="22"/>
          <w:szCs w:val="22"/>
        </w:rPr>
        <w:t>3</w:t>
      </w:r>
      <w:r w:rsidR="00B3704F">
        <w:rPr>
          <w:rFonts w:ascii="Calibri" w:hAnsi="Calibri"/>
          <w:i/>
          <w:sz w:val="22"/>
          <w:szCs w:val="22"/>
        </w:rPr>
        <w:t>7</w:t>
      </w:r>
      <w:r w:rsidR="00084BC6">
        <w:rPr>
          <w:rFonts w:ascii="Calibri" w:hAnsi="Calibri"/>
          <w:i/>
          <w:sz w:val="22"/>
          <w:szCs w:val="22"/>
        </w:rPr>
        <w:t>%</w:t>
      </w:r>
      <w:r w:rsidRPr="008B375C">
        <w:rPr>
          <w:rFonts w:ascii="Calibri" w:hAnsi="Calibri"/>
          <w:i/>
          <w:sz w:val="22"/>
          <w:szCs w:val="22"/>
        </w:rPr>
        <w:t xml:space="preserve"> of all rental units in Needham, and thus </w:t>
      </w:r>
      <w:r w:rsidR="00084BC6">
        <w:rPr>
          <w:rFonts w:ascii="Calibri" w:hAnsi="Calibri"/>
          <w:i/>
          <w:sz w:val="22"/>
          <w:szCs w:val="22"/>
        </w:rPr>
        <w:t>median values make the</w:t>
      </w:r>
      <w:r w:rsidRPr="008B375C">
        <w:rPr>
          <w:rFonts w:ascii="Calibri" w:hAnsi="Calibri"/>
          <w:i/>
          <w:sz w:val="22"/>
          <w:szCs w:val="22"/>
        </w:rPr>
        <w:t xml:space="preserve"> rental market look more affordable than it </w:t>
      </w:r>
      <w:r w:rsidR="00084BC6">
        <w:rPr>
          <w:rFonts w:ascii="Calibri" w:hAnsi="Calibri"/>
          <w:i/>
          <w:sz w:val="22"/>
          <w:szCs w:val="22"/>
        </w:rPr>
        <w:t xml:space="preserve">actually </w:t>
      </w:r>
      <w:r w:rsidRPr="008B375C">
        <w:rPr>
          <w:rFonts w:ascii="Calibri" w:hAnsi="Calibri"/>
          <w:i/>
          <w:sz w:val="22"/>
          <w:szCs w:val="22"/>
        </w:rPr>
        <w:t xml:space="preserve">is. </w:t>
      </w:r>
    </w:p>
    <w:p w14:paraId="1890FF69" w14:textId="77777777" w:rsidR="00920B15" w:rsidRPr="008B375C" w:rsidRDefault="00920B15" w:rsidP="00615DA4">
      <w:pPr>
        <w:pStyle w:val="BodyTextIndent"/>
        <w:spacing w:after="0"/>
        <w:ind w:left="0"/>
        <w:jc w:val="both"/>
        <w:rPr>
          <w:rFonts w:ascii="Calibri" w:hAnsi="Calibri"/>
          <w:i/>
          <w:sz w:val="22"/>
          <w:szCs w:val="22"/>
        </w:rPr>
      </w:pPr>
    </w:p>
    <w:p w14:paraId="23FDD485" w14:textId="7204593C" w:rsidR="008772FC" w:rsidRPr="008B375C" w:rsidRDefault="008772FC" w:rsidP="008772FC">
      <w:pPr>
        <w:pStyle w:val="BodyTextIndent"/>
        <w:spacing w:after="0"/>
        <w:ind w:left="0" w:right="-720"/>
        <w:jc w:val="center"/>
        <w:rPr>
          <w:rFonts w:ascii="Calibri" w:hAnsi="Calibri"/>
          <w:b/>
          <w:sz w:val="22"/>
          <w:szCs w:val="22"/>
        </w:rPr>
      </w:pPr>
      <w:r w:rsidRPr="008B375C">
        <w:rPr>
          <w:rFonts w:ascii="Calibri" w:hAnsi="Calibri"/>
          <w:b/>
          <w:bCs/>
          <w:sz w:val="22"/>
          <w:szCs w:val="22"/>
        </w:rPr>
        <w:t xml:space="preserve">Table </w:t>
      </w:r>
      <w:r w:rsidR="00675FCF">
        <w:rPr>
          <w:rFonts w:ascii="Calibri" w:hAnsi="Calibri"/>
          <w:b/>
          <w:bCs/>
          <w:sz w:val="22"/>
          <w:szCs w:val="22"/>
        </w:rPr>
        <w:t>III-3</w:t>
      </w:r>
      <w:r w:rsidR="0028014C">
        <w:rPr>
          <w:rFonts w:ascii="Calibri" w:hAnsi="Calibri"/>
          <w:b/>
          <w:bCs/>
          <w:sz w:val="22"/>
          <w:szCs w:val="22"/>
        </w:rPr>
        <w:t>3</w:t>
      </w:r>
      <w:r w:rsidRPr="008B375C">
        <w:rPr>
          <w:rFonts w:ascii="Calibri" w:hAnsi="Calibri"/>
          <w:b/>
          <w:bCs/>
          <w:sz w:val="22"/>
          <w:szCs w:val="22"/>
        </w:rPr>
        <w:t xml:space="preserve">: </w:t>
      </w:r>
      <w:r w:rsidRPr="008B375C">
        <w:rPr>
          <w:rFonts w:ascii="Calibri" w:hAnsi="Calibri"/>
          <w:b/>
          <w:sz w:val="22"/>
          <w:szCs w:val="22"/>
        </w:rPr>
        <w:t>Rental Costs, 1990 to 20</w:t>
      </w:r>
      <w:r w:rsidR="002A6B66">
        <w:rPr>
          <w:rFonts w:ascii="Calibri" w:hAnsi="Calibri"/>
          <w:b/>
          <w:sz w:val="22"/>
          <w:szCs w:val="22"/>
        </w:rPr>
        <w:t>20</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900"/>
        <w:gridCol w:w="900"/>
        <w:gridCol w:w="900"/>
        <w:gridCol w:w="900"/>
        <w:gridCol w:w="915"/>
        <w:gridCol w:w="996"/>
        <w:gridCol w:w="930"/>
        <w:gridCol w:w="910"/>
      </w:tblGrid>
      <w:tr w:rsidR="00456374" w:rsidRPr="008B375C" w14:paraId="6C398D71" w14:textId="77777777" w:rsidTr="008127DC">
        <w:trPr>
          <w:cantSplit/>
          <w:jc w:val="center"/>
        </w:trPr>
        <w:tc>
          <w:tcPr>
            <w:tcW w:w="1548" w:type="dxa"/>
            <w:vMerge w:val="restart"/>
          </w:tcPr>
          <w:p w14:paraId="5BCEB766" w14:textId="77777777" w:rsidR="00456374" w:rsidRPr="008B375C" w:rsidRDefault="00456374" w:rsidP="008F2513">
            <w:pPr>
              <w:pStyle w:val="BodyTextIndent"/>
              <w:spacing w:after="0"/>
              <w:ind w:left="0" w:right="-720"/>
              <w:rPr>
                <w:rFonts w:ascii="Calibri" w:hAnsi="Calibri"/>
                <w:b/>
              </w:rPr>
            </w:pPr>
          </w:p>
          <w:p w14:paraId="245EB007"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Gross Rent</w:t>
            </w:r>
          </w:p>
        </w:tc>
        <w:tc>
          <w:tcPr>
            <w:tcW w:w="1800" w:type="dxa"/>
            <w:gridSpan w:val="2"/>
          </w:tcPr>
          <w:p w14:paraId="5F93CC91" w14:textId="77777777" w:rsidR="00456374" w:rsidRPr="008B375C" w:rsidRDefault="00456374" w:rsidP="008F2513">
            <w:pPr>
              <w:pStyle w:val="BodyTextIndent"/>
              <w:spacing w:after="0"/>
              <w:ind w:left="0" w:right="-720"/>
              <w:jc w:val="center"/>
              <w:rPr>
                <w:rFonts w:ascii="Calibri" w:hAnsi="Calibri"/>
                <w:b/>
              </w:rPr>
            </w:pPr>
            <w:r w:rsidRPr="008B375C">
              <w:rPr>
                <w:rFonts w:ascii="Calibri" w:hAnsi="Calibri"/>
                <w:b/>
                <w:sz w:val="22"/>
                <w:szCs w:val="22"/>
              </w:rPr>
              <w:t>1990</w:t>
            </w:r>
          </w:p>
        </w:tc>
        <w:tc>
          <w:tcPr>
            <w:tcW w:w="1800" w:type="dxa"/>
            <w:gridSpan w:val="2"/>
          </w:tcPr>
          <w:p w14:paraId="441BB037" w14:textId="77777777" w:rsidR="00456374" w:rsidRPr="008B375C" w:rsidRDefault="00456374" w:rsidP="008F2513">
            <w:pPr>
              <w:pStyle w:val="BodyTextIndent"/>
              <w:spacing w:after="0"/>
              <w:ind w:left="0" w:right="-720"/>
              <w:jc w:val="center"/>
              <w:rPr>
                <w:rFonts w:ascii="Calibri" w:hAnsi="Calibri"/>
                <w:b/>
              </w:rPr>
            </w:pPr>
            <w:r w:rsidRPr="008B375C">
              <w:rPr>
                <w:rFonts w:ascii="Calibri" w:hAnsi="Calibri"/>
                <w:b/>
                <w:sz w:val="22"/>
                <w:szCs w:val="22"/>
              </w:rPr>
              <w:t>2000</w:t>
            </w:r>
          </w:p>
        </w:tc>
        <w:tc>
          <w:tcPr>
            <w:tcW w:w="1911" w:type="dxa"/>
            <w:gridSpan w:val="2"/>
            <w:shd w:val="clear" w:color="auto" w:fill="auto"/>
          </w:tcPr>
          <w:p w14:paraId="75440A24" w14:textId="77777777" w:rsidR="00456374" w:rsidRPr="008B375C" w:rsidRDefault="00456374" w:rsidP="00EF0B39">
            <w:pPr>
              <w:pStyle w:val="BodyTextIndent"/>
              <w:spacing w:after="0"/>
              <w:ind w:left="0" w:right="-720"/>
              <w:jc w:val="center"/>
              <w:rPr>
                <w:rFonts w:ascii="Calibri" w:hAnsi="Calibri"/>
                <w:b/>
              </w:rPr>
            </w:pPr>
            <w:r w:rsidRPr="008B375C">
              <w:rPr>
                <w:rFonts w:ascii="Calibri" w:hAnsi="Calibri"/>
                <w:b/>
                <w:sz w:val="22"/>
                <w:szCs w:val="22"/>
              </w:rPr>
              <w:t>201</w:t>
            </w:r>
            <w:r w:rsidR="00EF0B39">
              <w:rPr>
                <w:rFonts w:ascii="Calibri" w:hAnsi="Calibri"/>
                <w:b/>
                <w:sz w:val="22"/>
                <w:szCs w:val="22"/>
              </w:rPr>
              <w:t>0</w:t>
            </w:r>
          </w:p>
        </w:tc>
        <w:tc>
          <w:tcPr>
            <w:tcW w:w="1840" w:type="dxa"/>
            <w:gridSpan w:val="2"/>
          </w:tcPr>
          <w:p w14:paraId="4E45F0F4" w14:textId="1CC782E4" w:rsidR="00456374" w:rsidRPr="008B375C" w:rsidRDefault="00456374" w:rsidP="008F2513">
            <w:pPr>
              <w:pStyle w:val="BodyTextIndent"/>
              <w:spacing w:after="0"/>
              <w:ind w:left="0" w:right="-720"/>
              <w:jc w:val="center"/>
              <w:rPr>
                <w:rFonts w:ascii="Calibri" w:hAnsi="Calibri"/>
                <w:b/>
              </w:rPr>
            </w:pPr>
            <w:r>
              <w:rPr>
                <w:rFonts w:ascii="Calibri" w:hAnsi="Calibri"/>
                <w:b/>
                <w:sz w:val="22"/>
                <w:szCs w:val="22"/>
              </w:rPr>
              <w:t>20</w:t>
            </w:r>
            <w:r w:rsidR="002A6B66">
              <w:rPr>
                <w:rFonts w:ascii="Calibri" w:hAnsi="Calibri"/>
                <w:b/>
                <w:sz w:val="22"/>
                <w:szCs w:val="22"/>
              </w:rPr>
              <w:t>20</w:t>
            </w:r>
          </w:p>
        </w:tc>
      </w:tr>
      <w:tr w:rsidR="00456374" w:rsidRPr="008B375C" w14:paraId="3A1D55F5" w14:textId="77777777" w:rsidTr="008127DC">
        <w:trPr>
          <w:cantSplit/>
          <w:jc w:val="center"/>
        </w:trPr>
        <w:tc>
          <w:tcPr>
            <w:tcW w:w="1548" w:type="dxa"/>
            <w:vMerge/>
          </w:tcPr>
          <w:p w14:paraId="76F408DB" w14:textId="77777777" w:rsidR="00456374" w:rsidRPr="008B375C" w:rsidRDefault="00456374" w:rsidP="008F2513">
            <w:pPr>
              <w:pStyle w:val="BodyTextIndent"/>
              <w:spacing w:after="0"/>
              <w:ind w:left="0" w:right="-720"/>
              <w:rPr>
                <w:rFonts w:ascii="Calibri" w:hAnsi="Calibri"/>
              </w:rPr>
            </w:pPr>
          </w:p>
        </w:tc>
        <w:tc>
          <w:tcPr>
            <w:tcW w:w="900" w:type="dxa"/>
          </w:tcPr>
          <w:p w14:paraId="0B04AD7A"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00" w:type="dxa"/>
          </w:tcPr>
          <w:p w14:paraId="4D7FD4CC"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00" w:type="dxa"/>
          </w:tcPr>
          <w:p w14:paraId="3C1367C8"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00" w:type="dxa"/>
          </w:tcPr>
          <w:p w14:paraId="4F813D0C"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15" w:type="dxa"/>
            <w:shd w:val="clear" w:color="auto" w:fill="auto"/>
          </w:tcPr>
          <w:p w14:paraId="2C0FC396"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96" w:type="dxa"/>
            <w:shd w:val="clear" w:color="auto" w:fill="auto"/>
          </w:tcPr>
          <w:p w14:paraId="73CF1D3E" w14:textId="77777777" w:rsidR="00456374" w:rsidRPr="008B375C" w:rsidRDefault="00456374" w:rsidP="008F2513">
            <w:pPr>
              <w:pStyle w:val="BodyTextIndent"/>
              <w:spacing w:after="0"/>
              <w:ind w:left="0" w:right="-720"/>
              <w:rPr>
                <w:rFonts w:ascii="Calibri" w:hAnsi="Calibri"/>
                <w:b/>
              </w:rPr>
            </w:pPr>
            <w:r w:rsidRPr="008B375C">
              <w:rPr>
                <w:rFonts w:ascii="Calibri" w:hAnsi="Calibri"/>
                <w:b/>
                <w:sz w:val="22"/>
                <w:szCs w:val="22"/>
              </w:rPr>
              <w:t>%</w:t>
            </w:r>
          </w:p>
        </w:tc>
        <w:tc>
          <w:tcPr>
            <w:tcW w:w="930" w:type="dxa"/>
          </w:tcPr>
          <w:p w14:paraId="6BA1C5DD" w14:textId="77777777" w:rsidR="00456374" w:rsidRPr="008B375C" w:rsidRDefault="00456374" w:rsidP="008F2513">
            <w:pPr>
              <w:pStyle w:val="BodyTextIndent"/>
              <w:spacing w:after="0"/>
              <w:ind w:left="0" w:right="-720"/>
              <w:rPr>
                <w:rFonts w:ascii="Calibri" w:hAnsi="Calibri"/>
                <w:b/>
              </w:rPr>
            </w:pPr>
            <w:r>
              <w:rPr>
                <w:rFonts w:ascii="Calibri" w:hAnsi="Calibri"/>
                <w:b/>
                <w:sz w:val="22"/>
                <w:szCs w:val="22"/>
              </w:rPr>
              <w:t>#</w:t>
            </w:r>
          </w:p>
        </w:tc>
        <w:tc>
          <w:tcPr>
            <w:tcW w:w="910" w:type="dxa"/>
          </w:tcPr>
          <w:p w14:paraId="38309051" w14:textId="77777777" w:rsidR="00456374" w:rsidRPr="008B375C" w:rsidRDefault="00456374" w:rsidP="008F2513">
            <w:pPr>
              <w:pStyle w:val="BodyTextIndent"/>
              <w:spacing w:after="0"/>
              <w:ind w:left="0" w:right="-720"/>
              <w:rPr>
                <w:rFonts w:ascii="Calibri" w:hAnsi="Calibri"/>
                <w:b/>
              </w:rPr>
            </w:pPr>
            <w:r>
              <w:rPr>
                <w:rFonts w:ascii="Calibri" w:hAnsi="Calibri"/>
                <w:b/>
                <w:sz w:val="22"/>
                <w:szCs w:val="22"/>
              </w:rPr>
              <w:t>%</w:t>
            </w:r>
          </w:p>
        </w:tc>
      </w:tr>
      <w:tr w:rsidR="008127DC" w:rsidRPr="00615DA4" w14:paraId="4E155F69" w14:textId="77777777" w:rsidTr="008127DC">
        <w:trPr>
          <w:jc w:val="center"/>
        </w:trPr>
        <w:tc>
          <w:tcPr>
            <w:tcW w:w="1548" w:type="dxa"/>
          </w:tcPr>
          <w:p w14:paraId="12776C60"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Under $200</w:t>
            </w:r>
          </w:p>
        </w:tc>
        <w:tc>
          <w:tcPr>
            <w:tcW w:w="900" w:type="dxa"/>
          </w:tcPr>
          <w:p w14:paraId="0A856696"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197</w:t>
            </w:r>
          </w:p>
        </w:tc>
        <w:tc>
          <w:tcPr>
            <w:tcW w:w="900" w:type="dxa"/>
          </w:tcPr>
          <w:p w14:paraId="3ABD3573"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9.7</w:t>
            </w:r>
          </w:p>
        </w:tc>
        <w:tc>
          <w:tcPr>
            <w:tcW w:w="900" w:type="dxa"/>
          </w:tcPr>
          <w:p w14:paraId="07B85605"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108</w:t>
            </w:r>
          </w:p>
        </w:tc>
        <w:tc>
          <w:tcPr>
            <w:tcW w:w="900" w:type="dxa"/>
          </w:tcPr>
          <w:p w14:paraId="45C8BE1B"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5.4</w:t>
            </w:r>
          </w:p>
        </w:tc>
        <w:tc>
          <w:tcPr>
            <w:tcW w:w="915" w:type="dxa"/>
            <w:shd w:val="clear" w:color="auto" w:fill="auto"/>
          </w:tcPr>
          <w:p w14:paraId="4131E5CE"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0</w:t>
            </w:r>
          </w:p>
        </w:tc>
        <w:tc>
          <w:tcPr>
            <w:tcW w:w="996" w:type="dxa"/>
            <w:shd w:val="clear" w:color="auto" w:fill="auto"/>
          </w:tcPr>
          <w:p w14:paraId="3249DB11"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0.0</w:t>
            </w:r>
          </w:p>
        </w:tc>
        <w:tc>
          <w:tcPr>
            <w:tcW w:w="930" w:type="dxa"/>
            <w:vMerge w:val="restart"/>
          </w:tcPr>
          <w:p w14:paraId="5AD473B0" w14:textId="77777777" w:rsidR="00EA533A" w:rsidRDefault="00EA533A" w:rsidP="00615DA4">
            <w:pPr>
              <w:pStyle w:val="BodyTextIndent"/>
              <w:spacing w:after="0"/>
              <w:ind w:left="0"/>
              <w:jc w:val="both"/>
              <w:rPr>
                <w:rFonts w:ascii="Calibri" w:hAnsi="Calibri"/>
                <w:sz w:val="20"/>
                <w:szCs w:val="20"/>
              </w:rPr>
            </w:pPr>
          </w:p>
          <w:p w14:paraId="1CD21607" w14:textId="69C4966D" w:rsidR="002A6B66" w:rsidRPr="00615DA4" w:rsidRDefault="006A2DA0" w:rsidP="00615DA4">
            <w:pPr>
              <w:pStyle w:val="BodyTextIndent"/>
              <w:spacing w:after="0"/>
              <w:ind w:left="0"/>
              <w:jc w:val="both"/>
              <w:rPr>
                <w:rFonts w:ascii="Calibri" w:hAnsi="Calibri"/>
                <w:sz w:val="20"/>
                <w:szCs w:val="20"/>
              </w:rPr>
            </w:pPr>
            <w:r>
              <w:rPr>
                <w:rFonts w:ascii="Calibri" w:hAnsi="Calibri"/>
                <w:sz w:val="20"/>
                <w:szCs w:val="20"/>
              </w:rPr>
              <w:t>238</w:t>
            </w:r>
          </w:p>
        </w:tc>
        <w:tc>
          <w:tcPr>
            <w:tcW w:w="910" w:type="dxa"/>
            <w:vMerge w:val="restart"/>
          </w:tcPr>
          <w:p w14:paraId="311B8037" w14:textId="77777777" w:rsidR="00E73857" w:rsidRDefault="00E73857" w:rsidP="00615DA4">
            <w:pPr>
              <w:pStyle w:val="BodyTextIndent"/>
              <w:spacing w:after="0"/>
              <w:ind w:left="0"/>
              <w:jc w:val="both"/>
              <w:rPr>
                <w:rFonts w:ascii="Calibri" w:hAnsi="Calibri"/>
                <w:sz w:val="20"/>
                <w:szCs w:val="20"/>
              </w:rPr>
            </w:pPr>
          </w:p>
          <w:p w14:paraId="234CA2FC" w14:textId="596C5969" w:rsidR="006A2DA0"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14.2</w:t>
            </w:r>
          </w:p>
        </w:tc>
      </w:tr>
      <w:tr w:rsidR="008127DC" w:rsidRPr="00615DA4" w14:paraId="6B5CF979" w14:textId="77777777" w:rsidTr="008127DC">
        <w:trPr>
          <w:jc w:val="center"/>
        </w:trPr>
        <w:tc>
          <w:tcPr>
            <w:tcW w:w="1548" w:type="dxa"/>
          </w:tcPr>
          <w:p w14:paraId="24FA0C06"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$200-299</w:t>
            </w:r>
          </w:p>
        </w:tc>
        <w:tc>
          <w:tcPr>
            <w:tcW w:w="900" w:type="dxa"/>
          </w:tcPr>
          <w:p w14:paraId="27AC0398"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79</w:t>
            </w:r>
          </w:p>
        </w:tc>
        <w:tc>
          <w:tcPr>
            <w:tcW w:w="900" w:type="dxa"/>
          </w:tcPr>
          <w:p w14:paraId="0D12A7A7"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3.9</w:t>
            </w:r>
          </w:p>
        </w:tc>
        <w:tc>
          <w:tcPr>
            <w:tcW w:w="900" w:type="dxa"/>
          </w:tcPr>
          <w:p w14:paraId="1FB66572"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55</w:t>
            </w:r>
          </w:p>
        </w:tc>
        <w:tc>
          <w:tcPr>
            <w:tcW w:w="900" w:type="dxa"/>
          </w:tcPr>
          <w:p w14:paraId="335E8D99"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2.7</w:t>
            </w:r>
          </w:p>
        </w:tc>
        <w:tc>
          <w:tcPr>
            <w:tcW w:w="915" w:type="dxa"/>
            <w:shd w:val="clear" w:color="auto" w:fill="auto"/>
          </w:tcPr>
          <w:p w14:paraId="4D6AEF7D"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139</w:t>
            </w:r>
          </w:p>
        </w:tc>
        <w:tc>
          <w:tcPr>
            <w:tcW w:w="996" w:type="dxa"/>
            <w:shd w:val="clear" w:color="auto" w:fill="auto"/>
          </w:tcPr>
          <w:p w14:paraId="1A725E23"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7.9</w:t>
            </w:r>
          </w:p>
        </w:tc>
        <w:tc>
          <w:tcPr>
            <w:tcW w:w="930" w:type="dxa"/>
            <w:vMerge/>
          </w:tcPr>
          <w:p w14:paraId="30922262" w14:textId="77777777" w:rsidR="008127DC" w:rsidRPr="00615DA4" w:rsidRDefault="008127DC" w:rsidP="00615DA4">
            <w:pPr>
              <w:pStyle w:val="BodyTextIndent"/>
              <w:spacing w:after="0"/>
              <w:ind w:left="0"/>
              <w:jc w:val="both"/>
              <w:rPr>
                <w:rFonts w:ascii="Calibri" w:hAnsi="Calibri"/>
                <w:sz w:val="20"/>
                <w:szCs w:val="20"/>
              </w:rPr>
            </w:pPr>
          </w:p>
        </w:tc>
        <w:tc>
          <w:tcPr>
            <w:tcW w:w="910" w:type="dxa"/>
            <w:vMerge/>
          </w:tcPr>
          <w:p w14:paraId="713DCFE2" w14:textId="77777777" w:rsidR="008127DC" w:rsidRPr="00615DA4" w:rsidRDefault="008127DC" w:rsidP="00615DA4">
            <w:pPr>
              <w:pStyle w:val="BodyTextIndent"/>
              <w:spacing w:after="0"/>
              <w:ind w:left="0"/>
              <w:jc w:val="both"/>
              <w:rPr>
                <w:rFonts w:ascii="Calibri" w:hAnsi="Calibri"/>
                <w:sz w:val="20"/>
                <w:szCs w:val="20"/>
              </w:rPr>
            </w:pPr>
          </w:p>
        </w:tc>
      </w:tr>
      <w:tr w:rsidR="008127DC" w:rsidRPr="00615DA4" w14:paraId="4FFC904C" w14:textId="77777777" w:rsidTr="008127DC">
        <w:trPr>
          <w:jc w:val="center"/>
        </w:trPr>
        <w:tc>
          <w:tcPr>
            <w:tcW w:w="1548" w:type="dxa"/>
          </w:tcPr>
          <w:p w14:paraId="68DB9835"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 xml:space="preserve">$300-499 </w:t>
            </w:r>
          </w:p>
        </w:tc>
        <w:tc>
          <w:tcPr>
            <w:tcW w:w="900" w:type="dxa"/>
          </w:tcPr>
          <w:p w14:paraId="4B6B0FD5"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195</w:t>
            </w:r>
          </w:p>
        </w:tc>
        <w:tc>
          <w:tcPr>
            <w:tcW w:w="900" w:type="dxa"/>
          </w:tcPr>
          <w:p w14:paraId="654B2B67"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9.6</w:t>
            </w:r>
          </w:p>
        </w:tc>
        <w:tc>
          <w:tcPr>
            <w:tcW w:w="900" w:type="dxa"/>
          </w:tcPr>
          <w:p w14:paraId="0FCD0422"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133</w:t>
            </w:r>
          </w:p>
        </w:tc>
        <w:tc>
          <w:tcPr>
            <w:tcW w:w="900" w:type="dxa"/>
          </w:tcPr>
          <w:p w14:paraId="47244D8A"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6.6</w:t>
            </w:r>
          </w:p>
        </w:tc>
        <w:tc>
          <w:tcPr>
            <w:tcW w:w="915" w:type="dxa"/>
            <w:shd w:val="clear" w:color="auto" w:fill="auto"/>
          </w:tcPr>
          <w:p w14:paraId="56BF8205"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176</w:t>
            </w:r>
          </w:p>
        </w:tc>
        <w:tc>
          <w:tcPr>
            <w:tcW w:w="996" w:type="dxa"/>
            <w:shd w:val="clear" w:color="auto" w:fill="auto"/>
          </w:tcPr>
          <w:p w14:paraId="0BEBE052"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10.0</w:t>
            </w:r>
          </w:p>
        </w:tc>
        <w:tc>
          <w:tcPr>
            <w:tcW w:w="930" w:type="dxa"/>
            <w:vMerge/>
          </w:tcPr>
          <w:p w14:paraId="73096FD8" w14:textId="77777777" w:rsidR="008127DC" w:rsidRPr="00615DA4" w:rsidRDefault="008127DC" w:rsidP="00615DA4">
            <w:pPr>
              <w:pStyle w:val="BodyTextIndent"/>
              <w:spacing w:after="0"/>
              <w:ind w:left="0"/>
              <w:jc w:val="both"/>
              <w:rPr>
                <w:rFonts w:ascii="Calibri" w:hAnsi="Calibri"/>
                <w:sz w:val="20"/>
                <w:szCs w:val="20"/>
              </w:rPr>
            </w:pPr>
          </w:p>
        </w:tc>
        <w:tc>
          <w:tcPr>
            <w:tcW w:w="910" w:type="dxa"/>
            <w:vMerge/>
          </w:tcPr>
          <w:p w14:paraId="4C14AB4D" w14:textId="77777777" w:rsidR="008127DC" w:rsidRPr="00615DA4" w:rsidRDefault="008127DC" w:rsidP="00615DA4">
            <w:pPr>
              <w:pStyle w:val="BodyTextIndent"/>
              <w:spacing w:after="0"/>
              <w:ind w:left="0"/>
              <w:jc w:val="both"/>
              <w:rPr>
                <w:rFonts w:ascii="Calibri" w:hAnsi="Calibri"/>
                <w:sz w:val="20"/>
                <w:szCs w:val="20"/>
              </w:rPr>
            </w:pPr>
          </w:p>
        </w:tc>
      </w:tr>
      <w:tr w:rsidR="008127DC" w:rsidRPr="00615DA4" w14:paraId="5788F645" w14:textId="77777777" w:rsidTr="008127DC">
        <w:trPr>
          <w:cantSplit/>
          <w:jc w:val="center"/>
        </w:trPr>
        <w:tc>
          <w:tcPr>
            <w:tcW w:w="1548" w:type="dxa"/>
          </w:tcPr>
          <w:p w14:paraId="27389FF5"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 xml:space="preserve">$500-749 </w:t>
            </w:r>
          </w:p>
        </w:tc>
        <w:tc>
          <w:tcPr>
            <w:tcW w:w="900" w:type="dxa"/>
          </w:tcPr>
          <w:p w14:paraId="425D4682"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350</w:t>
            </w:r>
          </w:p>
        </w:tc>
        <w:tc>
          <w:tcPr>
            <w:tcW w:w="900" w:type="dxa"/>
          </w:tcPr>
          <w:p w14:paraId="0F66AE2A"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17.2</w:t>
            </w:r>
          </w:p>
        </w:tc>
        <w:tc>
          <w:tcPr>
            <w:tcW w:w="900" w:type="dxa"/>
          </w:tcPr>
          <w:p w14:paraId="713438ED"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160</w:t>
            </w:r>
          </w:p>
        </w:tc>
        <w:tc>
          <w:tcPr>
            <w:tcW w:w="900" w:type="dxa"/>
          </w:tcPr>
          <w:p w14:paraId="7B78DAB9"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7.9</w:t>
            </w:r>
          </w:p>
        </w:tc>
        <w:tc>
          <w:tcPr>
            <w:tcW w:w="915" w:type="dxa"/>
            <w:shd w:val="clear" w:color="auto" w:fill="auto"/>
          </w:tcPr>
          <w:p w14:paraId="666BEA82"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74</w:t>
            </w:r>
          </w:p>
        </w:tc>
        <w:tc>
          <w:tcPr>
            <w:tcW w:w="996" w:type="dxa"/>
            <w:shd w:val="clear" w:color="auto" w:fill="auto"/>
          </w:tcPr>
          <w:p w14:paraId="55106E71"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4.2</w:t>
            </w:r>
          </w:p>
        </w:tc>
        <w:tc>
          <w:tcPr>
            <w:tcW w:w="930" w:type="dxa"/>
            <w:vMerge w:val="restart"/>
          </w:tcPr>
          <w:p w14:paraId="7269D07F" w14:textId="6E4B94CD" w:rsidR="008127DC"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189</w:t>
            </w:r>
          </w:p>
        </w:tc>
        <w:tc>
          <w:tcPr>
            <w:tcW w:w="910" w:type="dxa"/>
            <w:vMerge w:val="restart"/>
          </w:tcPr>
          <w:p w14:paraId="6070841B" w14:textId="6C737AB0" w:rsidR="008127DC"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11.3</w:t>
            </w:r>
          </w:p>
        </w:tc>
      </w:tr>
      <w:tr w:rsidR="008127DC" w:rsidRPr="00615DA4" w14:paraId="6A18C60C" w14:textId="77777777" w:rsidTr="008127DC">
        <w:trPr>
          <w:cantSplit/>
          <w:jc w:val="center"/>
        </w:trPr>
        <w:tc>
          <w:tcPr>
            <w:tcW w:w="1548" w:type="dxa"/>
          </w:tcPr>
          <w:p w14:paraId="3C5C9593"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$750-999</w:t>
            </w:r>
          </w:p>
        </w:tc>
        <w:tc>
          <w:tcPr>
            <w:tcW w:w="900" w:type="dxa"/>
          </w:tcPr>
          <w:p w14:paraId="46E30071"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540</w:t>
            </w:r>
          </w:p>
        </w:tc>
        <w:tc>
          <w:tcPr>
            <w:tcW w:w="900" w:type="dxa"/>
          </w:tcPr>
          <w:p w14:paraId="0D94D94D"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26.5</w:t>
            </w:r>
          </w:p>
        </w:tc>
        <w:tc>
          <w:tcPr>
            <w:tcW w:w="900" w:type="dxa"/>
          </w:tcPr>
          <w:p w14:paraId="2261282E"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243</w:t>
            </w:r>
          </w:p>
        </w:tc>
        <w:tc>
          <w:tcPr>
            <w:tcW w:w="900" w:type="dxa"/>
          </w:tcPr>
          <w:p w14:paraId="044F31F3" w14:textId="77777777" w:rsidR="008127DC" w:rsidRPr="00615DA4" w:rsidRDefault="008127DC" w:rsidP="00615DA4">
            <w:pPr>
              <w:pStyle w:val="BodyTextIndent"/>
              <w:spacing w:after="0"/>
              <w:ind w:left="0"/>
              <w:jc w:val="both"/>
              <w:rPr>
                <w:rFonts w:ascii="Calibri" w:hAnsi="Calibri"/>
                <w:sz w:val="20"/>
                <w:szCs w:val="20"/>
              </w:rPr>
            </w:pPr>
            <w:r w:rsidRPr="00615DA4">
              <w:rPr>
                <w:rFonts w:ascii="Calibri" w:hAnsi="Calibri"/>
                <w:sz w:val="20"/>
                <w:szCs w:val="20"/>
              </w:rPr>
              <w:t>12.1</w:t>
            </w:r>
          </w:p>
        </w:tc>
        <w:tc>
          <w:tcPr>
            <w:tcW w:w="915" w:type="dxa"/>
            <w:shd w:val="clear" w:color="auto" w:fill="auto"/>
          </w:tcPr>
          <w:p w14:paraId="6D3BE475"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98</w:t>
            </w:r>
          </w:p>
        </w:tc>
        <w:tc>
          <w:tcPr>
            <w:tcW w:w="996" w:type="dxa"/>
            <w:shd w:val="clear" w:color="auto" w:fill="auto"/>
          </w:tcPr>
          <w:p w14:paraId="2DB84AA6" w14:textId="77777777" w:rsidR="008127DC" w:rsidRPr="00615DA4" w:rsidRDefault="008127DC" w:rsidP="00615DA4">
            <w:pPr>
              <w:pStyle w:val="BodyTextIndent"/>
              <w:spacing w:after="0"/>
              <w:ind w:left="0"/>
              <w:jc w:val="both"/>
              <w:rPr>
                <w:rFonts w:ascii="Calibri" w:hAnsi="Calibri"/>
                <w:sz w:val="20"/>
                <w:szCs w:val="20"/>
              </w:rPr>
            </w:pPr>
            <w:r>
              <w:rPr>
                <w:rFonts w:ascii="Calibri" w:hAnsi="Calibri"/>
                <w:sz w:val="20"/>
                <w:szCs w:val="20"/>
              </w:rPr>
              <w:t>5.5</w:t>
            </w:r>
          </w:p>
        </w:tc>
        <w:tc>
          <w:tcPr>
            <w:tcW w:w="930" w:type="dxa"/>
            <w:vMerge/>
          </w:tcPr>
          <w:p w14:paraId="12149CBF" w14:textId="77777777" w:rsidR="008127DC" w:rsidRPr="00615DA4" w:rsidRDefault="008127DC" w:rsidP="00615DA4">
            <w:pPr>
              <w:pStyle w:val="BodyTextIndent"/>
              <w:spacing w:after="0"/>
              <w:ind w:left="0"/>
              <w:jc w:val="both"/>
              <w:rPr>
                <w:rFonts w:ascii="Calibri" w:hAnsi="Calibri"/>
                <w:sz w:val="20"/>
                <w:szCs w:val="20"/>
              </w:rPr>
            </w:pPr>
          </w:p>
        </w:tc>
        <w:tc>
          <w:tcPr>
            <w:tcW w:w="910" w:type="dxa"/>
            <w:vMerge/>
          </w:tcPr>
          <w:p w14:paraId="3BCE0814" w14:textId="77777777" w:rsidR="008127DC" w:rsidRPr="00615DA4" w:rsidRDefault="008127DC" w:rsidP="00615DA4">
            <w:pPr>
              <w:pStyle w:val="BodyTextIndent"/>
              <w:spacing w:after="0"/>
              <w:ind w:left="0"/>
              <w:jc w:val="both"/>
              <w:rPr>
                <w:rFonts w:ascii="Calibri" w:hAnsi="Calibri"/>
                <w:sz w:val="20"/>
                <w:szCs w:val="20"/>
              </w:rPr>
            </w:pPr>
          </w:p>
        </w:tc>
      </w:tr>
      <w:tr w:rsidR="00456374" w:rsidRPr="00615DA4" w14:paraId="6688727E" w14:textId="77777777" w:rsidTr="008127DC">
        <w:trPr>
          <w:cantSplit/>
          <w:jc w:val="center"/>
        </w:trPr>
        <w:tc>
          <w:tcPr>
            <w:tcW w:w="1548" w:type="dxa"/>
          </w:tcPr>
          <w:p w14:paraId="5372B1F2"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$1,000-1,499</w:t>
            </w:r>
          </w:p>
        </w:tc>
        <w:tc>
          <w:tcPr>
            <w:tcW w:w="900" w:type="dxa"/>
            <w:vMerge w:val="restart"/>
          </w:tcPr>
          <w:p w14:paraId="722166DB"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487</w:t>
            </w:r>
          </w:p>
        </w:tc>
        <w:tc>
          <w:tcPr>
            <w:tcW w:w="900" w:type="dxa"/>
            <w:vMerge w:val="restart"/>
          </w:tcPr>
          <w:p w14:paraId="0673C684"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23.9</w:t>
            </w:r>
          </w:p>
        </w:tc>
        <w:tc>
          <w:tcPr>
            <w:tcW w:w="900" w:type="dxa"/>
          </w:tcPr>
          <w:p w14:paraId="2293593F"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543</w:t>
            </w:r>
          </w:p>
        </w:tc>
        <w:tc>
          <w:tcPr>
            <w:tcW w:w="900" w:type="dxa"/>
          </w:tcPr>
          <w:p w14:paraId="09D38E92"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26.9</w:t>
            </w:r>
          </w:p>
        </w:tc>
        <w:tc>
          <w:tcPr>
            <w:tcW w:w="915" w:type="dxa"/>
            <w:shd w:val="clear" w:color="auto" w:fill="auto"/>
          </w:tcPr>
          <w:p w14:paraId="141131DC" w14:textId="77777777" w:rsidR="00456374" w:rsidRPr="00615DA4" w:rsidRDefault="00EF0B39" w:rsidP="00615DA4">
            <w:pPr>
              <w:pStyle w:val="BodyTextIndent"/>
              <w:spacing w:after="0"/>
              <w:ind w:left="0"/>
              <w:jc w:val="both"/>
              <w:rPr>
                <w:rFonts w:ascii="Calibri" w:hAnsi="Calibri"/>
                <w:sz w:val="20"/>
                <w:szCs w:val="20"/>
              </w:rPr>
            </w:pPr>
            <w:r>
              <w:rPr>
                <w:rFonts w:ascii="Calibri" w:hAnsi="Calibri"/>
                <w:sz w:val="20"/>
                <w:szCs w:val="20"/>
              </w:rPr>
              <w:t>329</w:t>
            </w:r>
          </w:p>
        </w:tc>
        <w:tc>
          <w:tcPr>
            <w:tcW w:w="996" w:type="dxa"/>
            <w:shd w:val="clear" w:color="auto" w:fill="auto"/>
          </w:tcPr>
          <w:p w14:paraId="72B28EF3" w14:textId="77777777" w:rsidR="00456374" w:rsidRPr="00615DA4" w:rsidRDefault="008127DC" w:rsidP="00615DA4">
            <w:pPr>
              <w:pStyle w:val="BodyTextIndent"/>
              <w:spacing w:after="0"/>
              <w:ind w:left="0"/>
              <w:jc w:val="both"/>
              <w:rPr>
                <w:rFonts w:ascii="Calibri" w:hAnsi="Calibri"/>
                <w:sz w:val="20"/>
                <w:szCs w:val="20"/>
              </w:rPr>
            </w:pPr>
            <w:r>
              <w:rPr>
                <w:rFonts w:ascii="Calibri" w:hAnsi="Calibri"/>
                <w:sz w:val="20"/>
                <w:szCs w:val="20"/>
              </w:rPr>
              <w:t>18.6</w:t>
            </w:r>
          </w:p>
        </w:tc>
        <w:tc>
          <w:tcPr>
            <w:tcW w:w="930" w:type="dxa"/>
          </w:tcPr>
          <w:p w14:paraId="4722EBCD" w14:textId="6B173374"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251</w:t>
            </w:r>
          </w:p>
        </w:tc>
        <w:tc>
          <w:tcPr>
            <w:tcW w:w="910" w:type="dxa"/>
          </w:tcPr>
          <w:p w14:paraId="21BCE420" w14:textId="10C353C8"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15.0</w:t>
            </w:r>
          </w:p>
        </w:tc>
      </w:tr>
      <w:tr w:rsidR="00456374" w:rsidRPr="00615DA4" w14:paraId="31FD5F8B" w14:textId="77777777" w:rsidTr="008127DC">
        <w:trPr>
          <w:cantSplit/>
          <w:jc w:val="center"/>
        </w:trPr>
        <w:tc>
          <w:tcPr>
            <w:tcW w:w="1548" w:type="dxa"/>
          </w:tcPr>
          <w:p w14:paraId="1B9D47EF"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$1,500 +</w:t>
            </w:r>
          </w:p>
        </w:tc>
        <w:tc>
          <w:tcPr>
            <w:tcW w:w="900" w:type="dxa"/>
            <w:vMerge/>
          </w:tcPr>
          <w:p w14:paraId="7BDD4E79" w14:textId="77777777" w:rsidR="00456374" w:rsidRPr="00615DA4" w:rsidRDefault="00456374" w:rsidP="00615DA4">
            <w:pPr>
              <w:pStyle w:val="BodyTextIndent"/>
              <w:spacing w:after="0"/>
              <w:ind w:left="0"/>
              <w:jc w:val="both"/>
              <w:rPr>
                <w:rFonts w:ascii="Calibri" w:hAnsi="Calibri"/>
                <w:sz w:val="20"/>
                <w:szCs w:val="20"/>
              </w:rPr>
            </w:pPr>
          </w:p>
        </w:tc>
        <w:tc>
          <w:tcPr>
            <w:tcW w:w="900" w:type="dxa"/>
            <w:vMerge/>
          </w:tcPr>
          <w:p w14:paraId="74187010" w14:textId="77777777" w:rsidR="00456374" w:rsidRPr="00615DA4" w:rsidRDefault="00456374" w:rsidP="00615DA4">
            <w:pPr>
              <w:pStyle w:val="BodyTextIndent"/>
              <w:spacing w:after="0"/>
              <w:ind w:left="0"/>
              <w:jc w:val="both"/>
              <w:rPr>
                <w:rFonts w:ascii="Calibri" w:hAnsi="Calibri"/>
                <w:sz w:val="20"/>
                <w:szCs w:val="20"/>
              </w:rPr>
            </w:pPr>
          </w:p>
        </w:tc>
        <w:tc>
          <w:tcPr>
            <w:tcW w:w="900" w:type="dxa"/>
          </w:tcPr>
          <w:p w14:paraId="68901C9B"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667</w:t>
            </w:r>
          </w:p>
        </w:tc>
        <w:tc>
          <w:tcPr>
            <w:tcW w:w="900" w:type="dxa"/>
          </w:tcPr>
          <w:p w14:paraId="7BA65DD1"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33.1</w:t>
            </w:r>
          </w:p>
        </w:tc>
        <w:tc>
          <w:tcPr>
            <w:tcW w:w="915" w:type="dxa"/>
            <w:shd w:val="clear" w:color="auto" w:fill="auto"/>
          </w:tcPr>
          <w:p w14:paraId="386A1044" w14:textId="77777777" w:rsidR="00456374" w:rsidRPr="00615DA4" w:rsidRDefault="00EF0B39" w:rsidP="00615DA4">
            <w:pPr>
              <w:pStyle w:val="BodyTextIndent"/>
              <w:spacing w:after="0"/>
              <w:ind w:left="0"/>
              <w:jc w:val="both"/>
              <w:rPr>
                <w:rFonts w:ascii="Calibri" w:hAnsi="Calibri"/>
                <w:sz w:val="20"/>
                <w:szCs w:val="20"/>
              </w:rPr>
            </w:pPr>
            <w:r>
              <w:rPr>
                <w:rFonts w:ascii="Calibri" w:hAnsi="Calibri"/>
                <w:sz w:val="20"/>
                <w:szCs w:val="20"/>
              </w:rPr>
              <w:t>788</w:t>
            </w:r>
          </w:p>
        </w:tc>
        <w:tc>
          <w:tcPr>
            <w:tcW w:w="996" w:type="dxa"/>
            <w:shd w:val="clear" w:color="auto" w:fill="auto"/>
          </w:tcPr>
          <w:p w14:paraId="57FEC590" w14:textId="77777777" w:rsidR="00456374" w:rsidRPr="00615DA4" w:rsidRDefault="008127DC" w:rsidP="00615DA4">
            <w:pPr>
              <w:pStyle w:val="BodyTextIndent"/>
              <w:spacing w:after="0"/>
              <w:ind w:left="0"/>
              <w:jc w:val="both"/>
              <w:rPr>
                <w:rFonts w:ascii="Calibri" w:hAnsi="Calibri"/>
                <w:sz w:val="20"/>
                <w:szCs w:val="20"/>
              </w:rPr>
            </w:pPr>
            <w:r>
              <w:rPr>
                <w:rFonts w:ascii="Calibri" w:hAnsi="Calibri"/>
                <w:sz w:val="20"/>
                <w:szCs w:val="20"/>
              </w:rPr>
              <w:t>44.6</w:t>
            </w:r>
          </w:p>
        </w:tc>
        <w:tc>
          <w:tcPr>
            <w:tcW w:w="930" w:type="dxa"/>
          </w:tcPr>
          <w:p w14:paraId="63EDFC61" w14:textId="4F975567"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850</w:t>
            </w:r>
          </w:p>
        </w:tc>
        <w:tc>
          <w:tcPr>
            <w:tcW w:w="910" w:type="dxa"/>
          </w:tcPr>
          <w:p w14:paraId="3BF7F1A0" w14:textId="4879FAA8"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50.8</w:t>
            </w:r>
          </w:p>
        </w:tc>
      </w:tr>
      <w:tr w:rsidR="00456374" w:rsidRPr="00615DA4" w14:paraId="1051F47A" w14:textId="77777777" w:rsidTr="008127DC">
        <w:trPr>
          <w:jc w:val="center"/>
        </w:trPr>
        <w:tc>
          <w:tcPr>
            <w:tcW w:w="1548" w:type="dxa"/>
          </w:tcPr>
          <w:p w14:paraId="604717DC"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No Cash Rent</w:t>
            </w:r>
          </w:p>
        </w:tc>
        <w:tc>
          <w:tcPr>
            <w:tcW w:w="900" w:type="dxa"/>
          </w:tcPr>
          <w:p w14:paraId="226B2DE3"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190</w:t>
            </w:r>
          </w:p>
        </w:tc>
        <w:tc>
          <w:tcPr>
            <w:tcW w:w="900" w:type="dxa"/>
          </w:tcPr>
          <w:p w14:paraId="04CC2493"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9.3</w:t>
            </w:r>
          </w:p>
        </w:tc>
        <w:tc>
          <w:tcPr>
            <w:tcW w:w="900" w:type="dxa"/>
          </w:tcPr>
          <w:p w14:paraId="26A3DD57"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106</w:t>
            </w:r>
          </w:p>
        </w:tc>
        <w:tc>
          <w:tcPr>
            <w:tcW w:w="900" w:type="dxa"/>
          </w:tcPr>
          <w:p w14:paraId="776F2672"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5.3</w:t>
            </w:r>
          </w:p>
        </w:tc>
        <w:tc>
          <w:tcPr>
            <w:tcW w:w="915" w:type="dxa"/>
            <w:shd w:val="clear" w:color="auto" w:fill="auto"/>
          </w:tcPr>
          <w:p w14:paraId="7E22ED6E" w14:textId="77777777" w:rsidR="00456374" w:rsidRPr="00615DA4" w:rsidRDefault="00EF0B39" w:rsidP="00615DA4">
            <w:pPr>
              <w:pStyle w:val="BodyTextIndent"/>
              <w:spacing w:after="0"/>
              <w:ind w:left="0"/>
              <w:jc w:val="both"/>
              <w:rPr>
                <w:rFonts w:ascii="Calibri" w:hAnsi="Calibri"/>
                <w:sz w:val="20"/>
                <w:szCs w:val="20"/>
              </w:rPr>
            </w:pPr>
            <w:r>
              <w:rPr>
                <w:rFonts w:ascii="Calibri" w:hAnsi="Calibri"/>
                <w:sz w:val="20"/>
                <w:szCs w:val="20"/>
              </w:rPr>
              <w:t>162</w:t>
            </w:r>
          </w:p>
        </w:tc>
        <w:tc>
          <w:tcPr>
            <w:tcW w:w="996" w:type="dxa"/>
            <w:shd w:val="clear" w:color="auto" w:fill="auto"/>
          </w:tcPr>
          <w:p w14:paraId="1CFB8548" w14:textId="77777777" w:rsidR="00456374" w:rsidRPr="00615DA4" w:rsidRDefault="008127DC" w:rsidP="00615DA4">
            <w:pPr>
              <w:pStyle w:val="BodyTextIndent"/>
              <w:spacing w:after="0"/>
              <w:ind w:left="0"/>
              <w:jc w:val="both"/>
              <w:rPr>
                <w:rFonts w:ascii="Calibri" w:hAnsi="Calibri"/>
                <w:sz w:val="20"/>
                <w:szCs w:val="20"/>
              </w:rPr>
            </w:pPr>
            <w:r>
              <w:rPr>
                <w:rFonts w:ascii="Calibri" w:hAnsi="Calibri"/>
                <w:sz w:val="20"/>
                <w:szCs w:val="20"/>
              </w:rPr>
              <w:t>9.2</w:t>
            </w:r>
          </w:p>
        </w:tc>
        <w:tc>
          <w:tcPr>
            <w:tcW w:w="930" w:type="dxa"/>
          </w:tcPr>
          <w:p w14:paraId="7834D96B" w14:textId="01AEC73F"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145</w:t>
            </w:r>
          </w:p>
        </w:tc>
        <w:tc>
          <w:tcPr>
            <w:tcW w:w="910" w:type="dxa"/>
          </w:tcPr>
          <w:p w14:paraId="1E85DBE7" w14:textId="39E8061A"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8.7</w:t>
            </w:r>
          </w:p>
        </w:tc>
      </w:tr>
      <w:tr w:rsidR="00456374" w:rsidRPr="00615DA4" w14:paraId="3EF160E9" w14:textId="77777777" w:rsidTr="008127DC">
        <w:trPr>
          <w:cantSplit/>
          <w:jc w:val="center"/>
        </w:trPr>
        <w:tc>
          <w:tcPr>
            <w:tcW w:w="1548" w:type="dxa"/>
          </w:tcPr>
          <w:p w14:paraId="331CB1B4"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Total*</w:t>
            </w:r>
          </w:p>
        </w:tc>
        <w:tc>
          <w:tcPr>
            <w:tcW w:w="900" w:type="dxa"/>
          </w:tcPr>
          <w:p w14:paraId="6EDA27DF"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2,038</w:t>
            </w:r>
          </w:p>
        </w:tc>
        <w:tc>
          <w:tcPr>
            <w:tcW w:w="900" w:type="dxa"/>
          </w:tcPr>
          <w:p w14:paraId="42387BEA"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100.0</w:t>
            </w:r>
          </w:p>
        </w:tc>
        <w:tc>
          <w:tcPr>
            <w:tcW w:w="900" w:type="dxa"/>
          </w:tcPr>
          <w:p w14:paraId="0BF69B0D"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2,015</w:t>
            </w:r>
          </w:p>
        </w:tc>
        <w:tc>
          <w:tcPr>
            <w:tcW w:w="900" w:type="dxa"/>
          </w:tcPr>
          <w:p w14:paraId="0EA6E970"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100.0</w:t>
            </w:r>
          </w:p>
        </w:tc>
        <w:tc>
          <w:tcPr>
            <w:tcW w:w="915" w:type="dxa"/>
            <w:shd w:val="clear" w:color="auto" w:fill="auto"/>
          </w:tcPr>
          <w:p w14:paraId="34562B81" w14:textId="77777777" w:rsidR="00456374" w:rsidRPr="00615DA4" w:rsidRDefault="00EF0B39" w:rsidP="00615DA4">
            <w:pPr>
              <w:pStyle w:val="BodyTextIndent"/>
              <w:spacing w:after="0"/>
              <w:ind w:left="0"/>
              <w:jc w:val="both"/>
              <w:rPr>
                <w:rFonts w:ascii="Calibri" w:hAnsi="Calibri"/>
                <w:sz w:val="20"/>
                <w:szCs w:val="20"/>
              </w:rPr>
            </w:pPr>
            <w:r>
              <w:rPr>
                <w:rFonts w:ascii="Calibri" w:hAnsi="Calibri"/>
                <w:sz w:val="20"/>
                <w:szCs w:val="20"/>
              </w:rPr>
              <w:t>1,766</w:t>
            </w:r>
          </w:p>
        </w:tc>
        <w:tc>
          <w:tcPr>
            <w:tcW w:w="996" w:type="dxa"/>
            <w:shd w:val="clear" w:color="auto" w:fill="auto"/>
          </w:tcPr>
          <w:p w14:paraId="68CFC815" w14:textId="77777777" w:rsidR="00456374" w:rsidRPr="00615DA4" w:rsidRDefault="008127DC" w:rsidP="00615DA4">
            <w:pPr>
              <w:pStyle w:val="BodyTextIndent"/>
              <w:spacing w:after="0"/>
              <w:ind w:left="0"/>
              <w:jc w:val="both"/>
              <w:rPr>
                <w:rFonts w:ascii="Calibri" w:hAnsi="Calibri"/>
                <w:sz w:val="20"/>
                <w:szCs w:val="20"/>
              </w:rPr>
            </w:pPr>
            <w:r>
              <w:rPr>
                <w:rFonts w:ascii="Calibri" w:hAnsi="Calibri"/>
                <w:sz w:val="20"/>
                <w:szCs w:val="20"/>
              </w:rPr>
              <w:t>100.0</w:t>
            </w:r>
          </w:p>
        </w:tc>
        <w:tc>
          <w:tcPr>
            <w:tcW w:w="930" w:type="dxa"/>
          </w:tcPr>
          <w:p w14:paraId="063BADC4" w14:textId="39A5247D"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1,673</w:t>
            </w:r>
          </w:p>
        </w:tc>
        <w:tc>
          <w:tcPr>
            <w:tcW w:w="910" w:type="dxa"/>
          </w:tcPr>
          <w:p w14:paraId="3A85ED67" w14:textId="18730977"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100.0</w:t>
            </w:r>
          </w:p>
        </w:tc>
      </w:tr>
      <w:tr w:rsidR="00456374" w:rsidRPr="00615DA4" w14:paraId="6E129DC7" w14:textId="77777777" w:rsidTr="008127DC">
        <w:trPr>
          <w:cantSplit/>
          <w:jc w:val="center"/>
        </w:trPr>
        <w:tc>
          <w:tcPr>
            <w:tcW w:w="1548" w:type="dxa"/>
          </w:tcPr>
          <w:p w14:paraId="4D1F91FA"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Median Rent</w:t>
            </w:r>
          </w:p>
        </w:tc>
        <w:tc>
          <w:tcPr>
            <w:tcW w:w="1800" w:type="dxa"/>
            <w:gridSpan w:val="2"/>
          </w:tcPr>
          <w:p w14:paraId="4F2FFAA9"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$798</w:t>
            </w:r>
          </w:p>
        </w:tc>
        <w:tc>
          <w:tcPr>
            <w:tcW w:w="1800" w:type="dxa"/>
            <w:gridSpan w:val="2"/>
          </w:tcPr>
          <w:p w14:paraId="7EB0133C" w14:textId="77777777" w:rsidR="00456374" w:rsidRPr="00615DA4" w:rsidRDefault="00456374" w:rsidP="00615DA4">
            <w:pPr>
              <w:pStyle w:val="BodyTextIndent"/>
              <w:spacing w:after="0"/>
              <w:ind w:left="0"/>
              <w:jc w:val="both"/>
              <w:rPr>
                <w:rFonts w:ascii="Calibri" w:hAnsi="Calibri"/>
                <w:sz w:val="20"/>
                <w:szCs w:val="20"/>
              </w:rPr>
            </w:pPr>
            <w:r w:rsidRPr="00615DA4">
              <w:rPr>
                <w:rFonts w:ascii="Calibri" w:hAnsi="Calibri"/>
                <w:sz w:val="20"/>
                <w:szCs w:val="20"/>
              </w:rPr>
              <w:t>$1,289</w:t>
            </w:r>
          </w:p>
        </w:tc>
        <w:tc>
          <w:tcPr>
            <w:tcW w:w="1911" w:type="dxa"/>
            <w:gridSpan w:val="2"/>
            <w:shd w:val="clear" w:color="auto" w:fill="auto"/>
          </w:tcPr>
          <w:p w14:paraId="43DEEFF0" w14:textId="77777777" w:rsidR="00456374" w:rsidRPr="00615DA4" w:rsidRDefault="00EF0B39" w:rsidP="00615DA4">
            <w:pPr>
              <w:pStyle w:val="BodyTextIndent"/>
              <w:spacing w:after="0"/>
              <w:ind w:left="0"/>
              <w:jc w:val="both"/>
              <w:rPr>
                <w:rFonts w:ascii="Calibri" w:hAnsi="Calibri"/>
                <w:sz w:val="20"/>
                <w:szCs w:val="20"/>
              </w:rPr>
            </w:pPr>
            <w:r>
              <w:rPr>
                <w:rFonts w:ascii="Calibri" w:hAnsi="Calibri"/>
                <w:sz w:val="20"/>
                <w:szCs w:val="20"/>
              </w:rPr>
              <w:t>$1,484</w:t>
            </w:r>
          </w:p>
        </w:tc>
        <w:tc>
          <w:tcPr>
            <w:tcW w:w="1840" w:type="dxa"/>
            <w:gridSpan w:val="2"/>
          </w:tcPr>
          <w:p w14:paraId="5AA7AFDD" w14:textId="281D77F2" w:rsidR="00456374" w:rsidRPr="00615DA4" w:rsidRDefault="006A2DA0" w:rsidP="00615DA4">
            <w:pPr>
              <w:pStyle w:val="BodyTextIndent"/>
              <w:spacing w:after="0"/>
              <w:ind w:left="0"/>
              <w:jc w:val="both"/>
              <w:rPr>
                <w:rFonts w:ascii="Calibri" w:hAnsi="Calibri"/>
                <w:sz w:val="20"/>
                <w:szCs w:val="20"/>
              </w:rPr>
            </w:pPr>
            <w:r>
              <w:rPr>
                <w:rFonts w:ascii="Calibri" w:hAnsi="Calibri"/>
                <w:sz w:val="20"/>
                <w:szCs w:val="20"/>
              </w:rPr>
              <w:t>$1,604</w:t>
            </w:r>
          </w:p>
        </w:tc>
      </w:tr>
    </w:tbl>
    <w:p w14:paraId="5B3BDC18" w14:textId="31DB2663" w:rsidR="008772FC" w:rsidRDefault="008772FC" w:rsidP="00EF0B39">
      <w:pPr>
        <w:pStyle w:val="BodyTextIndent"/>
        <w:spacing w:after="0"/>
        <w:jc w:val="both"/>
        <w:rPr>
          <w:rFonts w:ascii="Calibri" w:hAnsi="Calibri"/>
          <w:sz w:val="20"/>
          <w:szCs w:val="20"/>
        </w:rPr>
      </w:pPr>
      <w:r w:rsidRPr="00615DA4">
        <w:rPr>
          <w:rFonts w:ascii="Calibri" w:hAnsi="Calibri"/>
          <w:sz w:val="20"/>
          <w:szCs w:val="20"/>
        </w:rPr>
        <w:t>Sources: U.S. Census Bureau, Census 1990 and 2000 Summary File 3 and 200</w:t>
      </w:r>
      <w:r w:rsidR="00EF0B39">
        <w:rPr>
          <w:rFonts w:ascii="Calibri" w:hAnsi="Calibri"/>
          <w:sz w:val="20"/>
          <w:szCs w:val="20"/>
        </w:rPr>
        <w:t>6</w:t>
      </w:r>
      <w:r w:rsidRPr="00615DA4">
        <w:rPr>
          <w:rFonts w:ascii="Calibri" w:hAnsi="Calibri"/>
          <w:sz w:val="20"/>
          <w:szCs w:val="20"/>
        </w:rPr>
        <w:t>-201</w:t>
      </w:r>
      <w:r w:rsidR="00EF0B39">
        <w:rPr>
          <w:rFonts w:ascii="Calibri" w:hAnsi="Calibri"/>
          <w:sz w:val="20"/>
          <w:szCs w:val="20"/>
        </w:rPr>
        <w:t>0 and 201</w:t>
      </w:r>
      <w:r w:rsidR="002A6B66">
        <w:rPr>
          <w:rFonts w:ascii="Calibri" w:hAnsi="Calibri"/>
          <w:sz w:val="20"/>
          <w:szCs w:val="20"/>
        </w:rPr>
        <w:t>6</w:t>
      </w:r>
      <w:r w:rsidR="00EF0B39">
        <w:rPr>
          <w:rFonts w:ascii="Calibri" w:hAnsi="Calibri"/>
          <w:sz w:val="20"/>
          <w:szCs w:val="20"/>
        </w:rPr>
        <w:t>-20</w:t>
      </w:r>
      <w:r w:rsidR="002A6B66">
        <w:rPr>
          <w:rFonts w:ascii="Calibri" w:hAnsi="Calibri"/>
          <w:sz w:val="20"/>
          <w:szCs w:val="20"/>
        </w:rPr>
        <w:t>20</w:t>
      </w:r>
      <w:r w:rsidRPr="00615DA4">
        <w:rPr>
          <w:rFonts w:ascii="Calibri" w:hAnsi="Calibri"/>
          <w:sz w:val="20"/>
          <w:szCs w:val="20"/>
        </w:rPr>
        <w:t xml:space="preserve"> American Community Survey</w:t>
      </w:r>
      <w:r w:rsidR="00EF0B39">
        <w:rPr>
          <w:rFonts w:ascii="Calibri" w:hAnsi="Calibri"/>
          <w:sz w:val="20"/>
          <w:szCs w:val="20"/>
        </w:rPr>
        <w:t xml:space="preserve"> 5-Year Estimates.</w:t>
      </w:r>
      <w:r w:rsidRPr="00615DA4">
        <w:rPr>
          <w:rFonts w:ascii="Calibri" w:hAnsi="Calibri"/>
          <w:sz w:val="20"/>
          <w:szCs w:val="20"/>
        </w:rPr>
        <w:t xml:space="preserve"> </w:t>
      </w:r>
    </w:p>
    <w:p w14:paraId="4A92A022" w14:textId="77777777" w:rsidR="00920B15" w:rsidRPr="00615DA4" w:rsidRDefault="00920B15" w:rsidP="00EF0B39">
      <w:pPr>
        <w:pStyle w:val="BodyTextIndent"/>
        <w:spacing w:after="0"/>
        <w:jc w:val="both"/>
        <w:rPr>
          <w:rFonts w:ascii="Calibri" w:hAnsi="Calibri"/>
          <w:sz w:val="20"/>
          <w:szCs w:val="20"/>
        </w:rPr>
      </w:pPr>
    </w:p>
    <w:p w14:paraId="73238B6B" w14:textId="1A8DB447" w:rsidR="00FA2612" w:rsidRDefault="008772FC" w:rsidP="00FA2612">
      <w:pPr>
        <w:pStyle w:val="BodyTextIndent"/>
        <w:spacing w:after="0"/>
        <w:ind w:left="0"/>
        <w:jc w:val="both"/>
        <w:rPr>
          <w:rFonts w:ascii="Calibri" w:hAnsi="Calibri"/>
          <w:sz w:val="22"/>
          <w:szCs w:val="22"/>
        </w:rPr>
      </w:pPr>
      <w:r w:rsidRPr="00E048B6">
        <w:rPr>
          <w:rFonts w:ascii="Calibri" w:hAnsi="Calibri"/>
          <w:sz w:val="22"/>
          <w:szCs w:val="22"/>
        </w:rPr>
        <w:t xml:space="preserve">Updated information </w:t>
      </w:r>
      <w:r w:rsidR="00DB72D1" w:rsidRPr="00E048B6">
        <w:rPr>
          <w:rFonts w:ascii="Calibri" w:hAnsi="Calibri"/>
          <w:sz w:val="22"/>
          <w:szCs w:val="22"/>
        </w:rPr>
        <w:t xml:space="preserve">on </w:t>
      </w:r>
      <w:r w:rsidRPr="00E048B6">
        <w:rPr>
          <w:rFonts w:ascii="Calibri" w:hAnsi="Calibri"/>
          <w:sz w:val="22"/>
          <w:szCs w:val="22"/>
        </w:rPr>
        <w:t xml:space="preserve">rental offerings in </w:t>
      </w:r>
      <w:r w:rsidR="00DB72D1" w:rsidRPr="00E048B6">
        <w:rPr>
          <w:rFonts w:ascii="Calibri" w:hAnsi="Calibri"/>
          <w:sz w:val="22"/>
          <w:szCs w:val="22"/>
        </w:rPr>
        <w:t>November 2021</w:t>
      </w:r>
      <w:r w:rsidR="000E479F" w:rsidRPr="00E048B6">
        <w:rPr>
          <w:rFonts w:ascii="Calibri" w:hAnsi="Calibri"/>
          <w:sz w:val="22"/>
          <w:szCs w:val="22"/>
        </w:rPr>
        <w:t xml:space="preserve"> is presented in Table </w:t>
      </w:r>
      <w:r w:rsidR="00DB72D1" w:rsidRPr="00E048B6">
        <w:rPr>
          <w:rFonts w:ascii="Calibri" w:hAnsi="Calibri"/>
          <w:sz w:val="22"/>
          <w:szCs w:val="22"/>
        </w:rPr>
        <w:t>III-3</w:t>
      </w:r>
      <w:r w:rsidR="0028014C">
        <w:rPr>
          <w:rFonts w:ascii="Calibri" w:hAnsi="Calibri"/>
          <w:sz w:val="22"/>
          <w:szCs w:val="22"/>
        </w:rPr>
        <w:t>4</w:t>
      </w:r>
      <w:r w:rsidR="000E479F" w:rsidRPr="00E048B6">
        <w:rPr>
          <w:rFonts w:ascii="Calibri" w:hAnsi="Calibri"/>
          <w:sz w:val="22"/>
          <w:szCs w:val="22"/>
        </w:rPr>
        <w:t>, which</w:t>
      </w:r>
      <w:r w:rsidRPr="00E048B6">
        <w:rPr>
          <w:rFonts w:ascii="Calibri" w:hAnsi="Calibri"/>
          <w:sz w:val="22"/>
          <w:szCs w:val="22"/>
        </w:rPr>
        <w:t xml:space="preserve"> indicate</w:t>
      </w:r>
      <w:r w:rsidR="000E479F" w:rsidRPr="00E048B6">
        <w:rPr>
          <w:rFonts w:ascii="Calibri" w:hAnsi="Calibri"/>
          <w:sz w:val="22"/>
          <w:szCs w:val="22"/>
        </w:rPr>
        <w:t>s</w:t>
      </w:r>
      <w:r w:rsidRPr="00E048B6">
        <w:rPr>
          <w:rFonts w:ascii="Calibri" w:hAnsi="Calibri"/>
          <w:sz w:val="22"/>
          <w:szCs w:val="22"/>
        </w:rPr>
        <w:t xml:space="preserve"> very high rent</w:t>
      </w:r>
      <w:r w:rsidR="007267E6">
        <w:rPr>
          <w:rFonts w:ascii="Calibri" w:hAnsi="Calibri"/>
          <w:sz w:val="22"/>
          <w:szCs w:val="22"/>
        </w:rPr>
        <w:t xml:space="preserve"> level</w:t>
      </w:r>
      <w:r w:rsidRPr="00E048B6">
        <w:rPr>
          <w:rFonts w:ascii="Calibri" w:hAnsi="Calibri"/>
          <w:sz w:val="22"/>
          <w:szCs w:val="22"/>
        </w:rPr>
        <w:t xml:space="preserve">s.  The lowest advertised </w:t>
      </w:r>
      <w:r w:rsidR="00362901" w:rsidRPr="00E048B6">
        <w:rPr>
          <w:rFonts w:ascii="Calibri" w:hAnsi="Calibri"/>
          <w:sz w:val="22"/>
          <w:szCs w:val="22"/>
        </w:rPr>
        <w:t xml:space="preserve">rents included </w:t>
      </w:r>
      <w:r w:rsidR="00E048B6" w:rsidRPr="00E048B6">
        <w:rPr>
          <w:rFonts w:ascii="Calibri" w:hAnsi="Calibri"/>
          <w:sz w:val="22"/>
          <w:szCs w:val="22"/>
        </w:rPr>
        <w:t xml:space="preserve">a studio apartment, </w:t>
      </w:r>
      <w:r w:rsidR="000E479F" w:rsidRPr="00E048B6">
        <w:rPr>
          <w:rFonts w:ascii="Calibri" w:hAnsi="Calibri"/>
          <w:sz w:val="22"/>
          <w:szCs w:val="22"/>
        </w:rPr>
        <w:t xml:space="preserve">one and two-bedroom </w:t>
      </w:r>
      <w:r w:rsidR="00362901" w:rsidRPr="00E048B6">
        <w:rPr>
          <w:rFonts w:ascii="Calibri" w:hAnsi="Calibri"/>
          <w:sz w:val="22"/>
          <w:szCs w:val="22"/>
        </w:rPr>
        <w:t>units</w:t>
      </w:r>
      <w:r w:rsidR="000E479F" w:rsidRPr="00E048B6">
        <w:rPr>
          <w:rFonts w:ascii="Calibri" w:hAnsi="Calibri"/>
          <w:sz w:val="22"/>
          <w:szCs w:val="22"/>
        </w:rPr>
        <w:t xml:space="preserve"> at Rosemary Lake</w:t>
      </w:r>
      <w:r w:rsidR="00A4121C">
        <w:rPr>
          <w:rFonts w:ascii="Calibri" w:hAnsi="Calibri"/>
          <w:sz w:val="22"/>
          <w:szCs w:val="22"/>
        </w:rPr>
        <w:t xml:space="preserve"> Apartments</w:t>
      </w:r>
      <w:r w:rsidR="000E479F" w:rsidRPr="00E048B6">
        <w:rPr>
          <w:rFonts w:ascii="Calibri" w:hAnsi="Calibri"/>
          <w:sz w:val="22"/>
          <w:szCs w:val="22"/>
        </w:rPr>
        <w:t>,</w:t>
      </w:r>
      <w:r w:rsidR="00362901" w:rsidRPr="00E048B6">
        <w:rPr>
          <w:rFonts w:ascii="Calibri" w:hAnsi="Calibri"/>
          <w:sz w:val="22"/>
          <w:szCs w:val="22"/>
        </w:rPr>
        <w:t xml:space="preserve"> </w:t>
      </w:r>
      <w:r w:rsidR="00536C2C" w:rsidRPr="00E048B6">
        <w:rPr>
          <w:rFonts w:ascii="Calibri" w:hAnsi="Calibri"/>
          <w:sz w:val="22"/>
          <w:szCs w:val="22"/>
        </w:rPr>
        <w:t>an older rental development</w:t>
      </w:r>
      <w:r w:rsidR="000E479F" w:rsidRPr="00E048B6">
        <w:rPr>
          <w:rFonts w:ascii="Calibri" w:hAnsi="Calibri"/>
          <w:sz w:val="22"/>
          <w:szCs w:val="22"/>
        </w:rPr>
        <w:t xml:space="preserve">, and a two-bedroom </w:t>
      </w:r>
      <w:r w:rsidR="00E048B6" w:rsidRPr="00E048B6">
        <w:rPr>
          <w:rFonts w:ascii="Calibri" w:hAnsi="Calibri"/>
          <w:sz w:val="22"/>
          <w:szCs w:val="22"/>
        </w:rPr>
        <w:t xml:space="preserve">condo </w:t>
      </w:r>
      <w:r w:rsidR="000E479F" w:rsidRPr="00E048B6">
        <w:rPr>
          <w:rFonts w:ascii="Calibri" w:hAnsi="Calibri"/>
          <w:sz w:val="22"/>
          <w:szCs w:val="22"/>
        </w:rPr>
        <w:t>unit, all below $2,000</w:t>
      </w:r>
      <w:r w:rsidRPr="00E048B6">
        <w:rPr>
          <w:rFonts w:ascii="Calibri" w:hAnsi="Calibri"/>
          <w:sz w:val="22"/>
          <w:szCs w:val="22"/>
        </w:rPr>
        <w:t xml:space="preserve">.  More typical market rentals are </w:t>
      </w:r>
      <w:r w:rsidR="00536C2C" w:rsidRPr="00E048B6">
        <w:rPr>
          <w:rFonts w:ascii="Calibri" w:hAnsi="Calibri"/>
          <w:sz w:val="22"/>
          <w:szCs w:val="22"/>
        </w:rPr>
        <w:t xml:space="preserve">significantly </w:t>
      </w:r>
      <w:r w:rsidRPr="00E048B6">
        <w:rPr>
          <w:rFonts w:ascii="Calibri" w:hAnsi="Calibri"/>
          <w:sz w:val="22"/>
          <w:szCs w:val="22"/>
        </w:rPr>
        <w:t xml:space="preserve">higher </w:t>
      </w:r>
      <w:r w:rsidR="000E479F" w:rsidRPr="00E048B6">
        <w:rPr>
          <w:rFonts w:ascii="Calibri" w:hAnsi="Calibri"/>
          <w:sz w:val="22"/>
          <w:szCs w:val="22"/>
        </w:rPr>
        <w:t xml:space="preserve">including rents near </w:t>
      </w:r>
      <w:r w:rsidR="00E048B6" w:rsidRPr="00E048B6">
        <w:rPr>
          <w:rFonts w:ascii="Calibri" w:hAnsi="Calibri"/>
          <w:sz w:val="22"/>
          <w:szCs w:val="22"/>
        </w:rPr>
        <w:t xml:space="preserve">or above </w:t>
      </w:r>
      <w:r w:rsidR="000E479F" w:rsidRPr="00E048B6">
        <w:rPr>
          <w:rFonts w:ascii="Calibri" w:hAnsi="Calibri"/>
          <w:sz w:val="22"/>
          <w:szCs w:val="22"/>
        </w:rPr>
        <w:t>$</w:t>
      </w:r>
      <w:r w:rsidR="00E048B6" w:rsidRPr="00E048B6">
        <w:rPr>
          <w:rFonts w:ascii="Calibri" w:hAnsi="Calibri"/>
          <w:sz w:val="22"/>
          <w:szCs w:val="22"/>
        </w:rPr>
        <w:t>4</w:t>
      </w:r>
      <w:r w:rsidR="000E479F" w:rsidRPr="00E048B6">
        <w:rPr>
          <w:rFonts w:ascii="Calibri" w:hAnsi="Calibri"/>
          <w:sz w:val="22"/>
          <w:szCs w:val="22"/>
        </w:rPr>
        <w:t xml:space="preserve">,000 for two and three-bedroom units in newer multi-family developments that were permitted under </w:t>
      </w:r>
      <w:r w:rsidR="000E479F" w:rsidRPr="00E048B6">
        <w:rPr>
          <w:rFonts w:ascii="Calibri" w:hAnsi="Calibri"/>
          <w:sz w:val="22"/>
          <w:szCs w:val="22"/>
        </w:rPr>
        <w:lastRenderedPageBreak/>
        <w:t>Chapter 40B and thus also include some affordable units</w:t>
      </w:r>
      <w:r w:rsidR="00A4121C">
        <w:rPr>
          <w:rFonts w:ascii="Calibri" w:hAnsi="Calibri"/>
          <w:sz w:val="22"/>
          <w:szCs w:val="22"/>
        </w:rPr>
        <w:t xml:space="preserve"> at 25% of total units</w:t>
      </w:r>
      <w:r w:rsidR="000E479F" w:rsidRPr="00E048B6">
        <w:rPr>
          <w:rFonts w:ascii="Calibri" w:hAnsi="Calibri"/>
          <w:sz w:val="22"/>
          <w:szCs w:val="22"/>
        </w:rPr>
        <w:t>.</w:t>
      </w:r>
      <w:r w:rsidR="00FA2612" w:rsidRPr="00FA2612">
        <w:rPr>
          <w:rFonts w:ascii="Calibri" w:hAnsi="Calibri"/>
          <w:sz w:val="22"/>
          <w:szCs w:val="22"/>
        </w:rPr>
        <w:t xml:space="preserve"> </w:t>
      </w:r>
      <w:r w:rsidR="00FA2612">
        <w:rPr>
          <w:rFonts w:ascii="Calibri" w:hAnsi="Calibri"/>
          <w:sz w:val="22"/>
          <w:szCs w:val="22"/>
        </w:rPr>
        <w:t>A typical rent for a two-bedroom apartment is at least $1,900 in older dwellings and over $3,200 in newer multi-family development.</w:t>
      </w:r>
    </w:p>
    <w:p w14:paraId="227767DA" w14:textId="35A87498" w:rsidR="008772FC" w:rsidRPr="00E048B6" w:rsidRDefault="008772FC" w:rsidP="00615DA4">
      <w:pPr>
        <w:pStyle w:val="BodyTextIndent"/>
        <w:spacing w:after="0"/>
        <w:ind w:left="0"/>
        <w:jc w:val="both"/>
        <w:rPr>
          <w:rFonts w:ascii="Calibri" w:hAnsi="Calibri"/>
          <w:sz w:val="22"/>
          <w:szCs w:val="22"/>
        </w:rPr>
      </w:pPr>
    </w:p>
    <w:p w14:paraId="4829A898" w14:textId="6A2444BD" w:rsidR="002F1709" w:rsidRPr="002F1709" w:rsidRDefault="002F1709" w:rsidP="002F1709">
      <w:pPr>
        <w:pStyle w:val="BodyTextIndent"/>
        <w:spacing w:after="0"/>
        <w:ind w:left="0"/>
        <w:jc w:val="center"/>
        <w:rPr>
          <w:rFonts w:ascii="Calibri" w:hAnsi="Calibri"/>
          <w:b/>
          <w:sz w:val="22"/>
          <w:szCs w:val="22"/>
        </w:rPr>
      </w:pPr>
      <w:r>
        <w:rPr>
          <w:rFonts w:ascii="Calibri" w:hAnsi="Calibri"/>
          <w:b/>
          <w:sz w:val="22"/>
          <w:szCs w:val="22"/>
        </w:rPr>
        <w:t xml:space="preserve">Table </w:t>
      </w:r>
      <w:r w:rsidR="00920B15">
        <w:rPr>
          <w:rFonts w:ascii="Calibri" w:hAnsi="Calibri"/>
          <w:b/>
          <w:sz w:val="22"/>
          <w:szCs w:val="22"/>
        </w:rPr>
        <w:t>III-3</w:t>
      </w:r>
      <w:r w:rsidR="0028014C">
        <w:rPr>
          <w:rFonts w:ascii="Calibri" w:hAnsi="Calibri"/>
          <w:b/>
          <w:sz w:val="22"/>
          <w:szCs w:val="22"/>
        </w:rPr>
        <w:t>4</w:t>
      </w:r>
      <w:r>
        <w:rPr>
          <w:rFonts w:ascii="Calibri" w:hAnsi="Calibri"/>
          <w:b/>
          <w:sz w:val="22"/>
          <w:szCs w:val="22"/>
        </w:rPr>
        <w:t>:  Market Rental Listings</w:t>
      </w:r>
      <w:r w:rsidR="00F040F6">
        <w:rPr>
          <w:rFonts w:ascii="Calibri" w:hAnsi="Calibri"/>
          <w:b/>
          <w:sz w:val="22"/>
          <w:szCs w:val="22"/>
        </w:rPr>
        <w:t xml:space="preserve">, </w:t>
      </w:r>
      <w:r w:rsidR="002359A0">
        <w:rPr>
          <w:rFonts w:ascii="Calibri" w:hAnsi="Calibri"/>
          <w:b/>
          <w:sz w:val="22"/>
          <w:szCs w:val="22"/>
        </w:rPr>
        <w:t>November 2021</w:t>
      </w:r>
    </w:p>
    <w:tbl>
      <w:tblPr>
        <w:tblStyle w:val="TableGrid"/>
        <w:tblW w:w="0" w:type="auto"/>
        <w:tblLook w:val="04A0" w:firstRow="1" w:lastRow="0" w:firstColumn="1" w:lastColumn="0" w:noHBand="0" w:noVBand="1"/>
      </w:tblPr>
      <w:tblGrid>
        <w:gridCol w:w="1562"/>
        <w:gridCol w:w="1570"/>
        <w:gridCol w:w="1546"/>
        <w:gridCol w:w="1553"/>
        <w:gridCol w:w="1552"/>
        <w:gridCol w:w="1567"/>
      </w:tblGrid>
      <w:tr w:rsidR="00B30B2C" w:rsidRPr="002F1709" w14:paraId="0F3AFE15" w14:textId="77777777" w:rsidTr="00B30B2C">
        <w:tc>
          <w:tcPr>
            <w:tcW w:w="1562" w:type="dxa"/>
          </w:tcPr>
          <w:p w14:paraId="0135A58A" w14:textId="77777777" w:rsidR="002F1709" w:rsidRPr="002F1709" w:rsidRDefault="002F1709" w:rsidP="0057616C">
            <w:pPr>
              <w:pStyle w:val="BodyTextIndent"/>
              <w:spacing w:after="0"/>
              <w:ind w:left="0"/>
              <w:jc w:val="center"/>
              <w:rPr>
                <w:rFonts w:ascii="Calibri" w:hAnsi="Calibri"/>
                <w:b/>
              </w:rPr>
            </w:pPr>
            <w:r w:rsidRPr="002F1709">
              <w:rPr>
                <w:rFonts w:ascii="Calibri" w:hAnsi="Calibri"/>
                <w:b/>
                <w:sz w:val="22"/>
                <w:szCs w:val="22"/>
              </w:rPr>
              <w:t>Lo</w:t>
            </w:r>
            <w:r>
              <w:rPr>
                <w:rFonts w:ascii="Calibri" w:hAnsi="Calibri"/>
                <w:b/>
                <w:sz w:val="22"/>
                <w:szCs w:val="22"/>
              </w:rPr>
              <w:t>cation</w:t>
            </w:r>
          </w:p>
        </w:tc>
        <w:tc>
          <w:tcPr>
            <w:tcW w:w="1570" w:type="dxa"/>
          </w:tcPr>
          <w:p w14:paraId="021C5C34" w14:textId="77777777" w:rsidR="002F1709" w:rsidRPr="002F1709" w:rsidRDefault="002F1709" w:rsidP="0057616C">
            <w:pPr>
              <w:pStyle w:val="BodyTextIndent"/>
              <w:spacing w:after="0"/>
              <w:ind w:left="0"/>
              <w:jc w:val="center"/>
              <w:rPr>
                <w:rFonts w:ascii="Calibri" w:hAnsi="Calibri"/>
                <w:b/>
              </w:rPr>
            </w:pPr>
            <w:r>
              <w:rPr>
                <w:rFonts w:ascii="Calibri" w:hAnsi="Calibri"/>
                <w:b/>
                <w:sz w:val="22"/>
                <w:szCs w:val="22"/>
              </w:rPr>
              <w:t># Bedrooms</w:t>
            </w:r>
          </w:p>
        </w:tc>
        <w:tc>
          <w:tcPr>
            <w:tcW w:w="1546" w:type="dxa"/>
          </w:tcPr>
          <w:p w14:paraId="1509EBCB" w14:textId="77777777" w:rsidR="002F1709" w:rsidRPr="002F1709" w:rsidRDefault="002F1709" w:rsidP="0057616C">
            <w:pPr>
              <w:pStyle w:val="BodyTextIndent"/>
              <w:spacing w:after="0"/>
              <w:ind w:left="0"/>
              <w:jc w:val="center"/>
              <w:rPr>
                <w:rFonts w:ascii="Calibri" w:hAnsi="Calibri"/>
                <w:b/>
              </w:rPr>
            </w:pPr>
            <w:r>
              <w:rPr>
                <w:rFonts w:ascii="Calibri" w:hAnsi="Calibri"/>
                <w:b/>
                <w:sz w:val="22"/>
                <w:szCs w:val="22"/>
              </w:rPr>
              <w:t># Baths</w:t>
            </w:r>
          </w:p>
        </w:tc>
        <w:tc>
          <w:tcPr>
            <w:tcW w:w="1553" w:type="dxa"/>
          </w:tcPr>
          <w:p w14:paraId="38A792DD" w14:textId="77777777" w:rsidR="002F1709" w:rsidRPr="002F1709" w:rsidRDefault="002F1709" w:rsidP="0057616C">
            <w:pPr>
              <w:pStyle w:val="BodyTextIndent"/>
              <w:spacing w:after="0"/>
              <w:ind w:left="0"/>
              <w:jc w:val="center"/>
              <w:rPr>
                <w:rFonts w:ascii="Calibri" w:hAnsi="Calibri"/>
                <w:b/>
              </w:rPr>
            </w:pPr>
            <w:r>
              <w:rPr>
                <w:rFonts w:ascii="Calibri" w:hAnsi="Calibri"/>
                <w:b/>
                <w:sz w:val="22"/>
                <w:szCs w:val="22"/>
              </w:rPr>
              <w:t>Square Feet</w:t>
            </w:r>
          </w:p>
        </w:tc>
        <w:tc>
          <w:tcPr>
            <w:tcW w:w="1552" w:type="dxa"/>
          </w:tcPr>
          <w:p w14:paraId="0FB9F7C0" w14:textId="77777777" w:rsidR="002F1709" w:rsidRPr="002F1709" w:rsidRDefault="002F1709" w:rsidP="0057616C">
            <w:pPr>
              <w:pStyle w:val="BodyTextIndent"/>
              <w:spacing w:after="0"/>
              <w:ind w:left="0"/>
              <w:jc w:val="center"/>
              <w:rPr>
                <w:rFonts w:ascii="Calibri" w:hAnsi="Calibri"/>
                <w:b/>
              </w:rPr>
            </w:pPr>
            <w:r>
              <w:rPr>
                <w:rFonts w:ascii="Calibri" w:hAnsi="Calibri"/>
                <w:b/>
                <w:sz w:val="22"/>
                <w:szCs w:val="22"/>
              </w:rPr>
              <w:t>Rent</w:t>
            </w:r>
          </w:p>
        </w:tc>
        <w:tc>
          <w:tcPr>
            <w:tcW w:w="1567" w:type="dxa"/>
          </w:tcPr>
          <w:p w14:paraId="6C62393E" w14:textId="77777777" w:rsidR="002F1709" w:rsidRPr="002F1709" w:rsidRDefault="00467351" w:rsidP="0057616C">
            <w:pPr>
              <w:pStyle w:val="BodyTextIndent"/>
              <w:spacing w:after="0"/>
              <w:ind w:left="0"/>
              <w:jc w:val="center"/>
              <w:rPr>
                <w:rFonts w:ascii="Calibri" w:hAnsi="Calibri"/>
                <w:b/>
              </w:rPr>
            </w:pPr>
            <w:r>
              <w:rPr>
                <w:rFonts w:ascii="Calibri" w:hAnsi="Calibri"/>
                <w:b/>
                <w:sz w:val="22"/>
                <w:szCs w:val="22"/>
              </w:rPr>
              <w:t>Property Type</w:t>
            </w:r>
          </w:p>
        </w:tc>
      </w:tr>
      <w:tr w:rsidR="00B30B2C" w14:paraId="7D6D8882" w14:textId="77777777" w:rsidTr="00B30B2C">
        <w:tc>
          <w:tcPr>
            <w:tcW w:w="1562" w:type="dxa"/>
            <w:shd w:val="clear" w:color="auto" w:fill="B6DDE8" w:themeFill="accent5" w:themeFillTint="66"/>
          </w:tcPr>
          <w:p w14:paraId="65321729"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The Kendrick</w:t>
            </w:r>
          </w:p>
        </w:tc>
        <w:tc>
          <w:tcPr>
            <w:tcW w:w="1570" w:type="dxa"/>
          </w:tcPr>
          <w:p w14:paraId="4DAF6E30"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Studio</w:t>
            </w:r>
          </w:p>
        </w:tc>
        <w:tc>
          <w:tcPr>
            <w:tcW w:w="1546" w:type="dxa"/>
          </w:tcPr>
          <w:p w14:paraId="5E230FA9"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021CB9A3" w14:textId="574377FD"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606</w:t>
            </w:r>
          </w:p>
        </w:tc>
        <w:tc>
          <w:tcPr>
            <w:tcW w:w="1552" w:type="dxa"/>
          </w:tcPr>
          <w:p w14:paraId="230A63A1" w14:textId="24B6DEDB"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$2,4</w:t>
            </w:r>
            <w:r w:rsidR="00B30B2C">
              <w:rPr>
                <w:rFonts w:ascii="Calibri" w:hAnsi="Calibri"/>
                <w:sz w:val="20"/>
                <w:szCs w:val="20"/>
              </w:rPr>
              <w:t>7</w:t>
            </w:r>
            <w:r>
              <w:rPr>
                <w:rFonts w:ascii="Calibri" w:hAnsi="Calibri"/>
                <w:sz w:val="20"/>
                <w:szCs w:val="20"/>
              </w:rPr>
              <w:t>3</w:t>
            </w:r>
          </w:p>
        </w:tc>
        <w:tc>
          <w:tcPr>
            <w:tcW w:w="1567" w:type="dxa"/>
          </w:tcPr>
          <w:p w14:paraId="609CE0EB"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Large Multi-family/40B</w:t>
            </w:r>
          </w:p>
        </w:tc>
      </w:tr>
      <w:tr w:rsidR="00B30B2C" w14:paraId="4879A605" w14:textId="77777777" w:rsidTr="00B30B2C">
        <w:tc>
          <w:tcPr>
            <w:tcW w:w="1562" w:type="dxa"/>
          </w:tcPr>
          <w:p w14:paraId="6980B592"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09C280FA"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05DAAF9F"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31900E1A" w14:textId="4A62DF84" w:rsidR="002F1709" w:rsidRPr="002F1709" w:rsidRDefault="00B30B2C" w:rsidP="00467351">
            <w:pPr>
              <w:pStyle w:val="BodyTextIndent"/>
              <w:spacing w:after="0"/>
              <w:ind w:left="0"/>
              <w:jc w:val="center"/>
              <w:rPr>
                <w:rFonts w:ascii="Calibri" w:hAnsi="Calibri"/>
                <w:sz w:val="20"/>
                <w:szCs w:val="20"/>
              </w:rPr>
            </w:pPr>
            <w:r>
              <w:rPr>
                <w:rFonts w:ascii="Calibri" w:hAnsi="Calibri"/>
                <w:sz w:val="20"/>
                <w:szCs w:val="20"/>
              </w:rPr>
              <w:t>985</w:t>
            </w:r>
            <w:r w:rsidR="00467351">
              <w:rPr>
                <w:rFonts w:ascii="Calibri" w:hAnsi="Calibri"/>
                <w:sz w:val="20"/>
                <w:szCs w:val="20"/>
              </w:rPr>
              <w:t>-1,2</w:t>
            </w:r>
            <w:r>
              <w:rPr>
                <w:rFonts w:ascii="Calibri" w:hAnsi="Calibri"/>
                <w:sz w:val="20"/>
                <w:szCs w:val="20"/>
              </w:rPr>
              <w:t>9</w:t>
            </w:r>
            <w:r w:rsidR="00467351">
              <w:rPr>
                <w:rFonts w:ascii="Calibri" w:hAnsi="Calibri"/>
                <w:sz w:val="20"/>
                <w:szCs w:val="20"/>
              </w:rPr>
              <w:t>2</w:t>
            </w:r>
          </w:p>
        </w:tc>
        <w:tc>
          <w:tcPr>
            <w:tcW w:w="1552" w:type="dxa"/>
          </w:tcPr>
          <w:p w14:paraId="7E79BCC8" w14:textId="1488F940"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$3,</w:t>
            </w:r>
            <w:r w:rsidR="00B30B2C">
              <w:rPr>
                <w:rFonts w:ascii="Calibri" w:hAnsi="Calibri"/>
                <w:sz w:val="20"/>
                <w:szCs w:val="20"/>
              </w:rPr>
              <w:t>411</w:t>
            </w:r>
            <w:r>
              <w:rPr>
                <w:rFonts w:ascii="Calibri" w:hAnsi="Calibri"/>
                <w:sz w:val="20"/>
                <w:szCs w:val="20"/>
              </w:rPr>
              <w:t>-</w:t>
            </w:r>
            <w:r w:rsidR="00B30B2C">
              <w:rPr>
                <w:rFonts w:ascii="Calibri" w:hAnsi="Calibri"/>
                <w:sz w:val="20"/>
                <w:szCs w:val="20"/>
              </w:rPr>
              <w:t>$3,755</w:t>
            </w:r>
          </w:p>
        </w:tc>
        <w:tc>
          <w:tcPr>
            <w:tcW w:w="1567" w:type="dxa"/>
          </w:tcPr>
          <w:p w14:paraId="1F4C2D7C" w14:textId="77777777" w:rsidR="002F1709" w:rsidRPr="002F1709" w:rsidRDefault="002F1709" w:rsidP="00467351">
            <w:pPr>
              <w:pStyle w:val="BodyTextIndent"/>
              <w:spacing w:after="0"/>
              <w:ind w:left="0"/>
              <w:jc w:val="center"/>
              <w:rPr>
                <w:rFonts w:ascii="Calibri" w:hAnsi="Calibri"/>
                <w:sz w:val="20"/>
                <w:szCs w:val="20"/>
              </w:rPr>
            </w:pPr>
          </w:p>
        </w:tc>
      </w:tr>
      <w:tr w:rsidR="00B30B2C" w14:paraId="02129BCC" w14:textId="77777777" w:rsidTr="00B30B2C">
        <w:tc>
          <w:tcPr>
            <w:tcW w:w="1562" w:type="dxa"/>
            <w:shd w:val="clear" w:color="auto" w:fill="B6DDE8" w:themeFill="accent5" w:themeFillTint="66"/>
          </w:tcPr>
          <w:p w14:paraId="7A6AC6AA" w14:textId="77777777" w:rsidR="002F1709" w:rsidRDefault="00467351" w:rsidP="00467351">
            <w:pPr>
              <w:pStyle w:val="BodyTextIndent"/>
              <w:spacing w:after="0"/>
              <w:ind w:left="0"/>
              <w:jc w:val="center"/>
              <w:rPr>
                <w:rFonts w:ascii="Calibri" w:hAnsi="Calibri"/>
                <w:sz w:val="20"/>
                <w:szCs w:val="20"/>
              </w:rPr>
            </w:pPr>
            <w:r>
              <w:rPr>
                <w:rFonts w:ascii="Calibri" w:hAnsi="Calibri"/>
                <w:sz w:val="20"/>
                <w:szCs w:val="20"/>
              </w:rPr>
              <w:t>Modera</w:t>
            </w:r>
          </w:p>
          <w:p w14:paraId="6D546137" w14:textId="77777777" w:rsidR="0057616C"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Needham</w:t>
            </w:r>
          </w:p>
        </w:tc>
        <w:tc>
          <w:tcPr>
            <w:tcW w:w="1570" w:type="dxa"/>
          </w:tcPr>
          <w:p w14:paraId="592265C1"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1</w:t>
            </w:r>
          </w:p>
        </w:tc>
        <w:tc>
          <w:tcPr>
            <w:tcW w:w="1546" w:type="dxa"/>
          </w:tcPr>
          <w:p w14:paraId="17A670D0"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67428AEA" w14:textId="00940CC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90</w:t>
            </w:r>
            <w:r w:rsidR="00B30B2C">
              <w:rPr>
                <w:rFonts w:ascii="Calibri" w:hAnsi="Calibri"/>
                <w:sz w:val="20"/>
                <w:szCs w:val="20"/>
              </w:rPr>
              <w:t>5</w:t>
            </w:r>
          </w:p>
        </w:tc>
        <w:tc>
          <w:tcPr>
            <w:tcW w:w="1552" w:type="dxa"/>
          </w:tcPr>
          <w:p w14:paraId="7ED82B6A" w14:textId="128C1428"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r w:rsidR="00BF36A1">
              <w:rPr>
                <w:rFonts w:ascii="Calibri" w:hAnsi="Calibri"/>
                <w:sz w:val="20"/>
                <w:szCs w:val="20"/>
              </w:rPr>
              <w:t>746</w:t>
            </w:r>
          </w:p>
        </w:tc>
        <w:tc>
          <w:tcPr>
            <w:tcW w:w="1567" w:type="dxa"/>
          </w:tcPr>
          <w:p w14:paraId="46067DBD"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Large Multi-family/40B</w:t>
            </w:r>
          </w:p>
        </w:tc>
      </w:tr>
      <w:tr w:rsidR="00B30B2C" w14:paraId="15A2D49A" w14:textId="77777777" w:rsidTr="00B30B2C">
        <w:tc>
          <w:tcPr>
            <w:tcW w:w="1562" w:type="dxa"/>
          </w:tcPr>
          <w:p w14:paraId="1EEF9650"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68662D31"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32E08F23"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6BDFFF7D" w14:textId="7D226FE5"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1,2</w:t>
            </w:r>
            <w:r w:rsidR="00BF36A1">
              <w:rPr>
                <w:rFonts w:ascii="Calibri" w:hAnsi="Calibri"/>
                <w:sz w:val="20"/>
                <w:szCs w:val="20"/>
              </w:rPr>
              <w:t>05</w:t>
            </w:r>
            <w:r>
              <w:rPr>
                <w:rFonts w:ascii="Calibri" w:hAnsi="Calibri"/>
                <w:sz w:val="20"/>
                <w:szCs w:val="20"/>
              </w:rPr>
              <w:t>-1</w:t>
            </w:r>
            <w:r w:rsidR="00BF36A1">
              <w:rPr>
                <w:rFonts w:ascii="Calibri" w:hAnsi="Calibri"/>
                <w:sz w:val="20"/>
                <w:szCs w:val="20"/>
              </w:rPr>
              <w:t>,360</w:t>
            </w:r>
          </w:p>
        </w:tc>
        <w:tc>
          <w:tcPr>
            <w:tcW w:w="1552" w:type="dxa"/>
          </w:tcPr>
          <w:p w14:paraId="0B594D15" w14:textId="6416D933"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w:t>
            </w:r>
            <w:r w:rsidR="00BF36A1">
              <w:rPr>
                <w:rFonts w:ascii="Calibri" w:hAnsi="Calibri"/>
                <w:sz w:val="20"/>
                <w:szCs w:val="20"/>
              </w:rPr>
              <w:t>3,997</w:t>
            </w:r>
            <w:r>
              <w:rPr>
                <w:rFonts w:ascii="Calibri" w:hAnsi="Calibri"/>
                <w:sz w:val="20"/>
                <w:szCs w:val="20"/>
              </w:rPr>
              <w:t>-</w:t>
            </w:r>
            <w:r w:rsidR="00BF36A1">
              <w:rPr>
                <w:rFonts w:ascii="Calibri" w:hAnsi="Calibri"/>
                <w:sz w:val="20"/>
                <w:szCs w:val="20"/>
              </w:rPr>
              <w:t>$4,291</w:t>
            </w:r>
          </w:p>
        </w:tc>
        <w:tc>
          <w:tcPr>
            <w:tcW w:w="1567" w:type="dxa"/>
          </w:tcPr>
          <w:p w14:paraId="7BEEDD0A" w14:textId="77777777" w:rsidR="002F1709" w:rsidRPr="002F1709" w:rsidRDefault="002F1709" w:rsidP="00467351">
            <w:pPr>
              <w:pStyle w:val="BodyTextIndent"/>
              <w:spacing w:after="0"/>
              <w:ind w:left="0"/>
              <w:jc w:val="center"/>
              <w:rPr>
                <w:rFonts w:ascii="Calibri" w:hAnsi="Calibri"/>
                <w:sz w:val="20"/>
                <w:szCs w:val="20"/>
              </w:rPr>
            </w:pPr>
          </w:p>
        </w:tc>
      </w:tr>
      <w:tr w:rsidR="00B30B2C" w14:paraId="15E49DC3" w14:textId="77777777" w:rsidTr="00B30B2C">
        <w:tc>
          <w:tcPr>
            <w:tcW w:w="1562" w:type="dxa"/>
          </w:tcPr>
          <w:p w14:paraId="22C2D71D"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27C32BBC"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0571879E" w14:textId="77777777" w:rsidR="002F1709" w:rsidRPr="002F1709" w:rsidRDefault="00467351" w:rsidP="00467351">
            <w:pPr>
              <w:pStyle w:val="BodyTextIndent"/>
              <w:spacing w:after="0"/>
              <w:ind w:left="0"/>
              <w:jc w:val="center"/>
              <w:rPr>
                <w:rFonts w:ascii="Calibri" w:hAnsi="Calibri"/>
                <w:sz w:val="20"/>
                <w:szCs w:val="20"/>
              </w:rPr>
            </w:pPr>
            <w:r>
              <w:rPr>
                <w:rFonts w:ascii="Calibri" w:hAnsi="Calibri"/>
                <w:sz w:val="20"/>
                <w:szCs w:val="20"/>
              </w:rPr>
              <w:t>2.5</w:t>
            </w:r>
          </w:p>
        </w:tc>
        <w:tc>
          <w:tcPr>
            <w:tcW w:w="1553" w:type="dxa"/>
          </w:tcPr>
          <w:p w14:paraId="6F6C7457"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1,756</w:t>
            </w:r>
          </w:p>
        </w:tc>
        <w:tc>
          <w:tcPr>
            <w:tcW w:w="1552" w:type="dxa"/>
          </w:tcPr>
          <w:p w14:paraId="2EB8136F" w14:textId="72C8CC06"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w:t>
            </w:r>
            <w:r w:rsidR="00BF36A1">
              <w:rPr>
                <w:rFonts w:ascii="Calibri" w:hAnsi="Calibri"/>
                <w:sz w:val="20"/>
                <w:szCs w:val="20"/>
              </w:rPr>
              <w:t>5,705</w:t>
            </w:r>
          </w:p>
        </w:tc>
        <w:tc>
          <w:tcPr>
            <w:tcW w:w="1567" w:type="dxa"/>
          </w:tcPr>
          <w:p w14:paraId="66CE5D77" w14:textId="77777777" w:rsidR="002F1709" w:rsidRPr="002F1709" w:rsidRDefault="002F1709" w:rsidP="00467351">
            <w:pPr>
              <w:pStyle w:val="BodyTextIndent"/>
              <w:spacing w:after="0"/>
              <w:ind w:left="0"/>
              <w:jc w:val="center"/>
              <w:rPr>
                <w:rFonts w:ascii="Calibri" w:hAnsi="Calibri"/>
                <w:sz w:val="20"/>
                <w:szCs w:val="20"/>
              </w:rPr>
            </w:pPr>
          </w:p>
        </w:tc>
      </w:tr>
      <w:tr w:rsidR="00B30B2C" w14:paraId="42174053" w14:textId="77777777" w:rsidTr="00B30B2C">
        <w:tc>
          <w:tcPr>
            <w:tcW w:w="1562" w:type="dxa"/>
            <w:shd w:val="clear" w:color="auto" w:fill="B6DDE8" w:themeFill="accent5" w:themeFillTint="66"/>
          </w:tcPr>
          <w:p w14:paraId="42D2FC21"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Charles River Landing</w:t>
            </w:r>
          </w:p>
        </w:tc>
        <w:tc>
          <w:tcPr>
            <w:tcW w:w="1570" w:type="dxa"/>
          </w:tcPr>
          <w:p w14:paraId="331F4878"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p>
        </w:tc>
        <w:tc>
          <w:tcPr>
            <w:tcW w:w="1546" w:type="dxa"/>
          </w:tcPr>
          <w:p w14:paraId="522BEC33"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7A113ABD" w14:textId="0B96DAC0" w:rsidR="002F1709" w:rsidRPr="002F1709" w:rsidRDefault="00BF36A1" w:rsidP="00467351">
            <w:pPr>
              <w:pStyle w:val="BodyTextIndent"/>
              <w:spacing w:after="0"/>
              <w:ind w:left="0"/>
              <w:jc w:val="center"/>
              <w:rPr>
                <w:rFonts w:ascii="Calibri" w:hAnsi="Calibri"/>
                <w:sz w:val="20"/>
                <w:szCs w:val="20"/>
              </w:rPr>
            </w:pPr>
            <w:r>
              <w:rPr>
                <w:rFonts w:ascii="Calibri" w:hAnsi="Calibri"/>
                <w:sz w:val="20"/>
                <w:szCs w:val="20"/>
              </w:rPr>
              <w:t>1,024</w:t>
            </w:r>
            <w:r w:rsidR="0057616C">
              <w:rPr>
                <w:rFonts w:ascii="Calibri" w:hAnsi="Calibri"/>
                <w:sz w:val="20"/>
                <w:szCs w:val="20"/>
              </w:rPr>
              <w:t>-1,1</w:t>
            </w:r>
            <w:r>
              <w:rPr>
                <w:rFonts w:ascii="Calibri" w:hAnsi="Calibri"/>
                <w:sz w:val="20"/>
                <w:szCs w:val="20"/>
              </w:rPr>
              <w:t>22</w:t>
            </w:r>
          </w:p>
        </w:tc>
        <w:tc>
          <w:tcPr>
            <w:tcW w:w="1552" w:type="dxa"/>
          </w:tcPr>
          <w:p w14:paraId="0207592E" w14:textId="2D09602B"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$2,6</w:t>
            </w:r>
            <w:r w:rsidR="00BF36A1">
              <w:rPr>
                <w:rFonts w:ascii="Calibri" w:hAnsi="Calibri"/>
                <w:sz w:val="20"/>
                <w:szCs w:val="20"/>
              </w:rPr>
              <w:t>59</w:t>
            </w:r>
            <w:r>
              <w:rPr>
                <w:rFonts w:ascii="Calibri" w:hAnsi="Calibri"/>
                <w:sz w:val="20"/>
                <w:szCs w:val="20"/>
              </w:rPr>
              <w:t>-</w:t>
            </w:r>
            <w:r w:rsidR="00BF36A1">
              <w:rPr>
                <w:rFonts w:ascii="Calibri" w:hAnsi="Calibri"/>
                <w:sz w:val="20"/>
                <w:szCs w:val="20"/>
              </w:rPr>
              <w:t>$3,324</w:t>
            </w:r>
          </w:p>
        </w:tc>
        <w:tc>
          <w:tcPr>
            <w:tcW w:w="1567" w:type="dxa"/>
          </w:tcPr>
          <w:p w14:paraId="6EF4D834"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Large Multi-family/40B</w:t>
            </w:r>
          </w:p>
        </w:tc>
      </w:tr>
      <w:tr w:rsidR="00B30B2C" w14:paraId="699BFAF4" w14:textId="77777777" w:rsidTr="00B30B2C">
        <w:tc>
          <w:tcPr>
            <w:tcW w:w="1562" w:type="dxa"/>
          </w:tcPr>
          <w:p w14:paraId="110B7D42"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00D0FCEF"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6C8419E3"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22E21B18"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1,139</w:t>
            </w:r>
          </w:p>
        </w:tc>
        <w:tc>
          <w:tcPr>
            <w:tcW w:w="1552" w:type="dxa"/>
          </w:tcPr>
          <w:p w14:paraId="57362FE0" w14:textId="4520941D"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w:t>
            </w:r>
            <w:r w:rsidR="00BF36A1">
              <w:rPr>
                <w:rFonts w:ascii="Calibri" w:hAnsi="Calibri"/>
                <w:sz w:val="20"/>
                <w:szCs w:val="20"/>
              </w:rPr>
              <w:t>3,198</w:t>
            </w:r>
          </w:p>
        </w:tc>
        <w:tc>
          <w:tcPr>
            <w:tcW w:w="1567" w:type="dxa"/>
          </w:tcPr>
          <w:p w14:paraId="54D77B24" w14:textId="77777777" w:rsidR="002F1709" w:rsidRPr="002F1709" w:rsidRDefault="002F1709" w:rsidP="00467351">
            <w:pPr>
              <w:pStyle w:val="BodyTextIndent"/>
              <w:spacing w:after="0"/>
              <w:ind w:left="0"/>
              <w:jc w:val="center"/>
              <w:rPr>
                <w:rFonts w:ascii="Calibri" w:hAnsi="Calibri"/>
                <w:sz w:val="20"/>
                <w:szCs w:val="20"/>
              </w:rPr>
            </w:pPr>
          </w:p>
        </w:tc>
      </w:tr>
      <w:tr w:rsidR="00B30B2C" w14:paraId="45E65FB5" w14:textId="77777777" w:rsidTr="00B30B2C">
        <w:tc>
          <w:tcPr>
            <w:tcW w:w="1562" w:type="dxa"/>
          </w:tcPr>
          <w:p w14:paraId="1FF74B8B"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6D19D25C"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12A7FC79"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518D7AE8" w14:textId="73409102"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1,379</w:t>
            </w:r>
          </w:p>
        </w:tc>
        <w:tc>
          <w:tcPr>
            <w:tcW w:w="1552" w:type="dxa"/>
          </w:tcPr>
          <w:p w14:paraId="3BB10507" w14:textId="01C1FE2F"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$3</w:t>
            </w:r>
            <w:r w:rsidR="00E048B6">
              <w:rPr>
                <w:rFonts w:ascii="Calibri" w:hAnsi="Calibri"/>
                <w:sz w:val="20"/>
                <w:szCs w:val="20"/>
              </w:rPr>
              <w:t>,</w:t>
            </w:r>
            <w:r w:rsidR="00BF36A1">
              <w:rPr>
                <w:rFonts w:ascii="Calibri" w:hAnsi="Calibri"/>
                <w:sz w:val="20"/>
                <w:szCs w:val="20"/>
              </w:rPr>
              <w:t>471</w:t>
            </w:r>
          </w:p>
        </w:tc>
        <w:tc>
          <w:tcPr>
            <w:tcW w:w="1567" w:type="dxa"/>
          </w:tcPr>
          <w:p w14:paraId="111AA2DB" w14:textId="77777777" w:rsidR="002F1709" w:rsidRPr="002F1709" w:rsidRDefault="002F1709" w:rsidP="00467351">
            <w:pPr>
              <w:pStyle w:val="BodyTextIndent"/>
              <w:spacing w:after="0"/>
              <w:ind w:left="0"/>
              <w:jc w:val="center"/>
              <w:rPr>
                <w:rFonts w:ascii="Calibri" w:hAnsi="Calibri"/>
                <w:sz w:val="20"/>
                <w:szCs w:val="20"/>
              </w:rPr>
            </w:pPr>
          </w:p>
        </w:tc>
      </w:tr>
      <w:tr w:rsidR="00B30B2C" w14:paraId="4636D474" w14:textId="77777777" w:rsidTr="00B30B2C">
        <w:tc>
          <w:tcPr>
            <w:tcW w:w="1562" w:type="dxa"/>
            <w:shd w:val="clear" w:color="auto" w:fill="B6DDE8" w:themeFill="accent5" w:themeFillTint="66"/>
          </w:tcPr>
          <w:p w14:paraId="31F28CC7"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Rosemary Lake</w:t>
            </w:r>
          </w:p>
        </w:tc>
        <w:tc>
          <w:tcPr>
            <w:tcW w:w="1570" w:type="dxa"/>
          </w:tcPr>
          <w:p w14:paraId="410F88F5"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p>
        </w:tc>
        <w:tc>
          <w:tcPr>
            <w:tcW w:w="1546" w:type="dxa"/>
          </w:tcPr>
          <w:p w14:paraId="0C05F09B"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5AEC165D" w14:textId="1A94C17E" w:rsidR="002F1709" w:rsidRPr="002F1709" w:rsidRDefault="00B16AB5" w:rsidP="00467351">
            <w:pPr>
              <w:pStyle w:val="BodyTextIndent"/>
              <w:spacing w:after="0"/>
              <w:ind w:left="0"/>
              <w:jc w:val="center"/>
              <w:rPr>
                <w:rFonts w:ascii="Calibri" w:hAnsi="Calibri"/>
                <w:sz w:val="20"/>
                <w:szCs w:val="20"/>
              </w:rPr>
            </w:pPr>
            <w:r>
              <w:rPr>
                <w:rFonts w:ascii="Calibri" w:hAnsi="Calibri"/>
                <w:sz w:val="20"/>
                <w:szCs w:val="20"/>
              </w:rPr>
              <w:t>441</w:t>
            </w:r>
            <w:r w:rsidR="0057616C">
              <w:rPr>
                <w:rFonts w:ascii="Calibri" w:hAnsi="Calibri"/>
                <w:sz w:val="20"/>
                <w:szCs w:val="20"/>
              </w:rPr>
              <w:t>-</w:t>
            </w:r>
            <w:r>
              <w:rPr>
                <w:rFonts w:ascii="Calibri" w:hAnsi="Calibri"/>
                <w:sz w:val="20"/>
                <w:szCs w:val="20"/>
              </w:rPr>
              <w:t>1,024</w:t>
            </w:r>
          </w:p>
        </w:tc>
        <w:tc>
          <w:tcPr>
            <w:tcW w:w="1552" w:type="dxa"/>
          </w:tcPr>
          <w:p w14:paraId="2E22E67F" w14:textId="3395827B"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r w:rsidR="00B16AB5">
              <w:rPr>
                <w:rFonts w:ascii="Calibri" w:hAnsi="Calibri"/>
                <w:sz w:val="20"/>
                <w:szCs w:val="20"/>
              </w:rPr>
              <w:t>550</w:t>
            </w:r>
            <w:r>
              <w:rPr>
                <w:rFonts w:ascii="Calibri" w:hAnsi="Calibri"/>
                <w:sz w:val="20"/>
                <w:szCs w:val="20"/>
              </w:rPr>
              <w:t>-</w:t>
            </w:r>
            <w:r w:rsidR="00B16AB5">
              <w:rPr>
                <w:rFonts w:ascii="Calibri" w:hAnsi="Calibri"/>
                <w:sz w:val="20"/>
                <w:szCs w:val="20"/>
              </w:rPr>
              <w:t>$</w:t>
            </w:r>
            <w:r>
              <w:rPr>
                <w:rFonts w:ascii="Calibri" w:hAnsi="Calibri"/>
                <w:sz w:val="20"/>
                <w:szCs w:val="20"/>
              </w:rPr>
              <w:t>1,</w:t>
            </w:r>
            <w:r w:rsidR="00B16AB5">
              <w:rPr>
                <w:rFonts w:ascii="Calibri" w:hAnsi="Calibri"/>
                <w:sz w:val="20"/>
                <w:szCs w:val="20"/>
              </w:rPr>
              <w:t>775</w:t>
            </w:r>
          </w:p>
        </w:tc>
        <w:tc>
          <w:tcPr>
            <w:tcW w:w="1567" w:type="dxa"/>
          </w:tcPr>
          <w:p w14:paraId="0BF16185"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Large Multi-family</w:t>
            </w:r>
          </w:p>
        </w:tc>
      </w:tr>
      <w:tr w:rsidR="00B30B2C" w14:paraId="6B844B8F" w14:textId="77777777" w:rsidTr="00B30B2C">
        <w:tc>
          <w:tcPr>
            <w:tcW w:w="1562" w:type="dxa"/>
          </w:tcPr>
          <w:p w14:paraId="40813544"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37E5445A"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717BF195"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3AEFC682" w14:textId="5C5F3244"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1,0</w:t>
            </w:r>
            <w:r w:rsidR="00B16AB5">
              <w:rPr>
                <w:rFonts w:ascii="Calibri" w:hAnsi="Calibri"/>
                <w:sz w:val="20"/>
                <w:szCs w:val="20"/>
              </w:rPr>
              <w:t>47</w:t>
            </w:r>
          </w:p>
        </w:tc>
        <w:tc>
          <w:tcPr>
            <w:tcW w:w="1552" w:type="dxa"/>
          </w:tcPr>
          <w:p w14:paraId="1B9F39ED" w14:textId="19821D7A" w:rsidR="002F1709" w:rsidRPr="002F1709" w:rsidRDefault="0057616C" w:rsidP="00B16AB5">
            <w:pPr>
              <w:pStyle w:val="BodyTextIndent"/>
              <w:spacing w:after="0"/>
              <w:ind w:left="0"/>
              <w:jc w:val="center"/>
              <w:rPr>
                <w:rFonts w:ascii="Calibri" w:hAnsi="Calibri"/>
                <w:sz w:val="20"/>
                <w:szCs w:val="20"/>
              </w:rPr>
            </w:pPr>
            <w:r>
              <w:rPr>
                <w:rFonts w:ascii="Calibri" w:hAnsi="Calibri"/>
                <w:sz w:val="20"/>
                <w:szCs w:val="20"/>
              </w:rPr>
              <w:t>$1,9</w:t>
            </w:r>
            <w:r w:rsidR="00B16AB5">
              <w:rPr>
                <w:rFonts w:ascii="Calibri" w:hAnsi="Calibri"/>
                <w:sz w:val="20"/>
                <w:szCs w:val="20"/>
              </w:rPr>
              <w:t>2</w:t>
            </w:r>
            <w:r>
              <w:rPr>
                <w:rFonts w:ascii="Calibri" w:hAnsi="Calibri"/>
                <w:sz w:val="20"/>
                <w:szCs w:val="20"/>
              </w:rPr>
              <w:t>5</w:t>
            </w:r>
          </w:p>
        </w:tc>
        <w:tc>
          <w:tcPr>
            <w:tcW w:w="1567" w:type="dxa"/>
          </w:tcPr>
          <w:p w14:paraId="467E04A0" w14:textId="77777777" w:rsidR="002F1709" w:rsidRPr="002F1709" w:rsidRDefault="002F1709" w:rsidP="00467351">
            <w:pPr>
              <w:pStyle w:val="BodyTextIndent"/>
              <w:spacing w:after="0"/>
              <w:ind w:left="0"/>
              <w:jc w:val="center"/>
              <w:rPr>
                <w:rFonts w:ascii="Calibri" w:hAnsi="Calibri"/>
                <w:sz w:val="20"/>
                <w:szCs w:val="20"/>
              </w:rPr>
            </w:pPr>
          </w:p>
        </w:tc>
      </w:tr>
      <w:tr w:rsidR="00B30B2C" w14:paraId="2C3C3FCA" w14:textId="77777777" w:rsidTr="00B30B2C">
        <w:tc>
          <w:tcPr>
            <w:tcW w:w="1562" w:type="dxa"/>
          </w:tcPr>
          <w:p w14:paraId="4D539A32"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1B4F43B6"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4AE564E6"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1.5</w:t>
            </w:r>
          </w:p>
        </w:tc>
        <w:tc>
          <w:tcPr>
            <w:tcW w:w="1553" w:type="dxa"/>
          </w:tcPr>
          <w:p w14:paraId="5D5CA5D8" w14:textId="49516B7F"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1,77</w:t>
            </w:r>
            <w:r w:rsidR="00B16AB5">
              <w:rPr>
                <w:rFonts w:ascii="Calibri" w:hAnsi="Calibri"/>
                <w:sz w:val="20"/>
                <w:szCs w:val="20"/>
              </w:rPr>
              <w:t>4</w:t>
            </w:r>
          </w:p>
        </w:tc>
        <w:tc>
          <w:tcPr>
            <w:tcW w:w="1552" w:type="dxa"/>
          </w:tcPr>
          <w:p w14:paraId="46532496"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$2,850</w:t>
            </w:r>
          </w:p>
        </w:tc>
        <w:tc>
          <w:tcPr>
            <w:tcW w:w="1567" w:type="dxa"/>
          </w:tcPr>
          <w:p w14:paraId="7EAF7584" w14:textId="77777777" w:rsidR="002F1709" w:rsidRPr="002F1709" w:rsidRDefault="002F1709" w:rsidP="00467351">
            <w:pPr>
              <w:pStyle w:val="BodyTextIndent"/>
              <w:spacing w:after="0"/>
              <w:ind w:left="0"/>
              <w:jc w:val="center"/>
              <w:rPr>
                <w:rFonts w:ascii="Calibri" w:hAnsi="Calibri"/>
                <w:sz w:val="20"/>
                <w:szCs w:val="20"/>
              </w:rPr>
            </w:pPr>
          </w:p>
        </w:tc>
      </w:tr>
      <w:tr w:rsidR="00B30B2C" w14:paraId="60F7969B" w14:textId="77777777" w:rsidTr="00B30B2C">
        <w:tc>
          <w:tcPr>
            <w:tcW w:w="1562" w:type="dxa"/>
          </w:tcPr>
          <w:p w14:paraId="1E680585" w14:textId="77777777" w:rsidR="002F1709" w:rsidRPr="002F1709" w:rsidRDefault="002F1709" w:rsidP="00467351">
            <w:pPr>
              <w:pStyle w:val="BodyTextIndent"/>
              <w:spacing w:after="0"/>
              <w:ind w:left="0"/>
              <w:jc w:val="center"/>
              <w:rPr>
                <w:rFonts w:ascii="Calibri" w:hAnsi="Calibri"/>
                <w:sz w:val="20"/>
                <w:szCs w:val="20"/>
              </w:rPr>
            </w:pPr>
          </w:p>
        </w:tc>
        <w:tc>
          <w:tcPr>
            <w:tcW w:w="1570" w:type="dxa"/>
          </w:tcPr>
          <w:p w14:paraId="17A890B1"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38C393D1" w14:textId="77777777"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420A97A3" w14:textId="66FA2D99"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1,</w:t>
            </w:r>
            <w:r w:rsidR="00B16AB5">
              <w:rPr>
                <w:rFonts w:ascii="Calibri" w:hAnsi="Calibri"/>
                <w:sz w:val="20"/>
                <w:szCs w:val="20"/>
              </w:rPr>
              <w:t>8</w:t>
            </w:r>
            <w:r>
              <w:rPr>
                <w:rFonts w:ascii="Calibri" w:hAnsi="Calibri"/>
                <w:sz w:val="20"/>
                <w:szCs w:val="20"/>
              </w:rPr>
              <w:t>50</w:t>
            </w:r>
          </w:p>
        </w:tc>
        <w:tc>
          <w:tcPr>
            <w:tcW w:w="1552" w:type="dxa"/>
          </w:tcPr>
          <w:p w14:paraId="2B681278" w14:textId="68665201" w:rsidR="002F1709" w:rsidRPr="002F1709" w:rsidRDefault="0057616C" w:rsidP="00467351">
            <w:pPr>
              <w:pStyle w:val="BodyTextIndent"/>
              <w:spacing w:after="0"/>
              <w:ind w:left="0"/>
              <w:jc w:val="center"/>
              <w:rPr>
                <w:rFonts w:ascii="Calibri" w:hAnsi="Calibri"/>
                <w:sz w:val="20"/>
                <w:szCs w:val="20"/>
              </w:rPr>
            </w:pPr>
            <w:r>
              <w:rPr>
                <w:rFonts w:ascii="Calibri" w:hAnsi="Calibri"/>
                <w:sz w:val="20"/>
                <w:szCs w:val="20"/>
              </w:rPr>
              <w:t>$3,</w:t>
            </w:r>
            <w:r w:rsidR="00B16AB5">
              <w:rPr>
                <w:rFonts w:ascii="Calibri" w:hAnsi="Calibri"/>
                <w:sz w:val="20"/>
                <w:szCs w:val="20"/>
              </w:rPr>
              <w:t>1</w:t>
            </w:r>
            <w:r>
              <w:rPr>
                <w:rFonts w:ascii="Calibri" w:hAnsi="Calibri"/>
                <w:sz w:val="20"/>
                <w:szCs w:val="20"/>
              </w:rPr>
              <w:t>95</w:t>
            </w:r>
          </w:p>
        </w:tc>
        <w:tc>
          <w:tcPr>
            <w:tcW w:w="1567" w:type="dxa"/>
          </w:tcPr>
          <w:p w14:paraId="52995FA8" w14:textId="77777777" w:rsidR="002F1709" w:rsidRPr="002F1709" w:rsidRDefault="002F1709" w:rsidP="00467351">
            <w:pPr>
              <w:pStyle w:val="BodyTextIndent"/>
              <w:spacing w:after="0"/>
              <w:ind w:left="0"/>
              <w:jc w:val="center"/>
              <w:rPr>
                <w:rFonts w:ascii="Calibri" w:hAnsi="Calibri"/>
                <w:sz w:val="20"/>
                <w:szCs w:val="20"/>
              </w:rPr>
            </w:pPr>
          </w:p>
        </w:tc>
      </w:tr>
      <w:tr w:rsidR="00B30B2C" w14:paraId="30B322A1" w14:textId="77777777" w:rsidTr="00B30B2C">
        <w:tc>
          <w:tcPr>
            <w:tcW w:w="1562" w:type="dxa"/>
            <w:shd w:val="clear" w:color="auto" w:fill="B6DDE8" w:themeFill="accent5" w:themeFillTint="66"/>
          </w:tcPr>
          <w:p w14:paraId="1559ABB3" w14:textId="77777777" w:rsidR="002F1709" w:rsidRPr="002F1709" w:rsidRDefault="00882674" w:rsidP="00467351">
            <w:pPr>
              <w:pStyle w:val="BodyTextIndent"/>
              <w:spacing w:after="0"/>
              <w:ind w:left="0"/>
              <w:jc w:val="center"/>
              <w:rPr>
                <w:rFonts w:ascii="Calibri" w:hAnsi="Calibri"/>
                <w:sz w:val="20"/>
                <w:szCs w:val="20"/>
              </w:rPr>
            </w:pPr>
            <w:r>
              <w:rPr>
                <w:rFonts w:ascii="Calibri" w:hAnsi="Calibri"/>
                <w:sz w:val="20"/>
                <w:szCs w:val="20"/>
              </w:rPr>
              <w:t>Webster Green</w:t>
            </w:r>
          </w:p>
        </w:tc>
        <w:tc>
          <w:tcPr>
            <w:tcW w:w="1570" w:type="dxa"/>
          </w:tcPr>
          <w:p w14:paraId="2C1CC161" w14:textId="2E0A83DA" w:rsidR="002F1709" w:rsidRPr="002F1709" w:rsidRDefault="00B16AB5" w:rsidP="00467351">
            <w:pPr>
              <w:pStyle w:val="BodyTextIndent"/>
              <w:spacing w:after="0"/>
              <w:ind w:left="0"/>
              <w:jc w:val="center"/>
              <w:rPr>
                <w:rFonts w:ascii="Calibri" w:hAnsi="Calibri"/>
                <w:sz w:val="20"/>
                <w:szCs w:val="20"/>
              </w:rPr>
            </w:pPr>
            <w:r>
              <w:rPr>
                <w:rFonts w:ascii="Calibri" w:hAnsi="Calibri"/>
                <w:sz w:val="20"/>
                <w:szCs w:val="20"/>
              </w:rPr>
              <w:t>1</w:t>
            </w:r>
          </w:p>
        </w:tc>
        <w:tc>
          <w:tcPr>
            <w:tcW w:w="1546" w:type="dxa"/>
          </w:tcPr>
          <w:p w14:paraId="6633676D" w14:textId="4490C1CB" w:rsidR="002F1709" w:rsidRPr="002F1709" w:rsidRDefault="00B16AB5" w:rsidP="00467351">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5D139B7C" w14:textId="264AE5E5" w:rsidR="002F1709" w:rsidRPr="002F1709" w:rsidRDefault="00B16AB5" w:rsidP="00467351">
            <w:pPr>
              <w:pStyle w:val="BodyTextIndent"/>
              <w:spacing w:after="0"/>
              <w:ind w:left="0"/>
              <w:jc w:val="center"/>
              <w:rPr>
                <w:rFonts w:ascii="Calibri" w:hAnsi="Calibri"/>
                <w:sz w:val="20"/>
                <w:szCs w:val="20"/>
              </w:rPr>
            </w:pPr>
            <w:r>
              <w:rPr>
                <w:rFonts w:ascii="Calibri" w:hAnsi="Calibri"/>
                <w:sz w:val="20"/>
                <w:szCs w:val="20"/>
              </w:rPr>
              <w:t>987</w:t>
            </w:r>
          </w:p>
        </w:tc>
        <w:tc>
          <w:tcPr>
            <w:tcW w:w="1552" w:type="dxa"/>
          </w:tcPr>
          <w:p w14:paraId="5440CA8C" w14:textId="56C72B7E" w:rsidR="002F1709" w:rsidRPr="002F1709" w:rsidRDefault="00B16AB5" w:rsidP="00467351">
            <w:pPr>
              <w:pStyle w:val="BodyTextIndent"/>
              <w:spacing w:after="0"/>
              <w:ind w:left="0"/>
              <w:jc w:val="center"/>
              <w:rPr>
                <w:rFonts w:ascii="Calibri" w:hAnsi="Calibri"/>
                <w:sz w:val="20"/>
                <w:szCs w:val="20"/>
              </w:rPr>
            </w:pPr>
            <w:r>
              <w:rPr>
                <w:rFonts w:ascii="Calibri" w:hAnsi="Calibri"/>
                <w:sz w:val="20"/>
                <w:szCs w:val="20"/>
              </w:rPr>
              <w:t>$2,650</w:t>
            </w:r>
          </w:p>
        </w:tc>
        <w:tc>
          <w:tcPr>
            <w:tcW w:w="1567" w:type="dxa"/>
          </w:tcPr>
          <w:p w14:paraId="54A74948" w14:textId="77777777" w:rsidR="002F1709" w:rsidRPr="002F1709" w:rsidRDefault="00882674" w:rsidP="00467351">
            <w:pPr>
              <w:pStyle w:val="BodyTextIndent"/>
              <w:spacing w:after="0"/>
              <w:ind w:left="0"/>
              <w:jc w:val="center"/>
              <w:rPr>
                <w:rFonts w:ascii="Calibri" w:hAnsi="Calibri"/>
                <w:sz w:val="20"/>
                <w:szCs w:val="20"/>
              </w:rPr>
            </w:pPr>
            <w:r>
              <w:rPr>
                <w:rFonts w:ascii="Calibri" w:hAnsi="Calibri"/>
                <w:sz w:val="20"/>
                <w:szCs w:val="20"/>
              </w:rPr>
              <w:t>Large Multi-family</w:t>
            </w:r>
          </w:p>
        </w:tc>
      </w:tr>
      <w:tr w:rsidR="00B16AB5" w14:paraId="0C94D0DD" w14:textId="77777777" w:rsidTr="00B16AB5">
        <w:tc>
          <w:tcPr>
            <w:tcW w:w="1562" w:type="dxa"/>
            <w:shd w:val="clear" w:color="auto" w:fill="auto"/>
          </w:tcPr>
          <w:p w14:paraId="63443B4D" w14:textId="6DA61786" w:rsidR="00B16AB5" w:rsidRDefault="00B16AB5" w:rsidP="00B16AB5">
            <w:pPr>
              <w:pStyle w:val="BodyTextIndent"/>
              <w:spacing w:after="0"/>
              <w:ind w:left="0"/>
              <w:jc w:val="center"/>
              <w:rPr>
                <w:rFonts w:ascii="Calibri" w:hAnsi="Calibri"/>
                <w:sz w:val="20"/>
                <w:szCs w:val="20"/>
              </w:rPr>
            </w:pPr>
          </w:p>
        </w:tc>
        <w:tc>
          <w:tcPr>
            <w:tcW w:w="1570" w:type="dxa"/>
            <w:shd w:val="clear" w:color="auto" w:fill="auto"/>
          </w:tcPr>
          <w:p w14:paraId="4BA3D762" w14:textId="1A740DC2" w:rsidR="00B16AB5" w:rsidRDefault="00B16AB5" w:rsidP="00B16AB5">
            <w:pPr>
              <w:pStyle w:val="BodyTextIndent"/>
              <w:spacing w:after="0"/>
              <w:ind w:left="0"/>
              <w:jc w:val="center"/>
              <w:rPr>
                <w:rFonts w:ascii="Calibri" w:hAnsi="Calibri"/>
                <w:sz w:val="20"/>
                <w:szCs w:val="20"/>
              </w:rPr>
            </w:pPr>
            <w:r>
              <w:rPr>
                <w:rFonts w:ascii="Calibri" w:hAnsi="Calibri"/>
                <w:sz w:val="20"/>
                <w:szCs w:val="20"/>
              </w:rPr>
              <w:t>2</w:t>
            </w:r>
          </w:p>
        </w:tc>
        <w:tc>
          <w:tcPr>
            <w:tcW w:w="1546" w:type="dxa"/>
            <w:shd w:val="clear" w:color="auto" w:fill="auto"/>
          </w:tcPr>
          <w:p w14:paraId="678A9F58" w14:textId="71407B5A" w:rsidR="00B16AB5" w:rsidRDefault="00B16AB5"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shd w:val="clear" w:color="auto" w:fill="auto"/>
          </w:tcPr>
          <w:p w14:paraId="4C0FDD84" w14:textId="20C4F335" w:rsidR="00B16AB5" w:rsidRPr="002F1709" w:rsidRDefault="00B16AB5" w:rsidP="00B16AB5">
            <w:pPr>
              <w:pStyle w:val="BodyTextIndent"/>
              <w:spacing w:after="0"/>
              <w:ind w:left="0"/>
              <w:jc w:val="center"/>
              <w:rPr>
                <w:rFonts w:ascii="Calibri" w:hAnsi="Calibri"/>
                <w:sz w:val="20"/>
                <w:szCs w:val="20"/>
              </w:rPr>
            </w:pPr>
            <w:r>
              <w:rPr>
                <w:rFonts w:ascii="Calibri" w:hAnsi="Calibri"/>
                <w:sz w:val="20"/>
                <w:szCs w:val="20"/>
              </w:rPr>
              <w:t>900-978</w:t>
            </w:r>
          </w:p>
        </w:tc>
        <w:tc>
          <w:tcPr>
            <w:tcW w:w="1552" w:type="dxa"/>
            <w:shd w:val="clear" w:color="auto" w:fill="auto"/>
          </w:tcPr>
          <w:p w14:paraId="17B1F609" w14:textId="791E75A0" w:rsidR="00B16AB5" w:rsidRDefault="00B16AB5" w:rsidP="00B16AB5">
            <w:pPr>
              <w:pStyle w:val="BodyTextIndent"/>
              <w:spacing w:after="0"/>
              <w:ind w:left="0"/>
              <w:jc w:val="center"/>
              <w:rPr>
                <w:rFonts w:ascii="Calibri" w:hAnsi="Calibri"/>
                <w:sz w:val="20"/>
                <w:szCs w:val="20"/>
              </w:rPr>
            </w:pPr>
            <w:r>
              <w:rPr>
                <w:rFonts w:ascii="Calibri" w:hAnsi="Calibri"/>
                <w:sz w:val="20"/>
                <w:szCs w:val="20"/>
              </w:rPr>
              <w:t>$2,400-$2,650</w:t>
            </w:r>
          </w:p>
        </w:tc>
        <w:tc>
          <w:tcPr>
            <w:tcW w:w="1567" w:type="dxa"/>
            <w:shd w:val="clear" w:color="auto" w:fill="auto"/>
          </w:tcPr>
          <w:p w14:paraId="21386C05" w14:textId="7FFBFEA5" w:rsidR="00B16AB5" w:rsidRDefault="00B16AB5" w:rsidP="00B16AB5">
            <w:pPr>
              <w:pStyle w:val="BodyTextIndent"/>
              <w:spacing w:after="0"/>
              <w:ind w:left="0"/>
              <w:jc w:val="center"/>
              <w:rPr>
                <w:rFonts w:ascii="Calibri" w:hAnsi="Calibri"/>
                <w:sz w:val="20"/>
                <w:szCs w:val="20"/>
              </w:rPr>
            </w:pPr>
          </w:p>
        </w:tc>
      </w:tr>
      <w:tr w:rsidR="00B16AB5" w14:paraId="4B9BC968" w14:textId="77777777" w:rsidTr="00B30B2C">
        <w:tc>
          <w:tcPr>
            <w:tcW w:w="1562" w:type="dxa"/>
          </w:tcPr>
          <w:p w14:paraId="441D67FB" w14:textId="6A6D2CD8" w:rsidR="00B16AB5" w:rsidRDefault="00B16AB5" w:rsidP="00B16AB5">
            <w:pPr>
              <w:pStyle w:val="BodyTextIndent"/>
              <w:spacing w:after="0"/>
              <w:ind w:left="0"/>
              <w:jc w:val="center"/>
              <w:rPr>
                <w:rFonts w:ascii="Calibri" w:hAnsi="Calibri"/>
                <w:sz w:val="20"/>
                <w:szCs w:val="20"/>
              </w:rPr>
            </w:pPr>
          </w:p>
        </w:tc>
        <w:tc>
          <w:tcPr>
            <w:tcW w:w="1570" w:type="dxa"/>
          </w:tcPr>
          <w:p w14:paraId="372ADCC7" w14:textId="20937BEE" w:rsidR="00B16AB5" w:rsidRDefault="00B16AB5" w:rsidP="00B16AB5">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02649AE9" w14:textId="5506163A" w:rsidR="00B16AB5" w:rsidRDefault="00B16AB5" w:rsidP="00B16AB5">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68977D3C" w14:textId="521E9797" w:rsidR="00B16AB5" w:rsidRDefault="00B16AB5" w:rsidP="00B16AB5">
            <w:pPr>
              <w:pStyle w:val="BodyTextIndent"/>
              <w:spacing w:after="0"/>
              <w:ind w:left="0"/>
              <w:jc w:val="center"/>
              <w:rPr>
                <w:rFonts w:ascii="Calibri" w:hAnsi="Calibri"/>
                <w:sz w:val="20"/>
                <w:szCs w:val="20"/>
              </w:rPr>
            </w:pPr>
            <w:r>
              <w:rPr>
                <w:rFonts w:ascii="Calibri" w:hAnsi="Calibri"/>
                <w:sz w:val="20"/>
                <w:szCs w:val="20"/>
              </w:rPr>
              <w:t>1,200</w:t>
            </w:r>
          </w:p>
        </w:tc>
        <w:tc>
          <w:tcPr>
            <w:tcW w:w="1552" w:type="dxa"/>
          </w:tcPr>
          <w:p w14:paraId="16AC6787" w14:textId="63FA4F45" w:rsidR="00B16AB5" w:rsidRDefault="00B16AB5" w:rsidP="00B16AB5">
            <w:pPr>
              <w:pStyle w:val="BodyTextIndent"/>
              <w:spacing w:after="0"/>
              <w:ind w:left="0"/>
              <w:jc w:val="center"/>
              <w:rPr>
                <w:rFonts w:ascii="Calibri" w:hAnsi="Calibri"/>
                <w:sz w:val="20"/>
                <w:szCs w:val="20"/>
              </w:rPr>
            </w:pPr>
            <w:r>
              <w:rPr>
                <w:rFonts w:ascii="Calibri" w:hAnsi="Calibri"/>
                <w:sz w:val="20"/>
                <w:szCs w:val="20"/>
              </w:rPr>
              <w:t>$2,700</w:t>
            </w:r>
          </w:p>
        </w:tc>
        <w:tc>
          <w:tcPr>
            <w:tcW w:w="1567" w:type="dxa"/>
          </w:tcPr>
          <w:p w14:paraId="6F0C72C4" w14:textId="4CA31FC2" w:rsidR="00B16AB5" w:rsidRPr="00882674" w:rsidRDefault="00B16AB5" w:rsidP="00B16AB5">
            <w:pPr>
              <w:pStyle w:val="BodyTextIndent"/>
              <w:spacing w:after="0"/>
              <w:ind w:left="0"/>
              <w:jc w:val="center"/>
              <w:rPr>
                <w:rFonts w:ascii="Calibri" w:hAnsi="Calibri"/>
                <w:sz w:val="20"/>
                <w:szCs w:val="20"/>
              </w:rPr>
            </w:pPr>
          </w:p>
        </w:tc>
      </w:tr>
      <w:tr w:rsidR="00B16AB5" w14:paraId="77F38B17" w14:textId="77777777" w:rsidTr="00B30B2C">
        <w:tc>
          <w:tcPr>
            <w:tcW w:w="1562" w:type="dxa"/>
          </w:tcPr>
          <w:p w14:paraId="328A6C87" w14:textId="4B86BE0E" w:rsidR="00B16AB5" w:rsidRDefault="00B16AB5" w:rsidP="00B16AB5">
            <w:pPr>
              <w:pStyle w:val="BodyTextIndent"/>
              <w:spacing w:after="0"/>
              <w:ind w:left="0"/>
              <w:jc w:val="center"/>
              <w:rPr>
                <w:rFonts w:ascii="Calibri" w:hAnsi="Calibri"/>
                <w:sz w:val="20"/>
                <w:szCs w:val="20"/>
              </w:rPr>
            </w:pPr>
            <w:r>
              <w:rPr>
                <w:rFonts w:ascii="Calibri" w:hAnsi="Calibri"/>
                <w:sz w:val="20"/>
                <w:szCs w:val="20"/>
              </w:rPr>
              <w:t>Oak Street</w:t>
            </w:r>
          </w:p>
        </w:tc>
        <w:tc>
          <w:tcPr>
            <w:tcW w:w="1570" w:type="dxa"/>
          </w:tcPr>
          <w:p w14:paraId="03725768" w14:textId="1B3E6318" w:rsidR="00B16AB5" w:rsidRDefault="00B16AB5" w:rsidP="00B16AB5">
            <w:pPr>
              <w:pStyle w:val="BodyTextIndent"/>
              <w:spacing w:after="0"/>
              <w:ind w:left="0"/>
              <w:jc w:val="center"/>
              <w:rPr>
                <w:rFonts w:ascii="Calibri" w:hAnsi="Calibri"/>
                <w:sz w:val="20"/>
                <w:szCs w:val="20"/>
              </w:rPr>
            </w:pPr>
            <w:r>
              <w:rPr>
                <w:rFonts w:ascii="Calibri" w:hAnsi="Calibri"/>
                <w:sz w:val="20"/>
                <w:szCs w:val="20"/>
              </w:rPr>
              <w:t>Studio</w:t>
            </w:r>
          </w:p>
        </w:tc>
        <w:tc>
          <w:tcPr>
            <w:tcW w:w="1546" w:type="dxa"/>
          </w:tcPr>
          <w:p w14:paraId="548FD485" w14:textId="436C5FAB" w:rsidR="00B16AB5" w:rsidRDefault="00B16AB5"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2CD8E4CF" w14:textId="00446796" w:rsidR="00B16AB5" w:rsidRDefault="00B16AB5" w:rsidP="00B16AB5">
            <w:pPr>
              <w:pStyle w:val="BodyTextIndent"/>
              <w:spacing w:after="0"/>
              <w:ind w:left="0"/>
              <w:jc w:val="center"/>
              <w:rPr>
                <w:rFonts w:ascii="Calibri" w:hAnsi="Calibri"/>
                <w:sz w:val="20"/>
                <w:szCs w:val="20"/>
              </w:rPr>
            </w:pPr>
            <w:r>
              <w:rPr>
                <w:rFonts w:ascii="Calibri" w:hAnsi="Calibri"/>
                <w:sz w:val="20"/>
                <w:szCs w:val="20"/>
              </w:rPr>
              <w:t>NA</w:t>
            </w:r>
          </w:p>
        </w:tc>
        <w:tc>
          <w:tcPr>
            <w:tcW w:w="1552" w:type="dxa"/>
          </w:tcPr>
          <w:p w14:paraId="17CEA1A8" w14:textId="3B5678FA" w:rsidR="00B16AB5" w:rsidRDefault="00B16AB5" w:rsidP="00B16AB5">
            <w:pPr>
              <w:pStyle w:val="BodyTextIndent"/>
              <w:spacing w:after="0"/>
              <w:ind w:left="0"/>
              <w:jc w:val="center"/>
              <w:rPr>
                <w:rFonts w:ascii="Calibri" w:hAnsi="Calibri"/>
                <w:sz w:val="20"/>
                <w:szCs w:val="20"/>
              </w:rPr>
            </w:pPr>
            <w:r>
              <w:rPr>
                <w:rFonts w:ascii="Calibri" w:hAnsi="Calibri"/>
                <w:sz w:val="20"/>
                <w:szCs w:val="20"/>
              </w:rPr>
              <w:t>$1,575</w:t>
            </w:r>
          </w:p>
        </w:tc>
        <w:tc>
          <w:tcPr>
            <w:tcW w:w="1567" w:type="dxa"/>
          </w:tcPr>
          <w:p w14:paraId="6D1C764E" w14:textId="00DDEC29" w:rsidR="00B16AB5" w:rsidRPr="00882674" w:rsidRDefault="00B16AB5" w:rsidP="00B16AB5">
            <w:pPr>
              <w:pStyle w:val="BodyTextIndent"/>
              <w:spacing w:after="0"/>
              <w:ind w:left="0"/>
              <w:jc w:val="center"/>
              <w:rPr>
                <w:rFonts w:ascii="Calibri" w:hAnsi="Calibri"/>
                <w:sz w:val="20"/>
                <w:szCs w:val="20"/>
              </w:rPr>
            </w:pPr>
            <w:r>
              <w:rPr>
                <w:rFonts w:ascii="Calibri" w:hAnsi="Calibri"/>
                <w:sz w:val="20"/>
                <w:szCs w:val="20"/>
              </w:rPr>
              <w:t>Top</w:t>
            </w:r>
            <w:r w:rsidR="0074390A">
              <w:rPr>
                <w:rFonts w:ascii="Calibri" w:hAnsi="Calibri"/>
                <w:sz w:val="20"/>
                <w:szCs w:val="20"/>
              </w:rPr>
              <w:t xml:space="preserve"> F</w:t>
            </w:r>
            <w:r>
              <w:rPr>
                <w:rFonts w:ascii="Calibri" w:hAnsi="Calibri"/>
                <w:sz w:val="20"/>
                <w:szCs w:val="20"/>
              </w:rPr>
              <w:t xml:space="preserve">loor in </w:t>
            </w:r>
            <w:r w:rsidR="0074390A">
              <w:rPr>
                <w:rFonts w:ascii="Calibri" w:hAnsi="Calibri"/>
                <w:sz w:val="20"/>
                <w:szCs w:val="20"/>
              </w:rPr>
              <w:t>H</w:t>
            </w:r>
            <w:r>
              <w:rPr>
                <w:rFonts w:ascii="Calibri" w:hAnsi="Calibri"/>
                <w:sz w:val="20"/>
                <w:szCs w:val="20"/>
              </w:rPr>
              <w:t>ouse</w:t>
            </w:r>
          </w:p>
        </w:tc>
      </w:tr>
      <w:tr w:rsidR="0074390A" w14:paraId="11CEDE84" w14:textId="77777777" w:rsidTr="00B30B2C">
        <w:tc>
          <w:tcPr>
            <w:tcW w:w="1562" w:type="dxa"/>
          </w:tcPr>
          <w:p w14:paraId="503BC2AC" w14:textId="07EF9304" w:rsidR="0074390A" w:rsidRDefault="0074390A" w:rsidP="00B16AB5">
            <w:pPr>
              <w:pStyle w:val="BodyTextIndent"/>
              <w:spacing w:after="0"/>
              <w:ind w:left="0"/>
              <w:jc w:val="center"/>
              <w:rPr>
                <w:rFonts w:ascii="Calibri" w:hAnsi="Calibri"/>
                <w:sz w:val="20"/>
                <w:szCs w:val="20"/>
              </w:rPr>
            </w:pPr>
            <w:r>
              <w:rPr>
                <w:rFonts w:ascii="Calibri" w:hAnsi="Calibri"/>
                <w:sz w:val="20"/>
                <w:szCs w:val="20"/>
              </w:rPr>
              <w:t>Hamlin Lane</w:t>
            </w:r>
          </w:p>
        </w:tc>
        <w:tc>
          <w:tcPr>
            <w:tcW w:w="1570" w:type="dxa"/>
          </w:tcPr>
          <w:p w14:paraId="1FA82B69" w14:textId="0CE7AD7D" w:rsidR="0074390A"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11961657" w14:textId="2EF74E42" w:rsidR="0074390A"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45E3CE1D" w14:textId="6D9A9C44" w:rsidR="0074390A" w:rsidRDefault="0074390A" w:rsidP="00B16AB5">
            <w:pPr>
              <w:pStyle w:val="BodyTextIndent"/>
              <w:spacing w:after="0"/>
              <w:ind w:left="0"/>
              <w:jc w:val="center"/>
              <w:rPr>
                <w:rFonts w:ascii="Calibri" w:hAnsi="Calibri"/>
                <w:sz w:val="20"/>
                <w:szCs w:val="20"/>
              </w:rPr>
            </w:pPr>
            <w:r>
              <w:rPr>
                <w:rFonts w:ascii="Calibri" w:hAnsi="Calibri"/>
                <w:sz w:val="20"/>
                <w:szCs w:val="20"/>
              </w:rPr>
              <w:t>800</w:t>
            </w:r>
          </w:p>
        </w:tc>
        <w:tc>
          <w:tcPr>
            <w:tcW w:w="1552" w:type="dxa"/>
          </w:tcPr>
          <w:p w14:paraId="4F670574" w14:textId="328E3534" w:rsidR="0074390A" w:rsidRDefault="0074390A" w:rsidP="00B16AB5">
            <w:pPr>
              <w:pStyle w:val="BodyTextIndent"/>
              <w:spacing w:after="0"/>
              <w:ind w:left="0"/>
              <w:jc w:val="center"/>
              <w:rPr>
                <w:rFonts w:ascii="Calibri" w:hAnsi="Calibri"/>
                <w:sz w:val="20"/>
                <w:szCs w:val="20"/>
              </w:rPr>
            </w:pPr>
            <w:r>
              <w:rPr>
                <w:rFonts w:ascii="Calibri" w:hAnsi="Calibri"/>
                <w:sz w:val="20"/>
                <w:szCs w:val="20"/>
              </w:rPr>
              <w:t>$1,900</w:t>
            </w:r>
          </w:p>
        </w:tc>
        <w:tc>
          <w:tcPr>
            <w:tcW w:w="1567" w:type="dxa"/>
          </w:tcPr>
          <w:p w14:paraId="3E490197" w14:textId="1366F4B4" w:rsidR="0074390A" w:rsidRDefault="003D28F9" w:rsidP="00B16AB5">
            <w:pPr>
              <w:pStyle w:val="BodyTextIndent"/>
              <w:spacing w:after="0"/>
              <w:ind w:left="0"/>
              <w:jc w:val="center"/>
              <w:rPr>
                <w:rFonts w:ascii="Calibri" w:hAnsi="Calibri"/>
                <w:sz w:val="20"/>
                <w:szCs w:val="20"/>
              </w:rPr>
            </w:pPr>
            <w:r>
              <w:rPr>
                <w:rFonts w:ascii="Calibri" w:hAnsi="Calibri"/>
                <w:sz w:val="20"/>
                <w:szCs w:val="20"/>
              </w:rPr>
              <w:t xml:space="preserve">Condo </w:t>
            </w:r>
          </w:p>
        </w:tc>
      </w:tr>
      <w:tr w:rsidR="0074390A" w14:paraId="4F8598C5" w14:textId="77777777" w:rsidTr="00B30B2C">
        <w:tc>
          <w:tcPr>
            <w:tcW w:w="1562" w:type="dxa"/>
          </w:tcPr>
          <w:p w14:paraId="60240439" w14:textId="1E66CA02" w:rsidR="0074390A" w:rsidRDefault="0074390A" w:rsidP="00B16AB5">
            <w:pPr>
              <w:pStyle w:val="BodyTextIndent"/>
              <w:spacing w:after="0"/>
              <w:ind w:left="0"/>
              <w:jc w:val="center"/>
              <w:rPr>
                <w:rFonts w:ascii="Calibri" w:hAnsi="Calibri"/>
                <w:sz w:val="20"/>
                <w:szCs w:val="20"/>
              </w:rPr>
            </w:pPr>
            <w:r>
              <w:rPr>
                <w:rFonts w:ascii="Calibri" w:hAnsi="Calibri"/>
                <w:sz w:val="20"/>
                <w:szCs w:val="20"/>
              </w:rPr>
              <w:t>Marshall Street</w:t>
            </w:r>
          </w:p>
        </w:tc>
        <w:tc>
          <w:tcPr>
            <w:tcW w:w="1570" w:type="dxa"/>
          </w:tcPr>
          <w:p w14:paraId="60C2D938" w14:textId="6860614D" w:rsidR="0074390A"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2E14235E" w14:textId="5481B81D" w:rsidR="0074390A"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559DA7D0" w14:textId="5D11DD78" w:rsidR="0074390A" w:rsidRDefault="0074390A" w:rsidP="00B16AB5">
            <w:pPr>
              <w:pStyle w:val="BodyTextIndent"/>
              <w:spacing w:after="0"/>
              <w:ind w:left="0"/>
              <w:jc w:val="center"/>
              <w:rPr>
                <w:rFonts w:ascii="Calibri" w:hAnsi="Calibri"/>
                <w:sz w:val="20"/>
                <w:szCs w:val="20"/>
              </w:rPr>
            </w:pPr>
            <w:r>
              <w:rPr>
                <w:rFonts w:ascii="Calibri" w:hAnsi="Calibri"/>
                <w:sz w:val="20"/>
                <w:szCs w:val="20"/>
              </w:rPr>
              <w:t>1,000</w:t>
            </w:r>
          </w:p>
        </w:tc>
        <w:tc>
          <w:tcPr>
            <w:tcW w:w="1552" w:type="dxa"/>
          </w:tcPr>
          <w:p w14:paraId="1C3BA829" w14:textId="3CE50B16" w:rsidR="0074390A" w:rsidRDefault="0074390A" w:rsidP="00B16AB5">
            <w:pPr>
              <w:pStyle w:val="BodyTextIndent"/>
              <w:spacing w:after="0"/>
              <w:ind w:left="0"/>
              <w:jc w:val="center"/>
              <w:rPr>
                <w:rFonts w:ascii="Calibri" w:hAnsi="Calibri"/>
                <w:sz w:val="20"/>
                <w:szCs w:val="20"/>
              </w:rPr>
            </w:pPr>
            <w:r>
              <w:rPr>
                <w:rFonts w:ascii="Calibri" w:hAnsi="Calibri"/>
                <w:sz w:val="20"/>
                <w:szCs w:val="20"/>
              </w:rPr>
              <w:t>$2,300</w:t>
            </w:r>
          </w:p>
        </w:tc>
        <w:tc>
          <w:tcPr>
            <w:tcW w:w="1567" w:type="dxa"/>
          </w:tcPr>
          <w:p w14:paraId="37AEFF51" w14:textId="6DD15E77" w:rsidR="0074390A" w:rsidRDefault="0074390A" w:rsidP="00B16AB5">
            <w:pPr>
              <w:pStyle w:val="BodyTextIndent"/>
              <w:spacing w:after="0"/>
              <w:ind w:left="0"/>
              <w:jc w:val="center"/>
              <w:rPr>
                <w:rFonts w:ascii="Calibri" w:hAnsi="Calibri"/>
                <w:sz w:val="20"/>
                <w:szCs w:val="20"/>
              </w:rPr>
            </w:pPr>
            <w:r>
              <w:rPr>
                <w:rFonts w:ascii="Calibri" w:hAnsi="Calibri"/>
                <w:sz w:val="20"/>
                <w:szCs w:val="20"/>
              </w:rPr>
              <w:t>2</w:t>
            </w:r>
            <w:r w:rsidRPr="0074390A">
              <w:rPr>
                <w:rFonts w:ascii="Calibri" w:hAnsi="Calibri"/>
                <w:sz w:val="20"/>
                <w:szCs w:val="20"/>
                <w:vertAlign w:val="superscript"/>
              </w:rPr>
              <w:t>nd</w:t>
            </w:r>
            <w:r>
              <w:rPr>
                <w:rFonts w:ascii="Calibri" w:hAnsi="Calibri"/>
                <w:sz w:val="20"/>
                <w:szCs w:val="20"/>
              </w:rPr>
              <w:t xml:space="preserve"> Floor of House</w:t>
            </w:r>
          </w:p>
        </w:tc>
      </w:tr>
      <w:tr w:rsidR="00B16AB5" w14:paraId="7F916552" w14:textId="77777777" w:rsidTr="00B30B2C">
        <w:tc>
          <w:tcPr>
            <w:tcW w:w="1562" w:type="dxa"/>
          </w:tcPr>
          <w:p w14:paraId="552BDBD4" w14:textId="3E22422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Pleasant Street</w:t>
            </w:r>
          </w:p>
        </w:tc>
        <w:tc>
          <w:tcPr>
            <w:tcW w:w="1570" w:type="dxa"/>
          </w:tcPr>
          <w:p w14:paraId="0E9D3234" w14:textId="43511FD9"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46" w:type="dxa"/>
          </w:tcPr>
          <w:p w14:paraId="3F9BB4BB" w14:textId="1A3F9DED"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53713A7B" w14:textId="5DB9CA63"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NA</w:t>
            </w:r>
          </w:p>
        </w:tc>
        <w:tc>
          <w:tcPr>
            <w:tcW w:w="1552" w:type="dxa"/>
          </w:tcPr>
          <w:p w14:paraId="39DD64A3" w14:textId="671FAFD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$2,500</w:t>
            </w:r>
          </w:p>
        </w:tc>
        <w:tc>
          <w:tcPr>
            <w:tcW w:w="1567" w:type="dxa"/>
          </w:tcPr>
          <w:p w14:paraId="7D6AA6E4" w14:textId="20D25128"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Apt. in House</w:t>
            </w:r>
          </w:p>
        </w:tc>
      </w:tr>
      <w:tr w:rsidR="00B16AB5" w14:paraId="2C842F32" w14:textId="77777777" w:rsidTr="00B30B2C">
        <w:tc>
          <w:tcPr>
            <w:tcW w:w="1562" w:type="dxa"/>
          </w:tcPr>
          <w:p w14:paraId="07E8FB98" w14:textId="471C3614"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Guild Road</w:t>
            </w:r>
          </w:p>
        </w:tc>
        <w:tc>
          <w:tcPr>
            <w:tcW w:w="1570" w:type="dxa"/>
          </w:tcPr>
          <w:p w14:paraId="1008B2FD" w14:textId="20538AA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38C7534D" w14:textId="3FFB56B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51D37E13" w14:textId="05EE8233"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1,400</w:t>
            </w:r>
          </w:p>
        </w:tc>
        <w:tc>
          <w:tcPr>
            <w:tcW w:w="1552" w:type="dxa"/>
          </w:tcPr>
          <w:p w14:paraId="39987538" w14:textId="76FFBEBF"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$2,300</w:t>
            </w:r>
          </w:p>
        </w:tc>
        <w:tc>
          <w:tcPr>
            <w:tcW w:w="1567" w:type="dxa"/>
          </w:tcPr>
          <w:p w14:paraId="28D5C8C6" w14:textId="3F3AA24B"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Townhouse</w:t>
            </w:r>
          </w:p>
        </w:tc>
      </w:tr>
      <w:tr w:rsidR="00B16AB5" w14:paraId="4C918F1B" w14:textId="77777777" w:rsidTr="00B30B2C">
        <w:tc>
          <w:tcPr>
            <w:tcW w:w="1562" w:type="dxa"/>
          </w:tcPr>
          <w:p w14:paraId="66134DC7" w14:textId="000428B8"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Great Plain Ave.</w:t>
            </w:r>
          </w:p>
        </w:tc>
        <w:tc>
          <w:tcPr>
            <w:tcW w:w="1570" w:type="dxa"/>
          </w:tcPr>
          <w:p w14:paraId="0D9BC97A" w14:textId="3A9AC195"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2C8CFC4D" w14:textId="5E014772"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37B7EB8B" w14:textId="31E84127"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1,200</w:t>
            </w:r>
          </w:p>
        </w:tc>
        <w:tc>
          <w:tcPr>
            <w:tcW w:w="1552" w:type="dxa"/>
          </w:tcPr>
          <w:p w14:paraId="25D3F79C" w14:textId="69C61B37"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$2,500</w:t>
            </w:r>
          </w:p>
        </w:tc>
        <w:tc>
          <w:tcPr>
            <w:tcW w:w="1567" w:type="dxa"/>
          </w:tcPr>
          <w:p w14:paraId="4FCED36B" w14:textId="31C99C48"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Duplex Apt.</w:t>
            </w:r>
          </w:p>
        </w:tc>
      </w:tr>
      <w:tr w:rsidR="00B16AB5" w14:paraId="170EAFB1" w14:textId="77777777" w:rsidTr="00B30B2C">
        <w:tc>
          <w:tcPr>
            <w:tcW w:w="1562" w:type="dxa"/>
          </w:tcPr>
          <w:p w14:paraId="072BD37B" w14:textId="0B627CCA" w:rsidR="00B16AB5" w:rsidRDefault="0074390A" w:rsidP="00B16AB5">
            <w:pPr>
              <w:pStyle w:val="BodyTextIndent"/>
              <w:spacing w:after="0"/>
              <w:ind w:left="0"/>
              <w:jc w:val="center"/>
              <w:rPr>
                <w:rFonts w:ascii="Calibri" w:hAnsi="Calibri"/>
                <w:sz w:val="20"/>
                <w:szCs w:val="20"/>
              </w:rPr>
            </w:pPr>
            <w:r>
              <w:rPr>
                <w:rFonts w:ascii="Calibri" w:hAnsi="Calibri"/>
                <w:sz w:val="20"/>
                <w:szCs w:val="20"/>
              </w:rPr>
              <w:t>Maple Street</w:t>
            </w:r>
          </w:p>
        </w:tc>
        <w:tc>
          <w:tcPr>
            <w:tcW w:w="1570" w:type="dxa"/>
          </w:tcPr>
          <w:p w14:paraId="375CD2E7" w14:textId="5C59FF2A" w:rsidR="00B16AB5"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7F13AAC0" w14:textId="039EC76D" w:rsidR="00B16AB5" w:rsidRDefault="0074390A" w:rsidP="00B16AB5">
            <w:pPr>
              <w:pStyle w:val="BodyTextIndent"/>
              <w:spacing w:after="0"/>
              <w:ind w:left="0"/>
              <w:jc w:val="center"/>
              <w:rPr>
                <w:rFonts w:ascii="Calibri" w:hAnsi="Calibri"/>
                <w:sz w:val="20"/>
                <w:szCs w:val="20"/>
              </w:rPr>
            </w:pPr>
            <w:r>
              <w:rPr>
                <w:rFonts w:ascii="Calibri" w:hAnsi="Calibri"/>
                <w:sz w:val="20"/>
                <w:szCs w:val="20"/>
              </w:rPr>
              <w:t>1</w:t>
            </w:r>
          </w:p>
        </w:tc>
        <w:tc>
          <w:tcPr>
            <w:tcW w:w="1553" w:type="dxa"/>
          </w:tcPr>
          <w:p w14:paraId="308A88DA" w14:textId="20B33625" w:rsidR="00B16AB5" w:rsidRDefault="0074390A" w:rsidP="00B16AB5">
            <w:pPr>
              <w:pStyle w:val="BodyTextIndent"/>
              <w:spacing w:after="0"/>
              <w:ind w:left="0"/>
              <w:jc w:val="center"/>
              <w:rPr>
                <w:rFonts w:ascii="Calibri" w:hAnsi="Calibri"/>
                <w:sz w:val="20"/>
                <w:szCs w:val="20"/>
              </w:rPr>
            </w:pPr>
            <w:r>
              <w:rPr>
                <w:rFonts w:ascii="Calibri" w:hAnsi="Calibri"/>
                <w:sz w:val="20"/>
                <w:szCs w:val="20"/>
              </w:rPr>
              <w:t>1,200</w:t>
            </w:r>
          </w:p>
        </w:tc>
        <w:tc>
          <w:tcPr>
            <w:tcW w:w="1552" w:type="dxa"/>
          </w:tcPr>
          <w:p w14:paraId="4DB0EBD6" w14:textId="2B8A4E4A" w:rsidR="00B16AB5" w:rsidRDefault="0074390A" w:rsidP="00B16AB5">
            <w:pPr>
              <w:pStyle w:val="BodyTextIndent"/>
              <w:spacing w:after="0"/>
              <w:ind w:left="0"/>
              <w:jc w:val="center"/>
              <w:rPr>
                <w:rFonts w:ascii="Calibri" w:hAnsi="Calibri"/>
                <w:sz w:val="20"/>
                <w:szCs w:val="20"/>
              </w:rPr>
            </w:pPr>
            <w:r>
              <w:rPr>
                <w:rFonts w:ascii="Calibri" w:hAnsi="Calibri"/>
                <w:sz w:val="20"/>
                <w:szCs w:val="20"/>
              </w:rPr>
              <w:t>$2,800</w:t>
            </w:r>
          </w:p>
        </w:tc>
        <w:tc>
          <w:tcPr>
            <w:tcW w:w="1567" w:type="dxa"/>
          </w:tcPr>
          <w:p w14:paraId="17544603" w14:textId="1C8067A7"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Townhouse</w:t>
            </w:r>
          </w:p>
        </w:tc>
      </w:tr>
      <w:tr w:rsidR="00B16AB5" w14:paraId="63A5A276" w14:textId="77777777" w:rsidTr="00B30B2C">
        <w:tc>
          <w:tcPr>
            <w:tcW w:w="1562" w:type="dxa"/>
          </w:tcPr>
          <w:p w14:paraId="2976E189" w14:textId="54E8F010" w:rsidR="00B16AB5" w:rsidRDefault="0074390A" w:rsidP="00B16AB5">
            <w:pPr>
              <w:pStyle w:val="BodyTextIndent"/>
              <w:spacing w:after="0"/>
              <w:ind w:left="0"/>
              <w:jc w:val="center"/>
              <w:rPr>
                <w:rFonts w:ascii="Calibri" w:hAnsi="Calibri"/>
                <w:sz w:val="20"/>
                <w:szCs w:val="20"/>
              </w:rPr>
            </w:pPr>
            <w:r>
              <w:rPr>
                <w:rFonts w:ascii="Calibri" w:hAnsi="Calibri"/>
                <w:sz w:val="20"/>
                <w:szCs w:val="20"/>
              </w:rPr>
              <w:t>Hillcrest Road</w:t>
            </w:r>
          </w:p>
        </w:tc>
        <w:tc>
          <w:tcPr>
            <w:tcW w:w="1570" w:type="dxa"/>
          </w:tcPr>
          <w:p w14:paraId="50B6FC24" w14:textId="074E6B29" w:rsidR="00B16AB5"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16F3D3D6" w14:textId="6671B319" w:rsidR="00B16AB5"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23127BA8" w14:textId="5A199649" w:rsidR="00B16AB5" w:rsidRDefault="0074390A" w:rsidP="00B16AB5">
            <w:pPr>
              <w:pStyle w:val="BodyTextIndent"/>
              <w:spacing w:after="0"/>
              <w:ind w:left="0"/>
              <w:jc w:val="center"/>
              <w:rPr>
                <w:rFonts w:ascii="Calibri" w:hAnsi="Calibri"/>
                <w:sz w:val="20"/>
                <w:szCs w:val="20"/>
              </w:rPr>
            </w:pPr>
            <w:r>
              <w:rPr>
                <w:rFonts w:ascii="Calibri" w:hAnsi="Calibri"/>
                <w:sz w:val="20"/>
                <w:szCs w:val="20"/>
              </w:rPr>
              <w:t>1,825</w:t>
            </w:r>
          </w:p>
        </w:tc>
        <w:tc>
          <w:tcPr>
            <w:tcW w:w="1552" w:type="dxa"/>
          </w:tcPr>
          <w:p w14:paraId="171E9761" w14:textId="4FC915FF" w:rsidR="00B16AB5" w:rsidRDefault="0074390A" w:rsidP="00B16AB5">
            <w:pPr>
              <w:pStyle w:val="BodyTextIndent"/>
              <w:spacing w:after="0"/>
              <w:ind w:left="0"/>
              <w:jc w:val="center"/>
              <w:rPr>
                <w:rFonts w:ascii="Calibri" w:hAnsi="Calibri"/>
                <w:sz w:val="20"/>
                <w:szCs w:val="20"/>
              </w:rPr>
            </w:pPr>
            <w:r>
              <w:rPr>
                <w:rFonts w:ascii="Calibri" w:hAnsi="Calibri"/>
                <w:sz w:val="20"/>
                <w:szCs w:val="20"/>
              </w:rPr>
              <w:t>$4,000</w:t>
            </w:r>
          </w:p>
        </w:tc>
        <w:tc>
          <w:tcPr>
            <w:tcW w:w="1567" w:type="dxa"/>
          </w:tcPr>
          <w:p w14:paraId="0BA21253" w14:textId="69F3FCB8"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House</w:t>
            </w:r>
          </w:p>
        </w:tc>
      </w:tr>
      <w:tr w:rsidR="00B16AB5" w14:paraId="6D0948D9" w14:textId="77777777" w:rsidTr="00B30B2C">
        <w:tc>
          <w:tcPr>
            <w:tcW w:w="1562" w:type="dxa"/>
          </w:tcPr>
          <w:p w14:paraId="64567E6E" w14:textId="64ADDF79"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Forest Street</w:t>
            </w:r>
          </w:p>
        </w:tc>
        <w:tc>
          <w:tcPr>
            <w:tcW w:w="1570" w:type="dxa"/>
          </w:tcPr>
          <w:p w14:paraId="653D1B93" w14:textId="7D6310C7"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7457B988" w14:textId="5C878ABE"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64757C28" w14:textId="3A357DF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1,604</w:t>
            </w:r>
          </w:p>
        </w:tc>
        <w:tc>
          <w:tcPr>
            <w:tcW w:w="1552" w:type="dxa"/>
          </w:tcPr>
          <w:p w14:paraId="0A28FE26" w14:textId="5C548D25"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$4,000</w:t>
            </w:r>
          </w:p>
        </w:tc>
        <w:tc>
          <w:tcPr>
            <w:tcW w:w="1567" w:type="dxa"/>
          </w:tcPr>
          <w:p w14:paraId="61AAB5B2" w14:textId="7D7825FD"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House</w:t>
            </w:r>
          </w:p>
        </w:tc>
      </w:tr>
      <w:tr w:rsidR="00B16AB5" w14:paraId="4E3D0CE6" w14:textId="77777777" w:rsidTr="00B30B2C">
        <w:tc>
          <w:tcPr>
            <w:tcW w:w="1562" w:type="dxa"/>
          </w:tcPr>
          <w:p w14:paraId="183CAF36" w14:textId="30C4E028"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Standish Road</w:t>
            </w:r>
          </w:p>
        </w:tc>
        <w:tc>
          <w:tcPr>
            <w:tcW w:w="1570" w:type="dxa"/>
          </w:tcPr>
          <w:p w14:paraId="6B1A6030" w14:textId="0BD838D3"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46" w:type="dxa"/>
          </w:tcPr>
          <w:p w14:paraId="6DE90CC4" w14:textId="0108A569"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209BBACF" w14:textId="0865DFB6"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1,837</w:t>
            </w:r>
          </w:p>
        </w:tc>
        <w:tc>
          <w:tcPr>
            <w:tcW w:w="1552" w:type="dxa"/>
          </w:tcPr>
          <w:p w14:paraId="115A5791" w14:textId="55479220"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$4,500</w:t>
            </w:r>
          </w:p>
        </w:tc>
        <w:tc>
          <w:tcPr>
            <w:tcW w:w="1567" w:type="dxa"/>
          </w:tcPr>
          <w:p w14:paraId="51DE0A46" w14:textId="2B5F07A4"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House</w:t>
            </w:r>
          </w:p>
        </w:tc>
      </w:tr>
      <w:tr w:rsidR="00B16AB5" w14:paraId="1E008554" w14:textId="77777777" w:rsidTr="00B30B2C">
        <w:tc>
          <w:tcPr>
            <w:tcW w:w="1562" w:type="dxa"/>
          </w:tcPr>
          <w:p w14:paraId="1724BBDC" w14:textId="228CDA7A"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Greenough St.</w:t>
            </w:r>
          </w:p>
        </w:tc>
        <w:tc>
          <w:tcPr>
            <w:tcW w:w="1570" w:type="dxa"/>
          </w:tcPr>
          <w:p w14:paraId="77479466" w14:textId="10A64ACC"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4</w:t>
            </w:r>
          </w:p>
        </w:tc>
        <w:tc>
          <w:tcPr>
            <w:tcW w:w="1546" w:type="dxa"/>
          </w:tcPr>
          <w:p w14:paraId="10151713" w14:textId="56902ABB"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3</w:t>
            </w:r>
          </w:p>
        </w:tc>
        <w:tc>
          <w:tcPr>
            <w:tcW w:w="1553" w:type="dxa"/>
          </w:tcPr>
          <w:p w14:paraId="1422FDDC" w14:textId="2AE426D6"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2,606</w:t>
            </w:r>
          </w:p>
        </w:tc>
        <w:tc>
          <w:tcPr>
            <w:tcW w:w="1552" w:type="dxa"/>
          </w:tcPr>
          <w:p w14:paraId="1D719F1D" w14:textId="51CA0B27" w:rsidR="00B16AB5" w:rsidRPr="00882674" w:rsidRDefault="0074390A" w:rsidP="00B16AB5">
            <w:pPr>
              <w:pStyle w:val="BodyTextIndent"/>
              <w:spacing w:after="0"/>
              <w:ind w:left="0"/>
              <w:jc w:val="center"/>
              <w:rPr>
                <w:rFonts w:ascii="Calibri" w:hAnsi="Calibri"/>
                <w:sz w:val="20"/>
                <w:szCs w:val="20"/>
              </w:rPr>
            </w:pPr>
            <w:r>
              <w:rPr>
                <w:rFonts w:ascii="Calibri" w:hAnsi="Calibri"/>
                <w:sz w:val="20"/>
                <w:szCs w:val="20"/>
              </w:rPr>
              <w:t>$2,500</w:t>
            </w:r>
          </w:p>
        </w:tc>
        <w:tc>
          <w:tcPr>
            <w:tcW w:w="1567" w:type="dxa"/>
          </w:tcPr>
          <w:p w14:paraId="2AF1EC3C" w14:textId="571F3674"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Duplex Apt.</w:t>
            </w:r>
          </w:p>
        </w:tc>
      </w:tr>
      <w:tr w:rsidR="00B16AB5" w14:paraId="695C7255" w14:textId="77777777" w:rsidTr="00B30B2C">
        <w:tc>
          <w:tcPr>
            <w:tcW w:w="1562" w:type="dxa"/>
          </w:tcPr>
          <w:p w14:paraId="15079E97" w14:textId="02A569DC"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Carol Road</w:t>
            </w:r>
          </w:p>
        </w:tc>
        <w:tc>
          <w:tcPr>
            <w:tcW w:w="1570" w:type="dxa"/>
          </w:tcPr>
          <w:p w14:paraId="605BCDBC" w14:textId="1EDAC888"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5</w:t>
            </w:r>
          </w:p>
        </w:tc>
        <w:tc>
          <w:tcPr>
            <w:tcW w:w="1546" w:type="dxa"/>
          </w:tcPr>
          <w:p w14:paraId="3CF09F0E" w14:textId="4A4BD84F"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2</w:t>
            </w:r>
          </w:p>
        </w:tc>
        <w:tc>
          <w:tcPr>
            <w:tcW w:w="1553" w:type="dxa"/>
          </w:tcPr>
          <w:p w14:paraId="7612BC4A" w14:textId="7CE1B844"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1,956</w:t>
            </w:r>
          </w:p>
        </w:tc>
        <w:tc>
          <w:tcPr>
            <w:tcW w:w="1552" w:type="dxa"/>
          </w:tcPr>
          <w:p w14:paraId="47CE6BC7" w14:textId="1A74AF94"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$3,800</w:t>
            </w:r>
          </w:p>
        </w:tc>
        <w:tc>
          <w:tcPr>
            <w:tcW w:w="1567" w:type="dxa"/>
          </w:tcPr>
          <w:p w14:paraId="550985BC" w14:textId="68332B0E"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House</w:t>
            </w:r>
          </w:p>
        </w:tc>
      </w:tr>
      <w:tr w:rsidR="00B16AB5" w14:paraId="19243350" w14:textId="77777777" w:rsidTr="00B30B2C">
        <w:tc>
          <w:tcPr>
            <w:tcW w:w="1562" w:type="dxa"/>
          </w:tcPr>
          <w:p w14:paraId="1A9B1C72" w14:textId="3EEEFB29"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Myrtle Street</w:t>
            </w:r>
          </w:p>
        </w:tc>
        <w:tc>
          <w:tcPr>
            <w:tcW w:w="1570" w:type="dxa"/>
          </w:tcPr>
          <w:p w14:paraId="4B9EF4AA" w14:textId="7126318D"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5</w:t>
            </w:r>
          </w:p>
        </w:tc>
        <w:tc>
          <w:tcPr>
            <w:tcW w:w="1546" w:type="dxa"/>
          </w:tcPr>
          <w:p w14:paraId="2C1D00E4" w14:textId="09D1DA7D"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2.5</w:t>
            </w:r>
          </w:p>
        </w:tc>
        <w:tc>
          <w:tcPr>
            <w:tcW w:w="1553" w:type="dxa"/>
          </w:tcPr>
          <w:p w14:paraId="6FB7EA37" w14:textId="4D96AF80"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2,620</w:t>
            </w:r>
          </w:p>
        </w:tc>
        <w:tc>
          <w:tcPr>
            <w:tcW w:w="1552" w:type="dxa"/>
          </w:tcPr>
          <w:p w14:paraId="7DA13371" w14:textId="2367F074"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$4,500</w:t>
            </w:r>
          </w:p>
        </w:tc>
        <w:tc>
          <w:tcPr>
            <w:tcW w:w="1567" w:type="dxa"/>
          </w:tcPr>
          <w:p w14:paraId="2C3F72CF" w14:textId="3F5211DE" w:rsidR="00B16AB5" w:rsidRPr="00882674" w:rsidRDefault="003D28F9" w:rsidP="00B16AB5">
            <w:pPr>
              <w:pStyle w:val="BodyTextIndent"/>
              <w:spacing w:after="0"/>
              <w:ind w:left="0"/>
              <w:jc w:val="center"/>
              <w:rPr>
                <w:rFonts w:ascii="Calibri" w:hAnsi="Calibri"/>
                <w:sz w:val="20"/>
                <w:szCs w:val="20"/>
              </w:rPr>
            </w:pPr>
            <w:r>
              <w:rPr>
                <w:rFonts w:ascii="Calibri" w:hAnsi="Calibri"/>
                <w:sz w:val="20"/>
                <w:szCs w:val="20"/>
              </w:rPr>
              <w:t>House</w:t>
            </w:r>
          </w:p>
        </w:tc>
      </w:tr>
    </w:tbl>
    <w:p w14:paraId="33ABFE96" w14:textId="24753309" w:rsidR="00362901" w:rsidRPr="003D28F9" w:rsidRDefault="003D28F9" w:rsidP="00615DA4">
      <w:pPr>
        <w:pStyle w:val="BodyTextIndent"/>
        <w:spacing w:after="0"/>
        <w:ind w:left="0"/>
        <w:jc w:val="both"/>
        <w:rPr>
          <w:rFonts w:ascii="Calibri" w:hAnsi="Calibri"/>
          <w:sz w:val="20"/>
          <w:szCs w:val="20"/>
        </w:rPr>
      </w:pPr>
      <w:r w:rsidRPr="003D28F9">
        <w:rPr>
          <w:rFonts w:ascii="Calibri" w:hAnsi="Calibri"/>
          <w:sz w:val="20"/>
          <w:szCs w:val="20"/>
        </w:rPr>
        <w:t xml:space="preserve">Source: Internet listings, November 16, 2021. </w:t>
      </w:r>
    </w:p>
    <w:p w14:paraId="4D49D4CA" w14:textId="77777777" w:rsidR="003D28F9" w:rsidRPr="008B375C" w:rsidRDefault="003D28F9" w:rsidP="00615DA4">
      <w:pPr>
        <w:pStyle w:val="BodyTextIndent"/>
        <w:spacing w:after="0"/>
        <w:ind w:left="0"/>
        <w:jc w:val="both"/>
        <w:rPr>
          <w:rFonts w:ascii="Calibri" w:hAnsi="Calibri"/>
          <w:sz w:val="22"/>
          <w:szCs w:val="22"/>
        </w:rPr>
      </w:pPr>
    </w:p>
    <w:p w14:paraId="5A0FD8E7" w14:textId="5169C3C2" w:rsidR="008772FC" w:rsidRPr="008B375C" w:rsidRDefault="008772FC" w:rsidP="00615DA4">
      <w:pPr>
        <w:pStyle w:val="BodyTextIndent"/>
        <w:spacing w:after="0"/>
        <w:ind w:left="0"/>
        <w:jc w:val="both"/>
        <w:rPr>
          <w:rFonts w:ascii="Calibri" w:hAnsi="Calibri"/>
          <w:sz w:val="22"/>
          <w:szCs w:val="22"/>
        </w:rPr>
      </w:pPr>
      <w:r w:rsidRPr="008B375C">
        <w:rPr>
          <w:rFonts w:ascii="Calibri" w:hAnsi="Calibri"/>
          <w:sz w:val="22"/>
          <w:szCs w:val="22"/>
        </w:rPr>
        <w:t xml:space="preserve">Most of the apartments </w:t>
      </w:r>
      <w:r w:rsidR="00536C2C">
        <w:rPr>
          <w:rFonts w:ascii="Calibri" w:hAnsi="Calibri"/>
          <w:sz w:val="22"/>
          <w:szCs w:val="22"/>
        </w:rPr>
        <w:t xml:space="preserve">also </w:t>
      </w:r>
      <w:r w:rsidRPr="008B375C">
        <w:rPr>
          <w:rFonts w:ascii="Calibri" w:hAnsi="Calibri"/>
          <w:sz w:val="22"/>
          <w:szCs w:val="22"/>
        </w:rPr>
        <w:t>require first and last month rent plus a security deposit equivalent to as much as a month’s rent.  For a $2,</w:t>
      </w:r>
      <w:r w:rsidR="00467351">
        <w:rPr>
          <w:rFonts w:ascii="Calibri" w:hAnsi="Calibri"/>
          <w:sz w:val="22"/>
          <w:szCs w:val="22"/>
        </w:rPr>
        <w:t>5</w:t>
      </w:r>
      <w:r w:rsidRPr="008B375C">
        <w:rPr>
          <w:rFonts w:ascii="Calibri" w:hAnsi="Calibri"/>
          <w:sz w:val="22"/>
          <w:szCs w:val="22"/>
        </w:rPr>
        <w:t>00 apartment, that totals $</w:t>
      </w:r>
      <w:r w:rsidR="00467351">
        <w:rPr>
          <w:rFonts w:ascii="Calibri" w:hAnsi="Calibri"/>
          <w:sz w:val="22"/>
          <w:szCs w:val="22"/>
        </w:rPr>
        <w:t>7,5</w:t>
      </w:r>
      <w:r w:rsidRPr="008B375C">
        <w:rPr>
          <w:rFonts w:ascii="Calibri" w:hAnsi="Calibri"/>
          <w:sz w:val="22"/>
          <w:szCs w:val="22"/>
        </w:rPr>
        <w:t xml:space="preserve">00 in up-front cash, an amount that many prospective tenants are hard-pressed to </w:t>
      </w:r>
      <w:r w:rsidR="000B4F11">
        <w:rPr>
          <w:rFonts w:ascii="Calibri" w:hAnsi="Calibri"/>
          <w:sz w:val="22"/>
          <w:szCs w:val="22"/>
        </w:rPr>
        <w:t>afford</w:t>
      </w:r>
      <w:r w:rsidRPr="008B375C">
        <w:rPr>
          <w:rFonts w:ascii="Calibri" w:hAnsi="Calibri"/>
          <w:sz w:val="22"/>
          <w:szCs w:val="22"/>
        </w:rPr>
        <w:t xml:space="preserve">. </w:t>
      </w:r>
      <w:r w:rsidR="00467351">
        <w:rPr>
          <w:rFonts w:ascii="Calibri" w:hAnsi="Calibri"/>
          <w:sz w:val="22"/>
          <w:szCs w:val="22"/>
        </w:rPr>
        <w:t xml:space="preserve"> Some listings even added a broker’s fee as well</w:t>
      </w:r>
      <w:r w:rsidRPr="008B375C">
        <w:rPr>
          <w:rFonts w:ascii="Calibri" w:hAnsi="Calibri"/>
          <w:sz w:val="22"/>
          <w:szCs w:val="22"/>
        </w:rPr>
        <w:t>.</w:t>
      </w:r>
    </w:p>
    <w:p w14:paraId="2D00F90D" w14:textId="77777777" w:rsidR="008772FC" w:rsidRDefault="008772FC" w:rsidP="00615DA4">
      <w:pPr>
        <w:jc w:val="both"/>
        <w:rPr>
          <w:rFonts w:ascii="Calibri" w:hAnsi="Calibri"/>
          <w:b/>
          <w:bCs/>
          <w:sz w:val="22"/>
          <w:szCs w:val="22"/>
        </w:rPr>
      </w:pPr>
    </w:p>
    <w:p w14:paraId="195F271D" w14:textId="457AB622" w:rsidR="00084BC6" w:rsidRDefault="00ED4988" w:rsidP="00615DA4">
      <w:pPr>
        <w:jc w:val="both"/>
        <w:rPr>
          <w:rFonts w:ascii="Calibri" w:hAnsi="Calibri"/>
          <w:bCs/>
          <w:sz w:val="22"/>
          <w:szCs w:val="22"/>
        </w:rPr>
      </w:pPr>
      <w:r>
        <w:rPr>
          <w:rFonts w:ascii="Calibri" w:hAnsi="Calibri"/>
          <w:bCs/>
          <w:sz w:val="22"/>
          <w:szCs w:val="22"/>
        </w:rPr>
        <w:t xml:space="preserve">Table </w:t>
      </w:r>
      <w:r w:rsidR="003D28F9">
        <w:rPr>
          <w:rFonts w:ascii="Calibri" w:hAnsi="Calibri"/>
          <w:bCs/>
          <w:sz w:val="22"/>
          <w:szCs w:val="22"/>
        </w:rPr>
        <w:t>III-3</w:t>
      </w:r>
      <w:r w:rsidR="0028014C">
        <w:rPr>
          <w:rFonts w:ascii="Calibri" w:hAnsi="Calibri"/>
          <w:bCs/>
          <w:sz w:val="22"/>
          <w:szCs w:val="22"/>
        </w:rPr>
        <w:t>5</w:t>
      </w:r>
      <w:r>
        <w:rPr>
          <w:rFonts w:ascii="Calibri" w:hAnsi="Calibri"/>
          <w:bCs/>
          <w:sz w:val="22"/>
          <w:szCs w:val="22"/>
        </w:rPr>
        <w:t xml:space="preserve"> provides </w:t>
      </w:r>
      <w:r w:rsidR="003D28F9">
        <w:rPr>
          <w:rFonts w:ascii="Calibri" w:hAnsi="Calibri"/>
          <w:bCs/>
          <w:sz w:val="22"/>
          <w:szCs w:val="22"/>
        </w:rPr>
        <w:t xml:space="preserve">HUD </w:t>
      </w:r>
      <w:r>
        <w:rPr>
          <w:rFonts w:ascii="Calibri" w:hAnsi="Calibri"/>
          <w:bCs/>
          <w:sz w:val="22"/>
          <w:szCs w:val="22"/>
        </w:rPr>
        <w:t xml:space="preserve">Fair </w:t>
      </w:r>
      <w:r w:rsidR="00084BC6">
        <w:rPr>
          <w:rFonts w:ascii="Calibri" w:hAnsi="Calibri"/>
          <w:bCs/>
          <w:sz w:val="22"/>
          <w:szCs w:val="22"/>
        </w:rPr>
        <w:t>Market Rents (FMRs)</w:t>
      </w:r>
      <w:r>
        <w:rPr>
          <w:rFonts w:ascii="Calibri" w:hAnsi="Calibri"/>
          <w:bCs/>
          <w:sz w:val="22"/>
          <w:szCs w:val="22"/>
        </w:rPr>
        <w:t xml:space="preserve"> for the Boston area</w:t>
      </w:r>
      <w:r w:rsidR="00084BC6">
        <w:rPr>
          <w:rFonts w:ascii="Calibri" w:hAnsi="Calibri"/>
          <w:bCs/>
          <w:sz w:val="22"/>
          <w:szCs w:val="22"/>
        </w:rPr>
        <w:t xml:space="preserve"> that are the rent limits that are applied </w:t>
      </w:r>
      <w:r w:rsidR="000E479F">
        <w:rPr>
          <w:rFonts w:ascii="Calibri" w:hAnsi="Calibri"/>
          <w:bCs/>
          <w:sz w:val="22"/>
          <w:szCs w:val="22"/>
        </w:rPr>
        <w:t>to</w:t>
      </w:r>
      <w:r w:rsidR="00084BC6">
        <w:rPr>
          <w:rFonts w:ascii="Calibri" w:hAnsi="Calibri"/>
          <w:bCs/>
          <w:sz w:val="22"/>
          <w:szCs w:val="22"/>
        </w:rPr>
        <w:t xml:space="preserve"> Section 8 Housing Choice Vouchers and some other rental subsidy programs, adjusted</w:t>
      </w:r>
      <w:r w:rsidR="003D28F9">
        <w:rPr>
          <w:rFonts w:ascii="Calibri" w:hAnsi="Calibri"/>
          <w:bCs/>
          <w:sz w:val="22"/>
          <w:szCs w:val="22"/>
        </w:rPr>
        <w:t xml:space="preserve"> annually</w:t>
      </w:r>
      <w:r w:rsidR="00084BC6">
        <w:rPr>
          <w:rFonts w:ascii="Calibri" w:hAnsi="Calibri"/>
          <w:bCs/>
          <w:sz w:val="22"/>
          <w:szCs w:val="22"/>
        </w:rPr>
        <w:t xml:space="preserve"> by </w:t>
      </w:r>
      <w:r w:rsidR="00467351">
        <w:rPr>
          <w:rFonts w:ascii="Calibri" w:hAnsi="Calibri"/>
          <w:bCs/>
          <w:sz w:val="22"/>
          <w:szCs w:val="22"/>
        </w:rPr>
        <w:t xml:space="preserve">the </w:t>
      </w:r>
      <w:r>
        <w:rPr>
          <w:rFonts w:ascii="Calibri" w:hAnsi="Calibri"/>
          <w:bCs/>
          <w:sz w:val="22"/>
          <w:szCs w:val="22"/>
        </w:rPr>
        <w:t xml:space="preserve">number of bedrooms.  These rents are meant to reflect </w:t>
      </w:r>
      <w:r w:rsidR="00F94804">
        <w:rPr>
          <w:rFonts w:ascii="Calibri" w:hAnsi="Calibri"/>
          <w:bCs/>
          <w:sz w:val="22"/>
          <w:szCs w:val="22"/>
        </w:rPr>
        <w:t xml:space="preserve">the cost of modest not luxurious </w:t>
      </w:r>
      <w:r w:rsidR="00F94804">
        <w:rPr>
          <w:rFonts w:ascii="Calibri" w:hAnsi="Calibri"/>
          <w:bCs/>
          <w:sz w:val="22"/>
          <w:szCs w:val="22"/>
        </w:rPr>
        <w:lastRenderedPageBreak/>
        <w:t>rental units in the community</w:t>
      </w:r>
      <w:r w:rsidR="000B4F11">
        <w:rPr>
          <w:rFonts w:ascii="Calibri" w:hAnsi="Calibri"/>
          <w:bCs/>
          <w:sz w:val="22"/>
          <w:szCs w:val="22"/>
        </w:rPr>
        <w:t>.  G</w:t>
      </w:r>
      <w:r>
        <w:rPr>
          <w:rFonts w:ascii="Calibri" w:hAnsi="Calibri"/>
          <w:bCs/>
          <w:sz w:val="22"/>
          <w:szCs w:val="22"/>
        </w:rPr>
        <w:t xml:space="preserve">iven the market rents </w:t>
      </w:r>
      <w:r w:rsidR="000E479F">
        <w:rPr>
          <w:rFonts w:ascii="Calibri" w:hAnsi="Calibri"/>
          <w:bCs/>
          <w:sz w:val="22"/>
          <w:szCs w:val="22"/>
        </w:rPr>
        <w:t>listed</w:t>
      </w:r>
      <w:r>
        <w:rPr>
          <w:rFonts w:ascii="Calibri" w:hAnsi="Calibri"/>
          <w:bCs/>
          <w:sz w:val="22"/>
          <w:szCs w:val="22"/>
        </w:rPr>
        <w:t xml:space="preserve"> </w:t>
      </w:r>
      <w:r w:rsidR="00F70E20">
        <w:rPr>
          <w:rFonts w:ascii="Calibri" w:hAnsi="Calibri"/>
          <w:bCs/>
          <w:sz w:val="22"/>
          <w:szCs w:val="22"/>
        </w:rPr>
        <w:t xml:space="preserve">in Table </w:t>
      </w:r>
      <w:r w:rsidR="003D28F9">
        <w:rPr>
          <w:rFonts w:ascii="Calibri" w:hAnsi="Calibri"/>
          <w:bCs/>
          <w:sz w:val="22"/>
          <w:szCs w:val="22"/>
        </w:rPr>
        <w:t>III-33</w:t>
      </w:r>
      <w:r>
        <w:rPr>
          <w:rFonts w:ascii="Calibri" w:hAnsi="Calibri"/>
          <w:bCs/>
          <w:sz w:val="22"/>
          <w:szCs w:val="22"/>
        </w:rPr>
        <w:t xml:space="preserve">, it </w:t>
      </w:r>
      <w:r w:rsidR="00467351">
        <w:rPr>
          <w:rFonts w:ascii="Calibri" w:hAnsi="Calibri"/>
          <w:bCs/>
          <w:sz w:val="22"/>
          <w:szCs w:val="22"/>
        </w:rPr>
        <w:t>becomes clear why</w:t>
      </w:r>
      <w:r>
        <w:rPr>
          <w:rFonts w:ascii="Calibri" w:hAnsi="Calibri"/>
          <w:bCs/>
          <w:sz w:val="22"/>
          <w:szCs w:val="22"/>
        </w:rPr>
        <w:t xml:space="preserve"> Section 8 voucher holders</w:t>
      </w:r>
      <w:r w:rsidR="00467351">
        <w:rPr>
          <w:rFonts w:ascii="Calibri" w:hAnsi="Calibri"/>
          <w:bCs/>
          <w:sz w:val="22"/>
          <w:szCs w:val="22"/>
        </w:rPr>
        <w:t xml:space="preserve"> </w:t>
      </w:r>
      <w:r w:rsidR="003D28F9">
        <w:rPr>
          <w:rFonts w:ascii="Calibri" w:hAnsi="Calibri"/>
          <w:bCs/>
          <w:sz w:val="22"/>
          <w:szCs w:val="22"/>
        </w:rPr>
        <w:t xml:space="preserve">can </w:t>
      </w:r>
      <w:r w:rsidR="00467351">
        <w:rPr>
          <w:rFonts w:ascii="Calibri" w:hAnsi="Calibri"/>
          <w:bCs/>
          <w:sz w:val="22"/>
          <w:szCs w:val="22"/>
        </w:rPr>
        <w:t>encounter problems finding</w:t>
      </w:r>
      <w:r>
        <w:rPr>
          <w:rFonts w:ascii="Calibri" w:hAnsi="Calibri"/>
          <w:bCs/>
          <w:sz w:val="22"/>
          <w:szCs w:val="22"/>
        </w:rPr>
        <w:t xml:space="preserve"> rental opportunities</w:t>
      </w:r>
      <w:r w:rsidR="00F040F6">
        <w:rPr>
          <w:rFonts w:ascii="Calibri" w:hAnsi="Calibri"/>
          <w:bCs/>
          <w:sz w:val="22"/>
          <w:szCs w:val="22"/>
        </w:rPr>
        <w:t xml:space="preserve"> in Needham below</w:t>
      </w:r>
      <w:r>
        <w:rPr>
          <w:rFonts w:ascii="Calibri" w:hAnsi="Calibri"/>
          <w:bCs/>
          <w:sz w:val="22"/>
          <w:szCs w:val="22"/>
        </w:rPr>
        <w:t xml:space="preserve"> these caps.</w:t>
      </w:r>
      <w:r w:rsidR="007267E6">
        <w:rPr>
          <w:rFonts w:ascii="Calibri" w:hAnsi="Calibri"/>
          <w:bCs/>
          <w:sz w:val="22"/>
          <w:szCs w:val="22"/>
        </w:rPr>
        <w:t xml:space="preserve">  </w:t>
      </w:r>
      <w:r w:rsidR="00A4121C">
        <w:rPr>
          <w:rFonts w:ascii="Calibri" w:hAnsi="Calibri"/>
          <w:bCs/>
          <w:sz w:val="22"/>
          <w:szCs w:val="22"/>
        </w:rPr>
        <w:t>T</w:t>
      </w:r>
      <w:r w:rsidR="007267E6">
        <w:rPr>
          <w:rFonts w:ascii="Calibri" w:hAnsi="Calibri"/>
          <w:bCs/>
          <w:sz w:val="22"/>
          <w:szCs w:val="22"/>
        </w:rPr>
        <w:t xml:space="preserve">he Needham Housing Authority has received permission to </w:t>
      </w:r>
      <w:r w:rsidR="00F94804">
        <w:rPr>
          <w:rFonts w:ascii="Calibri" w:hAnsi="Calibri"/>
          <w:bCs/>
          <w:sz w:val="22"/>
          <w:szCs w:val="22"/>
        </w:rPr>
        <w:t xml:space="preserve">permit voucher holders to rent units up to </w:t>
      </w:r>
      <w:r w:rsidR="007267E6">
        <w:rPr>
          <w:rFonts w:ascii="Calibri" w:hAnsi="Calibri"/>
          <w:bCs/>
          <w:sz w:val="22"/>
          <w:szCs w:val="22"/>
        </w:rPr>
        <w:t xml:space="preserve">110% of FMRs given high market </w:t>
      </w:r>
      <w:r w:rsidR="006A6C86">
        <w:rPr>
          <w:rFonts w:ascii="Calibri" w:hAnsi="Calibri"/>
          <w:bCs/>
          <w:sz w:val="22"/>
          <w:szCs w:val="22"/>
        </w:rPr>
        <w:t>price</w:t>
      </w:r>
      <w:r w:rsidR="007267E6">
        <w:rPr>
          <w:rFonts w:ascii="Calibri" w:hAnsi="Calibri"/>
          <w:bCs/>
          <w:sz w:val="22"/>
          <w:szCs w:val="22"/>
        </w:rPr>
        <w:t>s.</w:t>
      </w:r>
    </w:p>
    <w:p w14:paraId="726C50A2" w14:textId="77777777" w:rsidR="00ED4988" w:rsidRDefault="00ED4988" w:rsidP="00615DA4">
      <w:pPr>
        <w:jc w:val="both"/>
        <w:rPr>
          <w:rFonts w:ascii="Calibri" w:hAnsi="Calibri"/>
          <w:b/>
          <w:bCs/>
          <w:sz w:val="22"/>
          <w:szCs w:val="22"/>
        </w:rPr>
      </w:pPr>
    </w:p>
    <w:p w14:paraId="405E5388" w14:textId="6EC03ADE" w:rsidR="00ED4988" w:rsidRPr="00ED4988" w:rsidRDefault="00ED4988" w:rsidP="00ED4988">
      <w:pPr>
        <w:jc w:val="center"/>
        <w:rPr>
          <w:rFonts w:ascii="Calibri" w:hAnsi="Calibri"/>
          <w:b/>
          <w:bCs/>
          <w:sz w:val="22"/>
          <w:szCs w:val="22"/>
        </w:rPr>
      </w:pPr>
      <w:r>
        <w:rPr>
          <w:rFonts w:ascii="Calibri" w:hAnsi="Calibri"/>
          <w:b/>
          <w:bCs/>
          <w:sz w:val="22"/>
          <w:szCs w:val="22"/>
        </w:rPr>
        <w:t xml:space="preserve">Table </w:t>
      </w:r>
      <w:r w:rsidR="00920B15">
        <w:rPr>
          <w:rFonts w:ascii="Calibri" w:hAnsi="Calibri"/>
          <w:b/>
          <w:bCs/>
          <w:sz w:val="22"/>
          <w:szCs w:val="22"/>
        </w:rPr>
        <w:t>III-3</w:t>
      </w:r>
      <w:r w:rsidR="0028014C">
        <w:rPr>
          <w:rFonts w:ascii="Calibri" w:hAnsi="Calibri"/>
          <w:b/>
          <w:bCs/>
          <w:sz w:val="22"/>
          <w:szCs w:val="22"/>
        </w:rPr>
        <w:t>5</w:t>
      </w:r>
      <w:r>
        <w:rPr>
          <w:rFonts w:ascii="Calibri" w:hAnsi="Calibri"/>
          <w:b/>
          <w:bCs/>
          <w:sz w:val="22"/>
          <w:szCs w:val="22"/>
        </w:rPr>
        <w:t>: HUD Fair Market Rents (FMRs)</w:t>
      </w:r>
      <w:r w:rsidR="003935DC">
        <w:rPr>
          <w:rFonts w:ascii="Calibri" w:hAnsi="Calibri"/>
          <w:b/>
          <w:bCs/>
          <w:sz w:val="22"/>
          <w:szCs w:val="22"/>
        </w:rPr>
        <w:t xml:space="preserve">, </w:t>
      </w:r>
      <w:r w:rsidR="00920B15">
        <w:rPr>
          <w:rFonts w:ascii="Calibri" w:hAnsi="Calibri"/>
          <w:b/>
          <w:bCs/>
          <w:sz w:val="22"/>
          <w:szCs w:val="22"/>
        </w:rPr>
        <w:t xml:space="preserve">2018 to </w:t>
      </w:r>
      <w:r w:rsidR="003935DC">
        <w:rPr>
          <w:rFonts w:ascii="Calibri" w:hAnsi="Calibri"/>
          <w:b/>
          <w:bCs/>
          <w:sz w:val="22"/>
          <w:szCs w:val="22"/>
        </w:rPr>
        <w:t>20</w:t>
      </w:r>
      <w:r w:rsidR="00920B15">
        <w:rPr>
          <w:rFonts w:ascii="Calibri" w:hAnsi="Calibri"/>
          <w:b/>
          <w:bCs/>
          <w:sz w:val="22"/>
          <w:szCs w:val="22"/>
        </w:rPr>
        <w:t>2</w:t>
      </w:r>
      <w:r w:rsidR="003935DC">
        <w:rPr>
          <w:rFonts w:ascii="Calibri" w:hAnsi="Calibri"/>
          <w:b/>
          <w:bCs/>
          <w:sz w:val="22"/>
          <w:szCs w:val="22"/>
        </w:rPr>
        <w:t>1</w:t>
      </w:r>
    </w:p>
    <w:tbl>
      <w:tblPr>
        <w:tblStyle w:val="TableGrid"/>
        <w:tblW w:w="9738" w:type="dxa"/>
        <w:tblLook w:val="04A0" w:firstRow="1" w:lastRow="0" w:firstColumn="1" w:lastColumn="0" w:noHBand="0" w:noVBand="1"/>
      </w:tblPr>
      <w:tblGrid>
        <w:gridCol w:w="1596"/>
        <w:gridCol w:w="1596"/>
        <w:gridCol w:w="1596"/>
        <w:gridCol w:w="1596"/>
        <w:gridCol w:w="1734"/>
        <w:gridCol w:w="1620"/>
      </w:tblGrid>
      <w:tr w:rsidR="00ED4988" w:rsidRPr="00ED4988" w14:paraId="6824111F" w14:textId="77777777" w:rsidTr="00ED4988">
        <w:tc>
          <w:tcPr>
            <w:tcW w:w="1596" w:type="dxa"/>
          </w:tcPr>
          <w:p w14:paraId="7DB76BD5" w14:textId="77777777" w:rsidR="00ED4988" w:rsidRPr="00ED4988" w:rsidRDefault="00ED4988" w:rsidP="00615DA4">
            <w:pPr>
              <w:jc w:val="both"/>
              <w:rPr>
                <w:rFonts w:ascii="Calibri" w:hAnsi="Calibri"/>
                <w:b/>
                <w:bCs/>
              </w:rPr>
            </w:pPr>
            <w:r>
              <w:rPr>
                <w:rFonts w:ascii="Calibri" w:hAnsi="Calibri"/>
                <w:b/>
                <w:bCs/>
                <w:sz w:val="22"/>
                <w:szCs w:val="22"/>
              </w:rPr>
              <w:t>Year</w:t>
            </w:r>
          </w:p>
        </w:tc>
        <w:tc>
          <w:tcPr>
            <w:tcW w:w="1596" w:type="dxa"/>
          </w:tcPr>
          <w:p w14:paraId="00B0CC02" w14:textId="77777777" w:rsidR="00ED4988" w:rsidRPr="00ED4988" w:rsidRDefault="00ED4988" w:rsidP="00ED4988">
            <w:pPr>
              <w:jc w:val="both"/>
              <w:rPr>
                <w:rFonts w:ascii="Calibri" w:hAnsi="Calibri"/>
                <w:b/>
                <w:bCs/>
              </w:rPr>
            </w:pPr>
            <w:r>
              <w:rPr>
                <w:rFonts w:ascii="Calibri" w:hAnsi="Calibri"/>
                <w:b/>
                <w:bCs/>
                <w:sz w:val="22"/>
                <w:szCs w:val="22"/>
              </w:rPr>
              <w:t>Efficiency</w:t>
            </w:r>
          </w:p>
        </w:tc>
        <w:tc>
          <w:tcPr>
            <w:tcW w:w="1596" w:type="dxa"/>
          </w:tcPr>
          <w:p w14:paraId="198F257F" w14:textId="77777777" w:rsidR="00ED4988" w:rsidRPr="00ED4988" w:rsidRDefault="00ED4988" w:rsidP="00615DA4">
            <w:pPr>
              <w:jc w:val="both"/>
              <w:rPr>
                <w:rFonts w:ascii="Calibri" w:hAnsi="Calibri"/>
                <w:b/>
                <w:bCs/>
              </w:rPr>
            </w:pPr>
            <w:r>
              <w:rPr>
                <w:rFonts w:ascii="Calibri" w:hAnsi="Calibri"/>
                <w:b/>
                <w:bCs/>
                <w:sz w:val="22"/>
                <w:szCs w:val="22"/>
              </w:rPr>
              <w:t>One-Bedroom</w:t>
            </w:r>
          </w:p>
        </w:tc>
        <w:tc>
          <w:tcPr>
            <w:tcW w:w="1596" w:type="dxa"/>
          </w:tcPr>
          <w:p w14:paraId="239E3887" w14:textId="77777777" w:rsidR="00ED4988" w:rsidRPr="00ED4988" w:rsidRDefault="00ED4988" w:rsidP="00615DA4">
            <w:pPr>
              <w:jc w:val="both"/>
              <w:rPr>
                <w:rFonts w:ascii="Calibri" w:hAnsi="Calibri"/>
                <w:b/>
                <w:bCs/>
              </w:rPr>
            </w:pPr>
            <w:r>
              <w:rPr>
                <w:rFonts w:ascii="Calibri" w:hAnsi="Calibri"/>
                <w:b/>
                <w:bCs/>
                <w:sz w:val="22"/>
                <w:szCs w:val="22"/>
              </w:rPr>
              <w:t>Two-Bedroom</w:t>
            </w:r>
          </w:p>
        </w:tc>
        <w:tc>
          <w:tcPr>
            <w:tcW w:w="1734" w:type="dxa"/>
          </w:tcPr>
          <w:p w14:paraId="07EB6BA6" w14:textId="77777777" w:rsidR="00ED4988" w:rsidRPr="00ED4988" w:rsidRDefault="00ED4988" w:rsidP="00615DA4">
            <w:pPr>
              <w:jc w:val="both"/>
              <w:rPr>
                <w:rFonts w:ascii="Calibri" w:hAnsi="Calibri"/>
                <w:b/>
                <w:bCs/>
              </w:rPr>
            </w:pPr>
            <w:r>
              <w:rPr>
                <w:rFonts w:ascii="Calibri" w:hAnsi="Calibri"/>
                <w:b/>
                <w:bCs/>
                <w:sz w:val="22"/>
                <w:szCs w:val="22"/>
              </w:rPr>
              <w:t>Three-Bedroom</w:t>
            </w:r>
          </w:p>
        </w:tc>
        <w:tc>
          <w:tcPr>
            <w:tcW w:w="1620" w:type="dxa"/>
          </w:tcPr>
          <w:p w14:paraId="6D8D7DE8" w14:textId="77777777" w:rsidR="00ED4988" w:rsidRPr="00ED4988" w:rsidRDefault="00ED4988" w:rsidP="00615DA4">
            <w:pPr>
              <w:jc w:val="both"/>
              <w:rPr>
                <w:rFonts w:ascii="Calibri" w:hAnsi="Calibri"/>
                <w:b/>
                <w:bCs/>
              </w:rPr>
            </w:pPr>
            <w:r>
              <w:rPr>
                <w:rFonts w:ascii="Calibri" w:hAnsi="Calibri"/>
                <w:b/>
                <w:bCs/>
                <w:sz w:val="22"/>
                <w:szCs w:val="22"/>
              </w:rPr>
              <w:t>Four-Bedroom</w:t>
            </w:r>
          </w:p>
        </w:tc>
      </w:tr>
      <w:tr w:rsidR="00920B15" w14:paraId="58860F04" w14:textId="77777777" w:rsidTr="00ED4988">
        <w:tc>
          <w:tcPr>
            <w:tcW w:w="1596" w:type="dxa"/>
          </w:tcPr>
          <w:p w14:paraId="330C58E7" w14:textId="429C9A80" w:rsidR="00920B15" w:rsidRDefault="00920B15" w:rsidP="00615DA4">
            <w:pPr>
              <w:jc w:val="both"/>
              <w:rPr>
                <w:rFonts w:ascii="Calibri" w:hAnsi="Calibri"/>
                <w:bCs/>
                <w:sz w:val="20"/>
                <w:szCs w:val="20"/>
              </w:rPr>
            </w:pPr>
            <w:r>
              <w:rPr>
                <w:rFonts w:ascii="Calibri" w:hAnsi="Calibri"/>
                <w:bCs/>
                <w:sz w:val="20"/>
                <w:szCs w:val="20"/>
              </w:rPr>
              <w:t>2021</w:t>
            </w:r>
          </w:p>
        </w:tc>
        <w:tc>
          <w:tcPr>
            <w:tcW w:w="1596" w:type="dxa"/>
          </w:tcPr>
          <w:p w14:paraId="7BBB52C2" w14:textId="7D5CA16B" w:rsidR="00920B15" w:rsidRDefault="0037639B" w:rsidP="00615DA4">
            <w:pPr>
              <w:jc w:val="both"/>
              <w:rPr>
                <w:rFonts w:ascii="Calibri" w:hAnsi="Calibri"/>
                <w:bCs/>
                <w:sz w:val="20"/>
                <w:szCs w:val="20"/>
              </w:rPr>
            </w:pPr>
            <w:r>
              <w:rPr>
                <w:rFonts w:ascii="Calibri" w:hAnsi="Calibri"/>
                <w:bCs/>
                <w:sz w:val="20"/>
                <w:szCs w:val="20"/>
              </w:rPr>
              <w:t>$1,742</w:t>
            </w:r>
          </w:p>
        </w:tc>
        <w:tc>
          <w:tcPr>
            <w:tcW w:w="1596" w:type="dxa"/>
          </w:tcPr>
          <w:p w14:paraId="5C62C932" w14:textId="7BE9B363" w:rsidR="00920B15" w:rsidRDefault="0037639B" w:rsidP="00615DA4">
            <w:pPr>
              <w:jc w:val="both"/>
              <w:rPr>
                <w:rFonts w:ascii="Calibri" w:hAnsi="Calibri"/>
                <w:bCs/>
                <w:sz w:val="20"/>
                <w:szCs w:val="20"/>
              </w:rPr>
            </w:pPr>
            <w:r>
              <w:rPr>
                <w:rFonts w:ascii="Calibri" w:hAnsi="Calibri"/>
                <w:bCs/>
                <w:sz w:val="20"/>
                <w:szCs w:val="20"/>
              </w:rPr>
              <w:t>$1,924</w:t>
            </w:r>
          </w:p>
        </w:tc>
        <w:tc>
          <w:tcPr>
            <w:tcW w:w="1596" w:type="dxa"/>
          </w:tcPr>
          <w:p w14:paraId="54CD7295" w14:textId="087F3282" w:rsidR="00920B15" w:rsidRDefault="0037639B" w:rsidP="00615DA4">
            <w:pPr>
              <w:jc w:val="both"/>
              <w:rPr>
                <w:rFonts w:ascii="Calibri" w:hAnsi="Calibri"/>
                <w:bCs/>
                <w:sz w:val="20"/>
                <w:szCs w:val="20"/>
              </w:rPr>
            </w:pPr>
            <w:r>
              <w:rPr>
                <w:rFonts w:ascii="Calibri" w:hAnsi="Calibri"/>
                <w:bCs/>
                <w:sz w:val="20"/>
                <w:szCs w:val="20"/>
              </w:rPr>
              <w:t>$2,336</w:t>
            </w:r>
          </w:p>
        </w:tc>
        <w:tc>
          <w:tcPr>
            <w:tcW w:w="1734" w:type="dxa"/>
          </w:tcPr>
          <w:p w14:paraId="68B19BCA" w14:textId="6FD1066F" w:rsidR="00920B15" w:rsidRDefault="0037639B" w:rsidP="00615DA4">
            <w:pPr>
              <w:jc w:val="both"/>
              <w:rPr>
                <w:rFonts w:ascii="Calibri" w:hAnsi="Calibri"/>
                <w:bCs/>
                <w:sz w:val="20"/>
                <w:szCs w:val="20"/>
              </w:rPr>
            </w:pPr>
            <w:r>
              <w:rPr>
                <w:rFonts w:ascii="Calibri" w:hAnsi="Calibri"/>
                <w:bCs/>
                <w:sz w:val="20"/>
                <w:szCs w:val="20"/>
              </w:rPr>
              <w:t>$2,906</w:t>
            </w:r>
          </w:p>
        </w:tc>
        <w:tc>
          <w:tcPr>
            <w:tcW w:w="1620" w:type="dxa"/>
          </w:tcPr>
          <w:p w14:paraId="00B2702D" w14:textId="1B5FCF2A" w:rsidR="00920B15" w:rsidRDefault="0037639B" w:rsidP="00615DA4">
            <w:pPr>
              <w:jc w:val="both"/>
              <w:rPr>
                <w:rFonts w:ascii="Calibri" w:hAnsi="Calibri"/>
                <w:bCs/>
                <w:sz w:val="20"/>
                <w:szCs w:val="20"/>
              </w:rPr>
            </w:pPr>
            <w:r>
              <w:rPr>
                <w:rFonts w:ascii="Calibri" w:hAnsi="Calibri"/>
                <w:bCs/>
                <w:sz w:val="20"/>
                <w:szCs w:val="20"/>
              </w:rPr>
              <w:t>$3,168</w:t>
            </w:r>
          </w:p>
        </w:tc>
      </w:tr>
      <w:tr w:rsidR="00920B15" w14:paraId="569122BA" w14:textId="77777777" w:rsidTr="00ED4988">
        <w:tc>
          <w:tcPr>
            <w:tcW w:w="1596" w:type="dxa"/>
          </w:tcPr>
          <w:p w14:paraId="17F01EF7" w14:textId="31B3F09D" w:rsidR="00920B15" w:rsidRDefault="00920B15" w:rsidP="00615DA4">
            <w:pPr>
              <w:jc w:val="both"/>
              <w:rPr>
                <w:rFonts w:ascii="Calibri" w:hAnsi="Calibri"/>
                <w:bCs/>
                <w:sz w:val="20"/>
                <w:szCs w:val="20"/>
              </w:rPr>
            </w:pPr>
            <w:r>
              <w:rPr>
                <w:rFonts w:ascii="Calibri" w:hAnsi="Calibri"/>
                <w:bCs/>
                <w:sz w:val="20"/>
                <w:szCs w:val="20"/>
              </w:rPr>
              <w:t>2020</w:t>
            </w:r>
          </w:p>
        </w:tc>
        <w:tc>
          <w:tcPr>
            <w:tcW w:w="1596" w:type="dxa"/>
          </w:tcPr>
          <w:p w14:paraId="71E09DCE" w14:textId="59E8EBAD" w:rsidR="00920B15" w:rsidRDefault="0037639B" w:rsidP="00615DA4">
            <w:pPr>
              <w:jc w:val="both"/>
              <w:rPr>
                <w:rFonts w:ascii="Calibri" w:hAnsi="Calibri"/>
                <w:bCs/>
                <w:sz w:val="20"/>
                <w:szCs w:val="20"/>
              </w:rPr>
            </w:pPr>
            <w:r>
              <w:rPr>
                <w:rFonts w:ascii="Calibri" w:hAnsi="Calibri"/>
                <w:bCs/>
                <w:sz w:val="20"/>
                <w:szCs w:val="20"/>
              </w:rPr>
              <w:t>$1,715</w:t>
            </w:r>
          </w:p>
        </w:tc>
        <w:tc>
          <w:tcPr>
            <w:tcW w:w="1596" w:type="dxa"/>
          </w:tcPr>
          <w:p w14:paraId="5112CAE4" w14:textId="5A28E9A3" w:rsidR="00920B15" w:rsidRDefault="0037639B" w:rsidP="00615DA4">
            <w:pPr>
              <w:jc w:val="both"/>
              <w:rPr>
                <w:rFonts w:ascii="Calibri" w:hAnsi="Calibri"/>
                <w:bCs/>
                <w:sz w:val="20"/>
                <w:szCs w:val="20"/>
              </w:rPr>
            </w:pPr>
            <w:r>
              <w:rPr>
                <w:rFonts w:ascii="Calibri" w:hAnsi="Calibri"/>
                <w:bCs/>
                <w:sz w:val="20"/>
                <w:szCs w:val="20"/>
              </w:rPr>
              <w:t>$1,900</w:t>
            </w:r>
          </w:p>
        </w:tc>
        <w:tc>
          <w:tcPr>
            <w:tcW w:w="1596" w:type="dxa"/>
          </w:tcPr>
          <w:p w14:paraId="58FE6BC3" w14:textId="3C172B4F" w:rsidR="00920B15" w:rsidRDefault="0037639B" w:rsidP="00615DA4">
            <w:pPr>
              <w:jc w:val="both"/>
              <w:rPr>
                <w:rFonts w:ascii="Calibri" w:hAnsi="Calibri"/>
                <w:bCs/>
                <w:sz w:val="20"/>
                <w:szCs w:val="20"/>
              </w:rPr>
            </w:pPr>
            <w:r>
              <w:rPr>
                <w:rFonts w:ascii="Calibri" w:hAnsi="Calibri"/>
                <w:bCs/>
                <w:sz w:val="20"/>
                <w:szCs w:val="20"/>
              </w:rPr>
              <w:t>$2,311</w:t>
            </w:r>
          </w:p>
        </w:tc>
        <w:tc>
          <w:tcPr>
            <w:tcW w:w="1734" w:type="dxa"/>
          </w:tcPr>
          <w:p w14:paraId="3378F700" w14:textId="1E49736C" w:rsidR="00920B15" w:rsidRDefault="0037639B" w:rsidP="00615DA4">
            <w:pPr>
              <w:jc w:val="both"/>
              <w:rPr>
                <w:rFonts w:ascii="Calibri" w:hAnsi="Calibri"/>
                <w:bCs/>
                <w:sz w:val="20"/>
                <w:szCs w:val="20"/>
              </w:rPr>
            </w:pPr>
            <w:r>
              <w:rPr>
                <w:rFonts w:ascii="Calibri" w:hAnsi="Calibri"/>
                <w:bCs/>
                <w:sz w:val="20"/>
                <w:szCs w:val="20"/>
              </w:rPr>
              <w:t>$2,880</w:t>
            </w:r>
          </w:p>
        </w:tc>
        <w:tc>
          <w:tcPr>
            <w:tcW w:w="1620" w:type="dxa"/>
          </w:tcPr>
          <w:p w14:paraId="42A888B3" w14:textId="24D8CDB8" w:rsidR="00920B15" w:rsidRDefault="0037639B" w:rsidP="00615DA4">
            <w:pPr>
              <w:jc w:val="both"/>
              <w:rPr>
                <w:rFonts w:ascii="Calibri" w:hAnsi="Calibri"/>
                <w:bCs/>
                <w:sz w:val="20"/>
                <w:szCs w:val="20"/>
              </w:rPr>
            </w:pPr>
            <w:r>
              <w:rPr>
                <w:rFonts w:ascii="Calibri" w:hAnsi="Calibri"/>
                <w:bCs/>
                <w:sz w:val="20"/>
                <w:szCs w:val="20"/>
              </w:rPr>
              <w:t>$3,131</w:t>
            </w:r>
          </w:p>
        </w:tc>
      </w:tr>
      <w:tr w:rsidR="00ED4988" w14:paraId="26E3216B" w14:textId="77777777" w:rsidTr="00ED4988">
        <w:tc>
          <w:tcPr>
            <w:tcW w:w="1596" w:type="dxa"/>
          </w:tcPr>
          <w:p w14:paraId="4AB1C0C8" w14:textId="0B57329D" w:rsidR="00ED4988" w:rsidRPr="00ED4988" w:rsidRDefault="00ED4988" w:rsidP="00615DA4">
            <w:pPr>
              <w:jc w:val="both"/>
              <w:rPr>
                <w:rFonts w:ascii="Calibri" w:hAnsi="Calibri"/>
                <w:bCs/>
                <w:sz w:val="20"/>
                <w:szCs w:val="20"/>
              </w:rPr>
            </w:pPr>
            <w:r>
              <w:rPr>
                <w:rFonts w:ascii="Calibri" w:hAnsi="Calibri"/>
                <w:bCs/>
                <w:sz w:val="20"/>
                <w:szCs w:val="20"/>
              </w:rPr>
              <w:t>2019</w:t>
            </w:r>
          </w:p>
        </w:tc>
        <w:tc>
          <w:tcPr>
            <w:tcW w:w="1596" w:type="dxa"/>
          </w:tcPr>
          <w:p w14:paraId="203D8F6D" w14:textId="77777777" w:rsidR="00ED4988" w:rsidRPr="00ED4988" w:rsidRDefault="00ED4988" w:rsidP="00615DA4">
            <w:pPr>
              <w:jc w:val="both"/>
              <w:rPr>
                <w:rFonts w:ascii="Calibri" w:hAnsi="Calibri"/>
                <w:bCs/>
                <w:sz w:val="20"/>
                <w:szCs w:val="20"/>
              </w:rPr>
            </w:pPr>
            <w:r>
              <w:rPr>
                <w:rFonts w:ascii="Calibri" w:hAnsi="Calibri"/>
                <w:bCs/>
                <w:sz w:val="20"/>
                <w:szCs w:val="20"/>
              </w:rPr>
              <w:t>$1,394</w:t>
            </w:r>
          </w:p>
        </w:tc>
        <w:tc>
          <w:tcPr>
            <w:tcW w:w="1596" w:type="dxa"/>
          </w:tcPr>
          <w:p w14:paraId="74B4091C" w14:textId="77777777" w:rsidR="00ED4988" w:rsidRPr="00ED4988" w:rsidRDefault="00ED4988" w:rsidP="00615DA4">
            <w:pPr>
              <w:jc w:val="both"/>
              <w:rPr>
                <w:rFonts w:ascii="Calibri" w:hAnsi="Calibri"/>
                <w:bCs/>
                <w:sz w:val="20"/>
                <w:szCs w:val="20"/>
              </w:rPr>
            </w:pPr>
            <w:r>
              <w:rPr>
                <w:rFonts w:ascii="Calibri" w:hAnsi="Calibri"/>
                <w:bCs/>
                <w:sz w:val="20"/>
                <w:szCs w:val="20"/>
              </w:rPr>
              <w:t>$1,561</w:t>
            </w:r>
          </w:p>
        </w:tc>
        <w:tc>
          <w:tcPr>
            <w:tcW w:w="1596" w:type="dxa"/>
          </w:tcPr>
          <w:p w14:paraId="39CE6012" w14:textId="77777777" w:rsidR="00ED4988" w:rsidRPr="00ED4988" w:rsidRDefault="00ED4988" w:rsidP="00615DA4">
            <w:pPr>
              <w:jc w:val="both"/>
              <w:rPr>
                <w:rFonts w:ascii="Calibri" w:hAnsi="Calibri"/>
                <w:bCs/>
                <w:sz w:val="20"/>
                <w:szCs w:val="20"/>
              </w:rPr>
            </w:pPr>
            <w:r>
              <w:rPr>
                <w:rFonts w:ascii="Calibri" w:hAnsi="Calibri"/>
                <w:bCs/>
                <w:sz w:val="20"/>
                <w:szCs w:val="20"/>
              </w:rPr>
              <w:t>$1,902</w:t>
            </w:r>
          </w:p>
        </w:tc>
        <w:tc>
          <w:tcPr>
            <w:tcW w:w="1734" w:type="dxa"/>
          </w:tcPr>
          <w:p w14:paraId="3D4877C5" w14:textId="77777777" w:rsidR="00ED4988" w:rsidRPr="00ED4988" w:rsidRDefault="00ED4988" w:rsidP="00615DA4">
            <w:pPr>
              <w:jc w:val="both"/>
              <w:rPr>
                <w:rFonts w:ascii="Calibri" w:hAnsi="Calibri"/>
                <w:bCs/>
                <w:sz w:val="20"/>
                <w:szCs w:val="20"/>
              </w:rPr>
            </w:pPr>
            <w:r>
              <w:rPr>
                <w:rFonts w:ascii="Calibri" w:hAnsi="Calibri"/>
                <w:bCs/>
                <w:sz w:val="20"/>
                <w:szCs w:val="20"/>
              </w:rPr>
              <w:t>$2,383</w:t>
            </w:r>
          </w:p>
        </w:tc>
        <w:tc>
          <w:tcPr>
            <w:tcW w:w="1620" w:type="dxa"/>
          </w:tcPr>
          <w:p w14:paraId="20278341" w14:textId="77777777" w:rsidR="00ED4988" w:rsidRPr="00ED4988" w:rsidRDefault="00ED4988" w:rsidP="00615DA4">
            <w:pPr>
              <w:jc w:val="both"/>
              <w:rPr>
                <w:rFonts w:ascii="Calibri" w:hAnsi="Calibri"/>
                <w:bCs/>
                <w:sz w:val="20"/>
                <w:szCs w:val="20"/>
              </w:rPr>
            </w:pPr>
            <w:r>
              <w:rPr>
                <w:rFonts w:ascii="Calibri" w:hAnsi="Calibri"/>
                <w:bCs/>
                <w:sz w:val="20"/>
                <w:szCs w:val="20"/>
              </w:rPr>
              <w:t>$2,571</w:t>
            </w:r>
          </w:p>
        </w:tc>
      </w:tr>
      <w:tr w:rsidR="00ED4988" w14:paraId="75E217AB" w14:textId="77777777" w:rsidTr="00ED4988">
        <w:tc>
          <w:tcPr>
            <w:tcW w:w="1596" w:type="dxa"/>
          </w:tcPr>
          <w:p w14:paraId="7285C050" w14:textId="18CA255E" w:rsidR="00ED4988" w:rsidRPr="00ED4988" w:rsidRDefault="00ED4988" w:rsidP="00615DA4">
            <w:pPr>
              <w:jc w:val="both"/>
              <w:rPr>
                <w:rFonts w:ascii="Calibri" w:hAnsi="Calibri"/>
                <w:bCs/>
                <w:sz w:val="20"/>
                <w:szCs w:val="20"/>
              </w:rPr>
            </w:pPr>
            <w:r>
              <w:rPr>
                <w:rFonts w:ascii="Calibri" w:hAnsi="Calibri"/>
                <w:bCs/>
                <w:sz w:val="20"/>
                <w:szCs w:val="20"/>
              </w:rPr>
              <w:t>2018</w:t>
            </w:r>
          </w:p>
        </w:tc>
        <w:tc>
          <w:tcPr>
            <w:tcW w:w="1596" w:type="dxa"/>
          </w:tcPr>
          <w:p w14:paraId="102FB0FB" w14:textId="77777777" w:rsidR="00ED4988" w:rsidRPr="00ED4988" w:rsidRDefault="00ED4988" w:rsidP="00615DA4">
            <w:pPr>
              <w:jc w:val="both"/>
              <w:rPr>
                <w:rFonts w:ascii="Calibri" w:hAnsi="Calibri"/>
                <w:bCs/>
                <w:sz w:val="20"/>
                <w:szCs w:val="20"/>
              </w:rPr>
            </w:pPr>
            <w:r>
              <w:rPr>
                <w:rFonts w:ascii="Calibri" w:hAnsi="Calibri"/>
                <w:bCs/>
                <w:sz w:val="20"/>
                <w:szCs w:val="20"/>
              </w:rPr>
              <w:t>$1,253</w:t>
            </w:r>
          </w:p>
        </w:tc>
        <w:tc>
          <w:tcPr>
            <w:tcW w:w="1596" w:type="dxa"/>
          </w:tcPr>
          <w:p w14:paraId="10A540AA" w14:textId="77777777" w:rsidR="00ED4988" w:rsidRPr="00ED4988" w:rsidRDefault="00ED4988" w:rsidP="00615DA4">
            <w:pPr>
              <w:jc w:val="both"/>
              <w:rPr>
                <w:rFonts w:ascii="Calibri" w:hAnsi="Calibri"/>
                <w:bCs/>
                <w:sz w:val="20"/>
                <w:szCs w:val="20"/>
              </w:rPr>
            </w:pPr>
            <w:r>
              <w:rPr>
                <w:rFonts w:ascii="Calibri" w:hAnsi="Calibri"/>
                <w:bCs/>
                <w:sz w:val="20"/>
                <w:szCs w:val="20"/>
              </w:rPr>
              <w:t>$1,421</w:t>
            </w:r>
          </w:p>
        </w:tc>
        <w:tc>
          <w:tcPr>
            <w:tcW w:w="1596" w:type="dxa"/>
          </w:tcPr>
          <w:p w14:paraId="2EAE6511" w14:textId="77777777" w:rsidR="00ED4988" w:rsidRPr="00ED4988" w:rsidRDefault="00ED4988" w:rsidP="00615DA4">
            <w:pPr>
              <w:jc w:val="both"/>
              <w:rPr>
                <w:rFonts w:ascii="Calibri" w:hAnsi="Calibri"/>
                <w:bCs/>
                <w:sz w:val="20"/>
                <w:szCs w:val="20"/>
              </w:rPr>
            </w:pPr>
            <w:r>
              <w:rPr>
                <w:rFonts w:ascii="Calibri" w:hAnsi="Calibri"/>
                <w:bCs/>
                <w:sz w:val="20"/>
                <w:szCs w:val="20"/>
              </w:rPr>
              <w:t>$1,740</w:t>
            </w:r>
          </w:p>
        </w:tc>
        <w:tc>
          <w:tcPr>
            <w:tcW w:w="1734" w:type="dxa"/>
          </w:tcPr>
          <w:p w14:paraId="73681690" w14:textId="77777777" w:rsidR="00ED4988" w:rsidRPr="00ED4988" w:rsidRDefault="00ED4988" w:rsidP="00615DA4">
            <w:pPr>
              <w:jc w:val="both"/>
              <w:rPr>
                <w:rFonts w:ascii="Calibri" w:hAnsi="Calibri"/>
                <w:bCs/>
                <w:sz w:val="20"/>
                <w:szCs w:val="20"/>
              </w:rPr>
            </w:pPr>
            <w:r>
              <w:rPr>
                <w:rFonts w:ascii="Calibri" w:hAnsi="Calibri"/>
                <w:bCs/>
                <w:sz w:val="20"/>
                <w:szCs w:val="20"/>
              </w:rPr>
              <w:t>$2,182</w:t>
            </w:r>
          </w:p>
        </w:tc>
        <w:tc>
          <w:tcPr>
            <w:tcW w:w="1620" w:type="dxa"/>
          </w:tcPr>
          <w:p w14:paraId="7B3686E6" w14:textId="77777777" w:rsidR="00ED4988" w:rsidRPr="00ED4988" w:rsidRDefault="00ED4988" w:rsidP="00615DA4">
            <w:pPr>
              <w:jc w:val="both"/>
              <w:rPr>
                <w:rFonts w:ascii="Calibri" w:hAnsi="Calibri"/>
                <w:bCs/>
                <w:sz w:val="20"/>
                <w:szCs w:val="20"/>
              </w:rPr>
            </w:pPr>
            <w:r>
              <w:rPr>
                <w:rFonts w:ascii="Calibri" w:hAnsi="Calibri"/>
                <w:bCs/>
                <w:sz w:val="20"/>
                <w:szCs w:val="20"/>
              </w:rPr>
              <w:t>$2,370</w:t>
            </w:r>
          </w:p>
        </w:tc>
      </w:tr>
    </w:tbl>
    <w:p w14:paraId="7DB2ED88" w14:textId="77777777" w:rsidR="00ED4988" w:rsidRPr="00ED4988" w:rsidRDefault="00ED4988" w:rsidP="00615DA4">
      <w:pPr>
        <w:jc w:val="both"/>
        <w:rPr>
          <w:rFonts w:ascii="Calibri" w:hAnsi="Calibri"/>
          <w:bCs/>
          <w:sz w:val="20"/>
          <w:szCs w:val="20"/>
        </w:rPr>
      </w:pPr>
      <w:r w:rsidRPr="00ED4988">
        <w:rPr>
          <w:rFonts w:ascii="Calibri" w:hAnsi="Calibri"/>
          <w:bCs/>
          <w:sz w:val="20"/>
          <w:szCs w:val="20"/>
        </w:rPr>
        <w:t>Source:  U.S. Department of Housing and Urban Development (HUD)</w:t>
      </w:r>
    </w:p>
    <w:p w14:paraId="213C1D32" w14:textId="77777777" w:rsidR="00BE07CB" w:rsidRPr="008B375C" w:rsidRDefault="00BE07CB" w:rsidP="00615DA4">
      <w:pPr>
        <w:jc w:val="both"/>
        <w:rPr>
          <w:rFonts w:ascii="Calibri" w:hAnsi="Calibri"/>
          <w:b/>
          <w:bCs/>
          <w:sz w:val="22"/>
          <w:szCs w:val="22"/>
        </w:rPr>
      </w:pPr>
    </w:p>
    <w:p w14:paraId="0A3BEC1C" w14:textId="5365926F" w:rsidR="008772FC" w:rsidRPr="008B375C" w:rsidRDefault="008772FC" w:rsidP="008772FC">
      <w:pPr>
        <w:rPr>
          <w:rFonts w:ascii="Calibri" w:hAnsi="Calibri"/>
          <w:b/>
          <w:bCs/>
          <w:color w:val="1F497D" w:themeColor="text2"/>
        </w:rPr>
      </w:pPr>
      <w:r w:rsidRPr="008B375C">
        <w:rPr>
          <w:rFonts w:ascii="Calibri" w:hAnsi="Calibri"/>
          <w:b/>
          <w:bCs/>
          <w:color w:val="1F497D" w:themeColor="text2"/>
        </w:rPr>
        <w:t>5.</w:t>
      </w:r>
      <w:r w:rsidRPr="008B375C">
        <w:rPr>
          <w:rFonts w:ascii="Calibri" w:hAnsi="Calibri"/>
          <w:b/>
          <w:bCs/>
          <w:color w:val="1F497D" w:themeColor="text2"/>
        </w:rPr>
        <w:tab/>
        <w:t>Affordability Analysis</w:t>
      </w:r>
    </w:p>
    <w:p w14:paraId="37DDA0AD" w14:textId="0FAA17C3" w:rsidR="004A77E6" w:rsidRPr="004A77E6" w:rsidRDefault="004A77E6" w:rsidP="00615DA4">
      <w:pPr>
        <w:pStyle w:val="BodyTextIndent"/>
        <w:spacing w:after="0"/>
        <w:ind w:left="0"/>
        <w:jc w:val="both"/>
        <w:rPr>
          <w:rFonts w:ascii="Calibri" w:hAnsi="Calibri"/>
          <w:b/>
          <w:sz w:val="22"/>
          <w:szCs w:val="22"/>
        </w:rPr>
      </w:pPr>
      <w:r w:rsidRPr="004A77E6">
        <w:rPr>
          <w:rFonts w:ascii="Calibri" w:hAnsi="Calibri"/>
          <w:b/>
          <w:sz w:val="22"/>
          <w:szCs w:val="22"/>
        </w:rPr>
        <w:t>Affordability Gaps</w:t>
      </w:r>
    </w:p>
    <w:p w14:paraId="4C69D0A8" w14:textId="38C3F308" w:rsidR="008772FC" w:rsidRPr="008B375C" w:rsidRDefault="008772FC" w:rsidP="00615DA4">
      <w:pPr>
        <w:pStyle w:val="BodyTextIndent"/>
        <w:spacing w:after="0"/>
        <w:ind w:left="0"/>
        <w:jc w:val="both"/>
        <w:rPr>
          <w:rFonts w:ascii="Calibri" w:hAnsi="Calibri"/>
          <w:sz w:val="22"/>
          <w:szCs w:val="22"/>
        </w:rPr>
      </w:pPr>
      <w:r w:rsidRPr="008B375C">
        <w:rPr>
          <w:rFonts w:ascii="Calibri" w:hAnsi="Calibri"/>
          <w:sz w:val="22"/>
          <w:szCs w:val="22"/>
        </w:rPr>
        <w:t xml:space="preserve">While it is useful to have a better understanding of past and current housing costs, it is also important to analyze the implications of these costs on affordability.  Tables </w:t>
      </w:r>
      <w:r w:rsidR="00B26696">
        <w:rPr>
          <w:rFonts w:ascii="Calibri" w:hAnsi="Calibri"/>
          <w:sz w:val="22"/>
          <w:szCs w:val="22"/>
        </w:rPr>
        <w:t>III-36 and III-37</w:t>
      </w:r>
      <w:r w:rsidRPr="008B375C">
        <w:rPr>
          <w:rFonts w:ascii="Calibri" w:hAnsi="Calibri"/>
          <w:sz w:val="22"/>
          <w:szCs w:val="22"/>
        </w:rPr>
        <w:t xml:space="preserve"> </w:t>
      </w:r>
      <w:r w:rsidR="00B26696">
        <w:rPr>
          <w:rFonts w:ascii="Calibri" w:hAnsi="Calibri"/>
          <w:sz w:val="22"/>
          <w:szCs w:val="22"/>
        </w:rPr>
        <w:t>review</w:t>
      </w:r>
      <w:r w:rsidRPr="008B375C">
        <w:rPr>
          <w:rFonts w:ascii="Calibri" w:hAnsi="Calibri"/>
          <w:sz w:val="22"/>
          <w:szCs w:val="22"/>
        </w:rPr>
        <w:t xml:space="preserve"> affordability from two different </w:t>
      </w:r>
      <w:r w:rsidR="00D30819">
        <w:rPr>
          <w:rFonts w:ascii="Calibri" w:hAnsi="Calibri"/>
          <w:sz w:val="22"/>
          <w:szCs w:val="22"/>
        </w:rPr>
        <w:t>perspective</w:t>
      </w:r>
      <w:r w:rsidRPr="008B375C">
        <w:rPr>
          <w:rFonts w:ascii="Calibri" w:hAnsi="Calibri"/>
          <w:sz w:val="22"/>
          <w:szCs w:val="22"/>
        </w:rPr>
        <w:t xml:space="preserve">s.  Table </w:t>
      </w:r>
      <w:r w:rsidR="00B26696">
        <w:rPr>
          <w:rFonts w:ascii="Calibri" w:hAnsi="Calibri"/>
          <w:sz w:val="22"/>
          <w:szCs w:val="22"/>
        </w:rPr>
        <w:t>III-36</w:t>
      </w:r>
      <w:r w:rsidRPr="008B375C">
        <w:rPr>
          <w:rFonts w:ascii="Calibri" w:hAnsi="Calibri"/>
          <w:sz w:val="22"/>
          <w:szCs w:val="22"/>
        </w:rPr>
        <w:t xml:space="preserve"> calculates what households earning at various income levels can afford with respect to types of housing</w:t>
      </w:r>
      <w:r w:rsidR="00191370">
        <w:rPr>
          <w:rFonts w:ascii="Calibri" w:hAnsi="Calibri"/>
          <w:sz w:val="22"/>
          <w:szCs w:val="22"/>
        </w:rPr>
        <w:t>.  On the other hand,</w:t>
      </w:r>
      <w:r w:rsidRPr="008B375C">
        <w:rPr>
          <w:rFonts w:ascii="Calibri" w:hAnsi="Calibri"/>
          <w:sz w:val="22"/>
          <w:szCs w:val="22"/>
        </w:rPr>
        <w:t xml:space="preserve"> Table </w:t>
      </w:r>
      <w:r w:rsidR="00B26696">
        <w:rPr>
          <w:rFonts w:ascii="Calibri" w:hAnsi="Calibri"/>
          <w:sz w:val="22"/>
          <w:szCs w:val="22"/>
        </w:rPr>
        <w:t>III-37</w:t>
      </w:r>
      <w:r w:rsidRPr="008B375C">
        <w:rPr>
          <w:rFonts w:ascii="Calibri" w:hAnsi="Calibri"/>
          <w:sz w:val="22"/>
          <w:szCs w:val="22"/>
        </w:rPr>
        <w:t xml:space="preserve"> examines housing costs summarized above in Section </w:t>
      </w:r>
      <w:r w:rsidR="00191370">
        <w:rPr>
          <w:rFonts w:ascii="Calibri" w:hAnsi="Calibri"/>
          <w:sz w:val="22"/>
          <w:szCs w:val="22"/>
        </w:rPr>
        <w:t>III.C.</w:t>
      </w:r>
      <w:r w:rsidRPr="008B375C">
        <w:rPr>
          <w:rFonts w:ascii="Calibri" w:hAnsi="Calibri"/>
          <w:sz w:val="22"/>
          <w:szCs w:val="22"/>
        </w:rPr>
        <w:t xml:space="preserve">4, estimating what households must </w:t>
      </w:r>
      <w:r w:rsidR="00191370">
        <w:rPr>
          <w:rFonts w:ascii="Calibri" w:hAnsi="Calibri"/>
          <w:sz w:val="22"/>
          <w:szCs w:val="22"/>
        </w:rPr>
        <w:t xml:space="preserve">likely </w:t>
      </w:r>
      <w:r w:rsidRPr="008B375C">
        <w:rPr>
          <w:rFonts w:ascii="Calibri" w:hAnsi="Calibri"/>
          <w:sz w:val="22"/>
          <w:szCs w:val="22"/>
        </w:rPr>
        <w:t xml:space="preserve">earn to afford these prices </w:t>
      </w:r>
      <w:r w:rsidRPr="008B375C">
        <w:rPr>
          <w:rFonts w:ascii="Calibri" w:hAnsi="Calibri"/>
          <w:i/>
          <w:iCs/>
          <w:sz w:val="22"/>
          <w:szCs w:val="22"/>
        </w:rPr>
        <w:t>based on spending no more than 30% of their income on housing expenses</w:t>
      </w:r>
      <w:r w:rsidRPr="008B375C">
        <w:rPr>
          <w:rFonts w:ascii="Calibri" w:hAnsi="Calibri"/>
          <w:sz w:val="22"/>
          <w:szCs w:val="22"/>
        </w:rPr>
        <w:t xml:space="preserve">, the commonly applied threshold of affordability. </w:t>
      </w:r>
    </w:p>
    <w:p w14:paraId="1276A5A2" w14:textId="77777777" w:rsidR="008772FC" w:rsidRPr="008B375C" w:rsidRDefault="008772FC" w:rsidP="00615DA4">
      <w:pPr>
        <w:pStyle w:val="BodyTextIndent"/>
        <w:spacing w:after="0"/>
        <w:ind w:left="0"/>
        <w:jc w:val="both"/>
        <w:rPr>
          <w:rFonts w:ascii="Calibri" w:hAnsi="Calibri"/>
          <w:b/>
          <w:bCs/>
          <w:sz w:val="22"/>
          <w:szCs w:val="22"/>
        </w:rPr>
      </w:pPr>
    </w:p>
    <w:p w14:paraId="1C8185EF" w14:textId="77777777" w:rsidR="00A4121C" w:rsidRDefault="00A4121C" w:rsidP="00A4121C">
      <w:pPr>
        <w:pStyle w:val="BodyTextIndent"/>
        <w:spacing w:after="0"/>
        <w:ind w:left="0"/>
        <w:jc w:val="both"/>
        <w:rPr>
          <w:rFonts w:ascii="Calibri" w:hAnsi="Calibri"/>
          <w:sz w:val="22"/>
          <w:szCs w:val="22"/>
        </w:rPr>
      </w:pPr>
      <w:r w:rsidRPr="008B375C">
        <w:rPr>
          <w:rFonts w:ascii="Calibri" w:hAnsi="Calibri"/>
          <w:sz w:val="22"/>
          <w:szCs w:val="22"/>
        </w:rPr>
        <w:t>In addition to showing how different types of housing are more or less affordable to households earning at</w:t>
      </w:r>
      <w:r>
        <w:rPr>
          <w:rFonts w:ascii="Calibri" w:hAnsi="Calibri"/>
          <w:sz w:val="22"/>
          <w:szCs w:val="22"/>
        </w:rPr>
        <w:t xml:space="preserve"> the</w:t>
      </w:r>
      <w:r w:rsidRPr="008B375C">
        <w:rPr>
          <w:rFonts w:ascii="Calibri" w:hAnsi="Calibri"/>
          <w:sz w:val="22"/>
          <w:szCs w:val="22"/>
        </w:rPr>
        <w:t xml:space="preserve"> median </w:t>
      </w:r>
      <w:r>
        <w:rPr>
          <w:rFonts w:ascii="Calibri" w:hAnsi="Calibri"/>
          <w:sz w:val="22"/>
          <w:szCs w:val="22"/>
        </w:rPr>
        <w:t xml:space="preserve">household </w:t>
      </w:r>
      <w:r w:rsidRPr="008B375C">
        <w:rPr>
          <w:rFonts w:ascii="Calibri" w:hAnsi="Calibri"/>
          <w:sz w:val="22"/>
          <w:szCs w:val="22"/>
        </w:rPr>
        <w:t>income</w:t>
      </w:r>
      <w:r>
        <w:rPr>
          <w:rFonts w:ascii="Calibri" w:hAnsi="Calibri"/>
          <w:sz w:val="22"/>
          <w:szCs w:val="22"/>
        </w:rPr>
        <w:t xml:space="preserve"> level</w:t>
      </w:r>
      <w:r w:rsidRPr="008B375C">
        <w:rPr>
          <w:rFonts w:ascii="Calibri" w:hAnsi="Calibri"/>
          <w:sz w:val="22"/>
          <w:szCs w:val="22"/>
        </w:rPr>
        <w:t xml:space="preserve"> </w:t>
      </w:r>
      <w:r>
        <w:rPr>
          <w:rFonts w:ascii="Calibri" w:hAnsi="Calibri"/>
          <w:sz w:val="22"/>
          <w:szCs w:val="22"/>
        </w:rPr>
        <w:t xml:space="preserve">for Needham, the 100% of median income for the Boston area, </w:t>
      </w:r>
      <w:r w:rsidRPr="008B375C">
        <w:rPr>
          <w:rFonts w:ascii="Calibri" w:hAnsi="Calibri"/>
          <w:sz w:val="22"/>
          <w:szCs w:val="22"/>
        </w:rPr>
        <w:t xml:space="preserve">and at </w:t>
      </w:r>
      <w:r>
        <w:rPr>
          <w:rFonts w:ascii="Calibri" w:hAnsi="Calibri"/>
          <w:sz w:val="22"/>
          <w:szCs w:val="22"/>
        </w:rPr>
        <w:t xml:space="preserve">the </w:t>
      </w:r>
      <w:r w:rsidRPr="008B375C">
        <w:rPr>
          <w:rFonts w:ascii="Calibri" w:hAnsi="Calibri"/>
          <w:sz w:val="22"/>
          <w:szCs w:val="22"/>
        </w:rPr>
        <w:t xml:space="preserve">80% of </w:t>
      </w:r>
      <w:r>
        <w:rPr>
          <w:rFonts w:ascii="Calibri" w:hAnsi="Calibri"/>
          <w:sz w:val="22"/>
          <w:szCs w:val="22"/>
        </w:rPr>
        <w:t xml:space="preserve">area </w:t>
      </w:r>
      <w:r w:rsidRPr="008B375C">
        <w:rPr>
          <w:rFonts w:ascii="Calibri" w:hAnsi="Calibri"/>
          <w:sz w:val="22"/>
          <w:szCs w:val="22"/>
        </w:rPr>
        <w:t>median income</w:t>
      </w:r>
      <w:r>
        <w:rPr>
          <w:rFonts w:ascii="Calibri" w:hAnsi="Calibri"/>
          <w:sz w:val="22"/>
          <w:szCs w:val="22"/>
        </w:rPr>
        <w:t>,</w:t>
      </w:r>
      <w:r w:rsidRPr="008B375C">
        <w:rPr>
          <w:rFonts w:ascii="Calibri" w:hAnsi="Calibri"/>
          <w:sz w:val="22"/>
          <w:szCs w:val="22"/>
        </w:rPr>
        <w:t xml:space="preserve"> Table </w:t>
      </w:r>
      <w:r>
        <w:rPr>
          <w:rFonts w:ascii="Calibri" w:hAnsi="Calibri"/>
          <w:sz w:val="22"/>
          <w:szCs w:val="22"/>
        </w:rPr>
        <w:t>III-36</w:t>
      </w:r>
      <w:r w:rsidRPr="008B375C">
        <w:rPr>
          <w:rFonts w:ascii="Calibri" w:hAnsi="Calibri"/>
          <w:sz w:val="22"/>
          <w:szCs w:val="22"/>
        </w:rPr>
        <w:t xml:space="preserve"> also indicates that the amount of down payment has a substantial bearing on what households can afford.  </w:t>
      </w:r>
      <w:r>
        <w:rPr>
          <w:rFonts w:ascii="Calibri" w:hAnsi="Calibri"/>
          <w:sz w:val="22"/>
          <w:szCs w:val="22"/>
        </w:rPr>
        <w:t>Prior to the recession,</w:t>
      </w:r>
      <w:r w:rsidRPr="008B375C">
        <w:rPr>
          <w:rFonts w:ascii="Calibri" w:hAnsi="Calibri"/>
          <w:sz w:val="22"/>
          <w:szCs w:val="22"/>
        </w:rPr>
        <w:t xml:space="preserve"> it had been fairly easy for purchasers to limit their down payments to 5% or even less as long as they paid </w:t>
      </w:r>
      <w:r>
        <w:rPr>
          <w:rFonts w:ascii="Calibri" w:hAnsi="Calibri"/>
          <w:sz w:val="22"/>
          <w:szCs w:val="22"/>
        </w:rPr>
        <w:t>P</w:t>
      </w:r>
      <w:r w:rsidRPr="008B375C">
        <w:rPr>
          <w:rFonts w:ascii="Calibri" w:hAnsi="Calibri"/>
          <w:sz w:val="22"/>
          <w:szCs w:val="22"/>
        </w:rPr>
        <w:t xml:space="preserve">rivate </w:t>
      </w:r>
      <w:r>
        <w:rPr>
          <w:rFonts w:ascii="Calibri" w:hAnsi="Calibri"/>
          <w:sz w:val="22"/>
          <w:szCs w:val="22"/>
        </w:rPr>
        <w:t>M</w:t>
      </w:r>
      <w:r w:rsidRPr="008B375C">
        <w:rPr>
          <w:rFonts w:ascii="Calibri" w:hAnsi="Calibri"/>
          <w:sz w:val="22"/>
          <w:szCs w:val="22"/>
        </w:rPr>
        <w:t xml:space="preserve">ortgage </w:t>
      </w:r>
      <w:r>
        <w:rPr>
          <w:rFonts w:ascii="Calibri" w:hAnsi="Calibri"/>
          <w:sz w:val="22"/>
          <w:szCs w:val="22"/>
        </w:rPr>
        <w:t>I</w:t>
      </w:r>
      <w:r w:rsidRPr="008B375C">
        <w:rPr>
          <w:rFonts w:ascii="Calibri" w:hAnsi="Calibri"/>
          <w:sz w:val="22"/>
          <w:szCs w:val="22"/>
        </w:rPr>
        <w:t>nsurance</w:t>
      </w:r>
      <w:r>
        <w:rPr>
          <w:rFonts w:ascii="Calibri" w:hAnsi="Calibri"/>
          <w:sz w:val="22"/>
          <w:szCs w:val="22"/>
        </w:rPr>
        <w:t xml:space="preserve"> (PMI)</w:t>
      </w:r>
      <w:r w:rsidRPr="008B375C">
        <w:rPr>
          <w:rFonts w:ascii="Calibri" w:hAnsi="Calibri"/>
          <w:sz w:val="22"/>
          <w:szCs w:val="22"/>
        </w:rPr>
        <w:t xml:space="preserve"> or qualified for a subsidized mortgage program such as the state’s </w:t>
      </w:r>
      <w:r>
        <w:rPr>
          <w:rFonts w:ascii="Calibri" w:hAnsi="Calibri"/>
          <w:sz w:val="22"/>
          <w:szCs w:val="22"/>
        </w:rPr>
        <w:t>ONE Mortgage Program,</w:t>
      </w:r>
      <w:r w:rsidRPr="008B375C">
        <w:rPr>
          <w:rStyle w:val="FootnoteReference"/>
          <w:rFonts w:ascii="Calibri" w:hAnsi="Calibri"/>
          <w:sz w:val="22"/>
          <w:szCs w:val="22"/>
        </w:rPr>
        <w:footnoteReference w:id="24"/>
      </w:r>
      <w:r w:rsidRPr="008B375C">
        <w:rPr>
          <w:rFonts w:ascii="Calibri" w:hAnsi="Calibri"/>
          <w:sz w:val="22"/>
          <w:szCs w:val="22"/>
        </w:rPr>
        <w:t xml:space="preserve"> MassHousing mortgage programs</w:t>
      </w:r>
      <w:r>
        <w:rPr>
          <w:rFonts w:ascii="Calibri" w:hAnsi="Calibri"/>
          <w:sz w:val="22"/>
          <w:szCs w:val="22"/>
        </w:rPr>
        <w:t>, or other government mortgage insurance programs</w:t>
      </w:r>
      <w:r w:rsidRPr="008B375C">
        <w:rPr>
          <w:rFonts w:ascii="Calibri" w:hAnsi="Calibri"/>
          <w:sz w:val="22"/>
          <w:szCs w:val="22"/>
        </w:rPr>
        <w:t xml:space="preserve">.  </w:t>
      </w:r>
      <w:r>
        <w:rPr>
          <w:rFonts w:ascii="Calibri" w:hAnsi="Calibri"/>
          <w:sz w:val="22"/>
          <w:szCs w:val="22"/>
        </w:rPr>
        <w:t>Since then, lenders</w:t>
      </w:r>
      <w:r w:rsidRPr="008B375C">
        <w:rPr>
          <w:rFonts w:ascii="Calibri" w:hAnsi="Calibri"/>
          <w:sz w:val="22"/>
          <w:szCs w:val="22"/>
        </w:rPr>
        <w:t xml:space="preserve"> have </w:t>
      </w:r>
      <w:r>
        <w:rPr>
          <w:rFonts w:ascii="Calibri" w:hAnsi="Calibri"/>
          <w:sz w:val="22"/>
          <w:szCs w:val="22"/>
        </w:rPr>
        <w:t xml:space="preserve">typically </w:t>
      </w:r>
      <w:r w:rsidRPr="008B375C">
        <w:rPr>
          <w:rFonts w:ascii="Calibri" w:hAnsi="Calibri"/>
          <w:sz w:val="22"/>
          <w:szCs w:val="22"/>
        </w:rPr>
        <w:t>appli</w:t>
      </w:r>
      <w:r>
        <w:rPr>
          <w:rFonts w:ascii="Calibri" w:hAnsi="Calibri"/>
          <w:sz w:val="22"/>
          <w:szCs w:val="22"/>
        </w:rPr>
        <w:t>ed</w:t>
      </w:r>
      <w:r w:rsidRPr="008B375C">
        <w:rPr>
          <w:rFonts w:ascii="Calibri" w:hAnsi="Calibri"/>
          <w:sz w:val="22"/>
          <w:szCs w:val="22"/>
        </w:rPr>
        <w:t xml:space="preserve"> more rigid lending criteria, including </w:t>
      </w:r>
      <w:r>
        <w:rPr>
          <w:rFonts w:ascii="Calibri" w:hAnsi="Calibri"/>
          <w:sz w:val="22"/>
          <w:szCs w:val="22"/>
        </w:rPr>
        <w:t>high down payments and stricter credit standards</w:t>
      </w:r>
      <w:r w:rsidRPr="008B375C">
        <w:rPr>
          <w:rFonts w:ascii="Calibri" w:hAnsi="Calibri"/>
          <w:sz w:val="22"/>
          <w:szCs w:val="22"/>
        </w:rPr>
        <w:t xml:space="preserve">. </w:t>
      </w:r>
      <w:r>
        <w:rPr>
          <w:rFonts w:ascii="Calibri" w:hAnsi="Calibri"/>
          <w:sz w:val="22"/>
          <w:szCs w:val="22"/>
        </w:rPr>
        <w:t>These requirements</w:t>
      </w:r>
      <w:r w:rsidRPr="008B375C">
        <w:rPr>
          <w:rFonts w:ascii="Calibri" w:hAnsi="Calibri"/>
          <w:sz w:val="22"/>
          <w:szCs w:val="22"/>
        </w:rPr>
        <w:t xml:space="preserve"> make homeownership, particularly first-time homeownership, much more challenging, and the proportion of first-time homebuyers entering the market has plummeted.  As Table </w:t>
      </w:r>
      <w:r>
        <w:rPr>
          <w:rFonts w:ascii="Calibri" w:hAnsi="Calibri"/>
          <w:sz w:val="22"/>
          <w:szCs w:val="22"/>
        </w:rPr>
        <w:t>III-36</w:t>
      </w:r>
      <w:r w:rsidRPr="008B375C">
        <w:rPr>
          <w:rFonts w:ascii="Calibri" w:hAnsi="Calibri"/>
          <w:sz w:val="22"/>
          <w:szCs w:val="22"/>
        </w:rPr>
        <w:t xml:space="preserve"> demonstrates, a household earning the same level of income can acquire a much higher priced home </w:t>
      </w:r>
      <w:r>
        <w:rPr>
          <w:rFonts w:ascii="Calibri" w:hAnsi="Calibri"/>
          <w:sz w:val="22"/>
          <w:szCs w:val="22"/>
        </w:rPr>
        <w:t>if the household is able to pay</w:t>
      </w:r>
      <w:r w:rsidRPr="008B375C">
        <w:rPr>
          <w:rFonts w:ascii="Calibri" w:hAnsi="Calibri"/>
          <w:sz w:val="22"/>
          <w:szCs w:val="22"/>
        </w:rPr>
        <w:t xml:space="preserve"> more cash down</w:t>
      </w:r>
      <w:r>
        <w:rPr>
          <w:rFonts w:ascii="Calibri" w:hAnsi="Calibri"/>
          <w:sz w:val="22"/>
          <w:szCs w:val="22"/>
        </w:rPr>
        <w:t>,</w:t>
      </w:r>
      <w:r w:rsidRPr="008B375C">
        <w:rPr>
          <w:rFonts w:ascii="Calibri" w:hAnsi="Calibri"/>
          <w:sz w:val="22"/>
          <w:szCs w:val="22"/>
        </w:rPr>
        <w:t xml:space="preserve"> as they are borrowing less. </w:t>
      </w:r>
    </w:p>
    <w:p w14:paraId="24710083" w14:textId="77777777" w:rsidR="00A4121C" w:rsidRDefault="00A4121C" w:rsidP="00615DA4">
      <w:pPr>
        <w:pStyle w:val="BodyTextIndent"/>
        <w:spacing w:after="0"/>
        <w:ind w:left="0"/>
        <w:jc w:val="both"/>
        <w:rPr>
          <w:rFonts w:ascii="Calibri" w:hAnsi="Calibri"/>
          <w:sz w:val="22"/>
          <w:szCs w:val="22"/>
        </w:rPr>
      </w:pPr>
    </w:p>
    <w:p w14:paraId="2FE31E0D" w14:textId="1FCA06BB" w:rsidR="008772FC" w:rsidRPr="008B375C" w:rsidRDefault="00317F76" w:rsidP="00615DA4">
      <w:pPr>
        <w:pStyle w:val="BodyTextIndent"/>
        <w:spacing w:after="0"/>
        <w:ind w:left="0"/>
        <w:jc w:val="both"/>
        <w:rPr>
          <w:rFonts w:ascii="Calibri" w:hAnsi="Calibri"/>
          <w:sz w:val="22"/>
          <w:szCs w:val="22"/>
        </w:rPr>
      </w:pPr>
      <w:r>
        <w:rPr>
          <w:rFonts w:ascii="Calibri" w:hAnsi="Calibri"/>
          <w:sz w:val="22"/>
          <w:szCs w:val="22"/>
        </w:rPr>
        <w:t>Whether mortgage financing requires Private Mortgage Insurance (PMI) also makes a difference.  PMI is not required on</w:t>
      </w:r>
      <w:r w:rsidR="005A4B15">
        <w:rPr>
          <w:rFonts w:ascii="Calibri" w:hAnsi="Calibri"/>
          <w:sz w:val="22"/>
          <w:szCs w:val="22"/>
        </w:rPr>
        <w:t xml:space="preserve"> </w:t>
      </w:r>
      <w:r>
        <w:rPr>
          <w:rFonts w:ascii="Calibri" w:hAnsi="Calibri"/>
          <w:sz w:val="22"/>
          <w:szCs w:val="22"/>
        </w:rPr>
        <w:t>mortgages with large down payments or for many publicly insured or subsidized mortgage programs.  Assuming that a household earning at 80% AMI can qualify for the state’s</w:t>
      </w:r>
      <w:r w:rsidR="005A4B15">
        <w:rPr>
          <w:rFonts w:ascii="Calibri" w:hAnsi="Calibri"/>
          <w:sz w:val="22"/>
          <w:szCs w:val="22"/>
        </w:rPr>
        <w:t xml:space="preserve"> ONE Mortgage Program or MassHousing offerings for example, this household could </w:t>
      </w:r>
      <w:r w:rsidR="00191370">
        <w:rPr>
          <w:rFonts w:ascii="Calibri" w:hAnsi="Calibri"/>
          <w:sz w:val="22"/>
          <w:szCs w:val="22"/>
        </w:rPr>
        <w:t xml:space="preserve">potentially </w:t>
      </w:r>
      <w:r w:rsidR="005A4B15">
        <w:rPr>
          <w:rFonts w:ascii="Calibri" w:hAnsi="Calibri"/>
          <w:sz w:val="22"/>
          <w:szCs w:val="22"/>
        </w:rPr>
        <w:t>afford a single-family home for</w:t>
      </w:r>
      <w:r w:rsidR="00B26696">
        <w:rPr>
          <w:rFonts w:ascii="Calibri" w:hAnsi="Calibri"/>
          <w:sz w:val="22"/>
          <w:szCs w:val="22"/>
        </w:rPr>
        <w:t xml:space="preserve"> about $371,500</w:t>
      </w:r>
      <w:r w:rsidR="00DD3052">
        <w:rPr>
          <w:rFonts w:ascii="Calibri" w:hAnsi="Calibri"/>
          <w:sz w:val="22"/>
          <w:szCs w:val="22"/>
        </w:rPr>
        <w:t xml:space="preserve"> w</w:t>
      </w:r>
      <w:r w:rsidR="005A4B15">
        <w:rPr>
          <w:rFonts w:ascii="Calibri" w:hAnsi="Calibri"/>
          <w:sz w:val="22"/>
          <w:szCs w:val="22"/>
        </w:rPr>
        <w:t>ithout PMI but $</w:t>
      </w:r>
      <w:r w:rsidR="00B45404">
        <w:rPr>
          <w:rFonts w:ascii="Calibri" w:hAnsi="Calibri"/>
          <w:sz w:val="22"/>
          <w:szCs w:val="22"/>
        </w:rPr>
        <w:t>351,500</w:t>
      </w:r>
      <w:r w:rsidR="00DD3052">
        <w:rPr>
          <w:rFonts w:ascii="Calibri" w:hAnsi="Calibri"/>
          <w:sz w:val="22"/>
          <w:szCs w:val="22"/>
        </w:rPr>
        <w:t xml:space="preserve"> w</w:t>
      </w:r>
      <w:r w:rsidR="005A4B15">
        <w:rPr>
          <w:rFonts w:ascii="Calibri" w:hAnsi="Calibri"/>
          <w:sz w:val="22"/>
          <w:szCs w:val="22"/>
        </w:rPr>
        <w:t>ith this extra cost.</w:t>
      </w:r>
    </w:p>
    <w:p w14:paraId="3704AF31" w14:textId="77777777" w:rsidR="008772FC" w:rsidRPr="008B375C" w:rsidRDefault="008772FC" w:rsidP="00615DA4">
      <w:pPr>
        <w:pStyle w:val="BodyTextIndent"/>
        <w:spacing w:after="0"/>
        <w:ind w:left="0"/>
        <w:jc w:val="both"/>
        <w:rPr>
          <w:rFonts w:ascii="Calibri" w:hAnsi="Calibri"/>
          <w:sz w:val="22"/>
          <w:szCs w:val="22"/>
        </w:rPr>
      </w:pPr>
    </w:p>
    <w:p w14:paraId="5BE4097D" w14:textId="7675FDDB" w:rsidR="00CA7232" w:rsidRDefault="00CA7232" w:rsidP="00CA7232">
      <w:pPr>
        <w:pStyle w:val="BodyTextIndent"/>
        <w:spacing w:after="0"/>
        <w:ind w:left="0"/>
        <w:jc w:val="both"/>
        <w:rPr>
          <w:rFonts w:ascii="Calibri" w:hAnsi="Calibri"/>
          <w:sz w:val="22"/>
          <w:szCs w:val="22"/>
        </w:rPr>
      </w:pPr>
      <w:r w:rsidRPr="008B375C">
        <w:rPr>
          <w:rFonts w:ascii="Calibri" w:hAnsi="Calibri"/>
          <w:sz w:val="22"/>
          <w:szCs w:val="22"/>
        </w:rPr>
        <w:t xml:space="preserve">Table </w:t>
      </w:r>
      <w:r>
        <w:rPr>
          <w:rFonts w:ascii="Calibri" w:hAnsi="Calibri"/>
          <w:sz w:val="22"/>
          <w:szCs w:val="22"/>
        </w:rPr>
        <w:t>III-36</w:t>
      </w:r>
      <w:r w:rsidRPr="008B375C">
        <w:rPr>
          <w:rFonts w:ascii="Calibri" w:hAnsi="Calibri"/>
          <w:sz w:val="22"/>
          <w:szCs w:val="22"/>
        </w:rPr>
        <w:t xml:space="preserve"> also shows that because condo fees are calculated as housing expenses in mortgage underwriting criteria, </w:t>
      </w:r>
      <w:r>
        <w:rPr>
          <w:rFonts w:ascii="Calibri" w:hAnsi="Calibri"/>
          <w:sz w:val="22"/>
          <w:szCs w:val="22"/>
        </w:rPr>
        <w:t>condo units can be</w:t>
      </w:r>
      <w:r w:rsidRPr="008B375C">
        <w:rPr>
          <w:rFonts w:ascii="Calibri" w:hAnsi="Calibri"/>
          <w:sz w:val="22"/>
          <w:szCs w:val="22"/>
        </w:rPr>
        <w:t xml:space="preserve"> </w:t>
      </w:r>
      <w:r>
        <w:rPr>
          <w:rFonts w:ascii="Calibri" w:hAnsi="Calibri"/>
          <w:sz w:val="22"/>
          <w:szCs w:val="22"/>
        </w:rPr>
        <w:t xml:space="preserve">relatively </w:t>
      </w:r>
      <w:r w:rsidRPr="008B375C">
        <w:rPr>
          <w:rFonts w:ascii="Calibri" w:hAnsi="Calibri"/>
          <w:sz w:val="22"/>
          <w:szCs w:val="22"/>
        </w:rPr>
        <w:t>more expensive.  Therefore, a</w:t>
      </w:r>
      <w:r>
        <w:rPr>
          <w:rFonts w:ascii="Calibri" w:hAnsi="Calibri"/>
          <w:sz w:val="22"/>
          <w:szCs w:val="22"/>
        </w:rPr>
        <w:t xml:space="preserve"> three-person</w:t>
      </w:r>
      <w:r w:rsidRPr="008B375C">
        <w:rPr>
          <w:rFonts w:ascii="Calibri" w:hAnsi="Calibri"/>
          <w:sz w:val="22"/>
          <w:szCs w:val="22"/>
        </w:rPr>
        <w:t xml:space="preserve"> household earning at </w:t>
      </w:r>
      <w:r w:rsidR="00337484">
        <w:rPr>
          <w:rFonts w:ascii="Calibri" w:hAnsi="Calibri"/>
          <w:sz w:val="22"/>
          <w:szCs w:val="22"/>
        </w:rPr>
        <w:t xml:space="preserve">the </w:t>
      </w:r>
      <w:r w:rsidRPr="008B375C">
        <w:rPr>
          <w:rFonts w:ascii="Calibri" w:hAnsi="Calibri"/>
          <w:sz w:val="22"/>
          <w:szCs w:val="22"/>
        </w:rPr>
        <w:t>80% of area median income</w:t>
      </w:r>
      <w:r w:rsidR="00337484">
        <w:rPr>
          <w:rFonts w:ascii="Calibri" w:hAnsi="Calibri"/>
          <w:sz w:val="22"/>
          <w:szCs w:val="22"/>
        </w:rPr>
        <w:t xml:space="preserve"> limit</w:t>
      </w:r>
      <w:r w:rsidRPr="008B375C">
        <w:rPr>
          <w:rFonts w:ascii="Calibri" w:hAnsi="Calibri"/>
          <w:sz w:val="22"/>
          <w:szCs w:val="22"/>
        </w:rPr>
        <w:t xml:space="preserve"> (based on </w:t>
      </w:r>
      <w:r>
        <w:rPr>
          <w:rFonts w:ascii="Calibri" w:hAnsi="Calibri"/>
          <w:sz w:val="22"/>
          <w:szCs w:val="22"/>
        </w:rPr>
        <w:t xml:space="preserve">2021 </w:t>
      </w:r>
      <w:r w:rsidRPr="008B375C">
        <w:rPr>
          <w:rFonts w:ascii="Calibri" w:hAnsi="Calibri"/>
          <w:sz w:val="22"/>
          <w:szCs w:val="22"/>
        </w:rPr>
        <w:t xml:space="preserve">HUD income limits for the </w:t>
      </w:r>
      <w:r w:rsidRPr="008B375C">
        <w:rPr>
          <w:rFonts w:ascii="Calibri" w:hAnsi="Calibri"/>
          <w:sz w:val="22"/>
          <w:szCs w:val="22"/>
        </w:rPr>
        <w:lastRenderedPageBreak/>
        <w:t>Boston area), for example, can afford a single-family home of $</w:t>
      </w:r>
      <w:r>
        <w:rPr>
          <w:rFonts w:ascii="Calibri" w:hAnsi="Calibri"/>
          <w:sz w:val="22"/>
          <w:szCs w:val="22"/>
        </w:rPr>
        <w:t>371,500</w:t>
      </w:r>
      <w:r w:rsidRPr="008B375C">
        <w:rPr>
          <w:rFonts w:ascii="Calibri" w:hAnsi="Calibri"/>
          <w:sz w:val="22"/>
          <w:szCs w:val="22"/>
        </w:rPr>
        <w:t xml:space="preserve"> with a 5% down payment, but a condo </w:t>
      </w:r>
      <w:r>
        <w:rPr>
          <w:rFonts w:ascii="Calibri" w:hAnsi="Calibri"/>
          <w:sz w:val="22"/>
          <w:szCs w:val="22"/>
        </w:rPr>
        <w:t xml:space="preserve">unit </w:t>
      </w:r>
      <w:r w:rsidRPr="008B375C">
        <w:rPr>
          <w:rFonts w:ascii="Calibri" w:hAnsi="Calibri"/>
          <w:sz w:val="22"/>
          <w:szCs w:val="22"/>
        </w:rPr>
        <w:t>for only $</w:t>
      </w:r>
      <w:r>
        <w:rPr>
          <w:rFonts w:ascii="Calibri" w:hAnsi="Calibri"/>
          <w:sz w:val="22"/>
          <w:szCs w:val="22"/>
        </w:rPr>
        <w:t>331,500</w:t>
      </w:r>
      <w:r w:rsidRPr="008B375C">
        <w:rPr>
          <w:rFonts w:ascii="Calibri" w:hAnsi="Calibri"/>
          <w:sz w:val="22"/>
          <w:szCs w:val="22"/>
        </w:rPr>
        <w:t xml:space="preserve">, assuming a condo fee of $300 per month.  </w:t>
      </w:r>
      <w:r>
        <w:rPr>
          <w:rFonts w:ascii="Calibri" w:hAnsi="Calibri"/>
          <w:sz w:val="22"/>
          <w:szCs w:val="22"/>
        </w:rPr>
        <w:t xml:space="preserve">Condo units are typically smaller and cost less than single-family homes, however, and the condo fee pays for maintenance of building and grounds that is borne directly by the homeowner.  </w:t>
      </w:r>
    </w:p>
    <w:p w14:paraId="4BF93865" w14:textId="77777777" w:rsidR="00B45404" w:rsidRDefault="00B45404" w:rsidP="00615DA4">
      <w:pPr>
        <w:pStyle w:val="BodyTextIndent"/>
        <w:spacing w:after="0"/>
        <w:ind w:left="0"/>
        <w:jc w:val="both"/>
        <w:rPr>
          <w:rFonts w:ascii="Calibri" w:hAnsi="Calibri"/>
          <w:sz w:val="22"/>
          <w:szCs w:val="22"/>
        </w:rPr>
      </w:pPr>
    </w:p>
    <w:p w14:paraId="49C1B5CE" w14:textId="5C0B292E" w:rsidR="008772FC" w:rsidRPr="008856FD" w:rsidRDefault="00B45404" w:rsidP="008856FD">
      <w:pPr>
        <w:pStyle w:val="BodyTextIndent"/>
        <w:spacing w:after="0"/>
        <w:ind w:left="0"/>
        <w:jc w:val="both"/>
        <w:rPr>
          <w:rFonts w:ascii="Calibri" w:hAnsi="Calibri"/>
          <w:b/>
          <w:bCs/>
          <w:sz w:val="22"/>
          <w:szCs w:val="22"/>
        </w:rPr>
      </w:pPr>
      <w:r w:rsidRPr="008856FD">
        <w:rPr>
          <w:rFonts w:ascii="Calibri" w:hAnsi="Calibri"/>
          <w:b/>
          <w:bCs/>
          <w:sz w:val="22"/>
          <w:szCs w:val="22"/>
        </w:rPr>
        <w:t>It should be noted that t</w:t>
      </w:r>
      <w:r w:rsidR="008772FC" w:rsidRPr="008856FD">
        <w:rPr>
          <w:rFonts w:ascii="Calibri" w:hAnsi="Calibri"/>
          <w:b/>
          <w:bCs/>
          <w:sz w:val="22"/>
          <w:szCs w:val="22"/>
        </w:rPr>
        <w:t>he same household</w:t>
      </w:r>
      <w:r w:rsidRPr="008856FD">
        <w:rPr>
          <w:rFonts w:ascii="Calibri" w:hAnsi="Calibri"/>
          <w:b/>
          <w:bCs/>
          <w:sz w:val="22"/>
          <w:szCs w:val="22"/>
        </w:rPr>
        <w:t xml:space="preserve"> with income at the 80% AMI limit</w:t>
      </w:r>
      <w:r w:rsidR="008772FC" w:rsidRPr="008856FD">
        <w:rPr>
          <w:rFonts w:ascii="Calibri" w:hAnsi="Calibri"/>
          <w:b/>
          <w:bCs/>
          <w:sz w:val="22"/>
          <w:szCs w:val="22"/>
        </w:rPr>
        <w:t xml:space="preserve"> is estimated to </w:t>
      </w:r>
      <w:r w:rsidR="00D27122" w:rsidRPr="008856FD">
        <w:rPr>
          <w:rFonts w:ascii="Calibri" w:hAnsi="Calibri"/>
          <w:b/>
          <w:bCs/>
          <w:sz w:val="22"/>
          <w:szCs w:val="22"/>
        </w:rPr>
        <w:t xml:space="preserve">potentially </w:t>
      </w:r>
      <w:r w:rsidR="008772FC" w:rsidRPr="008856FD">
        <w:rPr>
          <w:rFonts w:ascii="Calibri" w:hAnsi="Calibri"/>
          <w:b/>
          <w:bCs/>
          <w:sz w:val="22"/>
          <w:szCs w:val="22"/>
        </w:rPr>
        <w:t>be able to buy a two-family house for $</w:t>
      </w:r>
      <w:r w:rsidR="00D27122" w:rsidRPr="008856FD">
        <w:rPr>
          <w:rFonts w:ascii="Calibri" w:hAnsi="Calibri"/>
          <w:b/>
          <w:bCs/>
          <w:sz w:val="22"/>
          <w:szCs w:val="22"/>
        </w:rPr>
        <w:t>593</w:t>
      </w:r>
      <w:r w:rsidR="002B4D87" w:rsidRPr="008856FD">
        <w:rPr>
          <w:rFonts w:ascii="Calibri" w:hAnsi="Calibri"/>
          <w:b/>
          <w:bCs/>
          <w:sz w:val="22"/>
          <w:szCs w:val="22"/>
        </w:rPr>
        <w:t>,000</w:t>
      </w:r>
      <w:r w:rsidR="00D27122" w:rsidRPr="008856FD">
        <w:rPr>
          <w:rFonts w:ascii="Calibri" w:hAnsi="Calibri"/>
          <w:b/>
          <w:bCs/>
          <w:sz w:val="22"/>
          <w:szCs w:val="22"/>
        </w:rPr>
        <w:t>.  This assumes that</w:t>
      </w:r>
      <w:r w:rsidR="008772FC" w:rsidRPr="008856FD">
        <w:rPr>
          <w:rFonts w:ascii="Calibri" w:hAnsi="Calibri"/>
          <w:b/>
          <w:bCs/>
          <w:sz w:val="22"/>
          <w:szCs w:val="22"/>
        </w:rPr>
        <w:t xml:space="preserve"> it can charge $</w:t>
      </w:r>
      <w:r w:rsidR="002B4D87" w:rsidRPr="008856FD">
        <w:rPr>
          <w:rFonts w:ascii="Calibri" w:hAnsi="Calibri"/>
          <w:b/>
          <w:bCs/>
          <w:sz w:val="22"/>
          <w:szCs w:val="22"/>
        </w:rPr>
        <w:t>2</w:t>
      </w:r>
      <w:r w:rsidR="008772FC" w:rsidRPr="008856FD">
        <w:rPr>
          <w:rFonts w:ascii="Calibri" w:hAnsi="Calibri"/>
          <w:b/>
          <w:bCs/>
          <w:sz w:val="22"/>
          <w:szCs w:val="22"/>
        </w:rPr>
        <w:t>,</w:t>
      </w:r>
      <w:r w:rsidR="002B4D87" w:rsidRPr="008856FD">
        <w:rPr>
          <w:rFonts w:ascii="Calibri" w:hAnsi="Calibri"/>
          <w:b/>
          <w:bCs/>
          <w:sz w:val="22"/>
          <w:szCs w:val="22"/>
        </w:rPr>
        <w:t>0</w:t>
      </w:r>
      <w:r w:rsidR="008772FC" w:rsidRPr="008856FD">
        <w:rPr>
          <w:rFonts w:ascii="Calibri" w:hAnsi="Calibri"/>
          <w:b/>
          <w:bCs/>
          <w:sz w:val="22"/>
          <w:szCs w:val="22"/>
        </w:rPr>
        <w:t>00 per month in rent as this income is also considered in mortgage underwriting, usually at about 75% of the rent level or $1,</w:t>
      </w:r>
      <w:r w:rsidR="002B4D87" w:rsidRPr="008856FD">
        <w:rPr>
          <w:rFonts w:ascii="Calibri" w:hAnsi="Calibri"/>
          <w:b/>
          <w:bCs/>
          <w:sz w:val="22"/>
          <w:szCs w:val="22"/>
        </w:rPr>
        <w:t>500</w:t>
      </w:r>
      <w:r w:rsidR="008772FC" w:rsidRPr="008856FD">
        <w:rPr>
          <w:rFonts w:ascii="Calibri" w:hAnsi="Calibri"/>
          <w:b/>
          <w:bCs/>
          <w:sz w:val="22"/>
          <w:szCs w:val="22"/>
        </w:rPr>
        <w:t xml:space="preserve">.  A three-family house is even more affordable with two paying tenants, and it is therefore not surprising that the two-family </w:t>
      </w:r>
      <w:r w:rsidR="002B4D87" w:rsidRPr="008856FD">
        <w:rPr>
          <w:rFonts w:ascii="Calibri" w:hAnsi="Calibri"/>
          <w:b/>
          <w:bCs/>
          <w:sz w:val="22"/>
          <w:szCs w:val="22"/>
        </w:rPr>
        <w:t>and</w:t>
      </w:r>
      <w:r w:rsidR="008772FC" w:rsidRPr="008856FD">
        <w:rPr>
          <w:rFonts w:ascii="Calibri" w:hAnsi="Calibri"/>
          <w:b/>
          <w:bCs/>
          <w:sz w:val="22"/>
          <w:szCs w:val="22"/>
        </w:rPr>
        <w:t xml:space="preserve"> triple-decker ha</w:t>
      </w:r>
      <w:r w:rsidR="002B4D87" w:rsidRPr="008856FD">
        <w:rPr>
          <w:rFonts w:ascii="Calibri" w:hAnsi="Calibri"/>
          <w:b/>
          <w:bCs/>
          <w:sz w:val="22"/>
          <w:szCs w:val="22"/>
        </w:rPr>
        <w:t>ve</w:t>
      </w:r>
      <w:r w:rsidR="008772FC" w:rsidRPr="008856FD">
        <w:rPr>
          <w:rFonts w:ascii="Calibri" w:hAnsi="Calibri"/>
          <w:b/>
          <w:bCs/>
          <w:sz w:val="22"/>
          <w:szCs w:val="22"/>
        </w:rPr>
        <w:t xml:space="preserve"> been s</w:t>
      </w:r>
      <w:r w:rsidR="002B4D87" w:rsidRPr="008856FD">
        <w:rPr>
          <w:rFonts w:ascii="Calibri" w:hAnsi="Calibri"/>
          <w:b/>
          <w:bCs/>
          <w:sz w:val="22"/>
          <w:szCs w:val="22"/>
        </w:rPr>
        <w:t>o</w:t>
      </w:r>
      <w:r w:rsidR="008772FC" w:rsidRPr="008856FD">
        <w:rPr>
          <w:rFonts w:ascii="Calibri" w:hAnsi="Calibri"/>
          <w:b/>
          <w:bCs/>
          <w:sz w:val="22"/>
          <w:szCs w:val="22"/>
        </w:rPr>
        <w:t xml:space="preserve"> success</w:t>
      </w:r>
      <w:r w:rsidR="002B4D87" w:rsidRPr="008856FD">
        <w:rPr>
          <w:rFonts w:ascii="Calibri" w:hAnsi="Calibri"/>
          <w:b/>
          <w:bCs/>
          <w:sz w:val="22"/>
          <w:szCs w:val="22"/>
        </w:rPr>
        <w:t>ful</w:t>
      </w:r>
      <w:r w:rsidR="008772FC" w:rsidRPr="008856FD">
        <w:rPr>
          <w:rFonts w:ascii="Calibri" w:hAnsi="Calibri"/>
          <w:b/>
          <w:bCs/>
          <w:sz w:val="22"/>
          <w:szCs w:val="22"/>
        </w:rPr>
        <w:t xml:space="preserve"> as starter housing for those looking to enter into homeownership.</w:t>
      </w:r>
      <w:r w:rsidR="008772FC" w:rsidRPr="008856FD">
        <w:rPr>
          <w:rStyle w:val="FootnoteReference"/>
          <w:rFonts w:ascii="Calibri" w:hAnsi="Calibri"/>
          <w:b/>
          <w:bCs/>
          <w:sz w:val="22"/>
          <w:szCs w:val="22"/>
        </w:rPr>
        <w:footnoteReference w:id="25"/>
      </w:r>
    </w:p>
    <w:p w14:paraId="0B27187A" w14:textId="77777777" w:rsidR="00A5473F" w:rsidRDefault="00A5473F" w:rsidP="00615DA4">
      <w:pPr>
        <w:pStyle w:val="BodyTextIndent"/>
        <w:spacing w:after="0"/>
        <w:ind w:left="0"/>
        <w:jc w:val="both"/>
        <w:rPr>
          <w:rFonts w:ascii="Calibri" w:hAnsi="Calibri"/>
          <w:sz w:val="22"/>
          <w:szCs w:val="22"/>
        </w:rPr>
      </w:pPr>
    </w:p>
    <w:p w14:paraId="0DF2239D" w14:textId="76DC7902" w:rsidR="008772FC" w:rsidRPr="008B375C" w:rsidRDefault="008772FC" w:rsidP="008772FC">
      <w:pPr>
        <w:pStyle w:val="BodyTextIndent"/>
        <w:spacing w:after="0"/>
        <w:ind w:left="0" w:right="-720"/>
        <w:jc w:val="center"/>
        <w:rPr>
          <w:rFonts w:ascii="Calibri" w:hAnsi="Calibri"/>
          <w:b/>
          <w:bCs/>
          <w:sz w:val="22"/>
          <w:szCs w:val="22"/>
        </w:rPr>
      </w:pPr>
      <w:r w:rsidRPr="008B375C">
        <w:rPr>
          <w:rFonts w:ascii="Calibri" w:hAnsi="Calibri"/>
          <w:b/>
          <w:bCs/>
          <w:sz w:val="22"/>
          <w:szCs w:val="22"/>
        </w:rPr>
        <w:t xml:space="preserve">Table </w:t>
      </w:r>
      <w:r w:rsidR="000F4EFD">
        <w:rPr>
          <w:rFonts w:ascii="Calibri" w:hAnsi="Calibri"/>
          <w:b/>
          <w:bCs/>
          <w:sz w:val="22"/>
          <w:szCs w:val="22"/>
        </w:rPr>
        <w:t>III-36</w:t>
      </w:r>
      <w:r w:rsidRPr="008B375C">
        <w:rPr>
          <w:rFonts w:ascii="Calibri" w:hAnsi="Calibri"/>
          <w:b/>
          <w:bCs/>
          <w:sz w:val="22"/>
          <w:szCs w:val="22"/>
        </w:rPr>
        <w:t>: Affordability Analysis I</w:t>
      </w:r>
    </w:p>
    <w:p w14:paraId="1D4CEE24" w14:textId="77777777" w:rsidR="008772FC" w:rsidRPr="008B375C" w:rsidRDefault="008772FC" w:rsidP="008772FC">
      <w:pPr>
        <w:pStyle w:val="BodyTextIndent"/>
        <w:spacing w:after="0"/>
        <w:ind w:left="0" w:right="-720"/>
        <w:jc w:val="center"/>
        <w:rPr>
          <w:rFonts w:ascii="Calibri" w:hAnsi="Calibri"/>
          <w:b/>
          <w:bCs/>
          <w:sz w:val="22"/>
          <w:szCs w:val="22"/>
        </w:rPr>
      </w:pPr>
      <w:r w:rsidRPr="008B375C">
        <w:rPr>
          <w:rFonts w:ascii="Calibri" w:hAnsi="Calibri"/>
          <w:b/>
          <w:bCs/>
          <w:sz w:val="22"/>
          <w:szCs w:val="22"/>
          <w:u w:val="single"/>
        </w:rPr>
        <w:t>Maximum</w:t>
      </w:r>
      <w:r w:rsidRPr="008B375C">
        <w:rPr>
          <w:rFonts w:ascii="Calibri" w:hAnsi="Calibri"/>
          <w:b/>
          <w:bCs/>
          <w:sz w:val="22"/>
          <w:szCs w:val="22"/>
        </w:rPr>
        <w:t xml:space="preserve"> Affordable Prices Based on Various Income Levels and Housing Types</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2106"/>
        <w:gridCol w:w="1869"/>
        <w:gridCol w:w="2102"/>
        <w:gridCol w:w="2091"/>
      </w:tblGrid>
      <w:tr w:rsidR="008772FC" w:rsidRPr="008B375C" w14:paraId="3D8C6135" w14:textId="77777777" w:rsidTr="00615DA4">
        <w:tc>
          <w:tcPr>
            <w:tcW w:w="835" w:type="pct"/>
            <w:shd w:val="clear" w:color="auto" w:fill="B6DDE8" w:themeFill="accent5" w:themeFillTint="66"/>
          </w:tcPr>
          <w:p w14:paraId="2B58A615" w14:textId="77777777" w:rsidR="008772FC" w:rsidRPr="008B375C" w:rsidRDefault="008772FC" w:rsidP="008F2513">
            <w:pPr>
              <w:pStyle w:val="BodyTextIndent"/>
              <w:spacing w:after="0"/>
              <w:ind w:left="0" w:right="-720"/>
              <w:rPr>
                <w:rFonts w:ascii="Calibri" w:hAnsi="Calibri"/>
                <w:b/>
                <w:bCs/>
              </w:rPr>
            </w:pPr>
          </w:p>
          <w:p w14:paraId="02E846A7"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 xml:space="preserve">Type of </w:t>
            </w:r>
          </w:p>
          <w:p w14:paraId="23EB3209"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Property</w:t>
            </w:r>
          </w:p>
        </w:tc>
        <w:tc>
          <w:tcPr>
            <w:tcW w:w="1074" w:type="pct"/>
            <w:shd w:val="clear" w:color="auto" w:fill="B6DDE8" w:themeFill="accent5" w:themeFillTint="66"/>
          </w:tcPr>
          <w:p w14:paraId="10EB540C" w14:textId="77777777" w:rsidR="008772FC" w:rsidRPr="008B375C" w:rsidRDefault="008772FC" w:rsidP="008F2513">
            <w:pPr>
              <w:pStyle w:val="BodyTextIndent"/>
              <w:spacing w:after="0"/>
              <w:ind w:left="0" w:right="-720"/>
              <w:rPr>
                <w:rFonts w:ascii="Calibri" w:hAnsi="Calibri"/>
                <w:b/>
                <w:bCs/>
              </w:rPr>
            </w:pPr>
          </w:p>
          <w:p w14:paraId="2F04137F"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Income Level</w:t>
            </w:r>
          </w:p>
        </w:tc>
        <w:tc>
          <w:tcPr>
            <w:tcW w:w="953" w:type="pct"/>
            <w:shd w:val="clear" w:color="auto" w:fill="B6DDE8" w:themeFill="accent5" w:themeFillTint="66"/>
          </w:tcPr>
          <w:p w14:paraId="4A6CBF62" w14:textId="77777777" w:rsidR="008772FC" w:rsidRPr="008B375C" w:rsidRDefault="008772FC" w:rsidP="008F2513">
            <w:pPr>
              <w:pStyle w:val="BodyTextIndent"/>
              <w:spacing w:after="0"/>
              <w:ind w:left="0" w:right="-720"/>
              <w:rPr>
                <w:rFonts w:ascii="Calibri" w:hAnsi="Calibri"/>
                <w:b/>
                <w:bCs/>
              </w:rPr>
            </w:pPr>
          </w:p>
          <w:p w14:paraId="48F7010C"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30% of Monthly</w:t>
            </w:r>
          </w:p>
          <w:p w14:paraId="46EFF928"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Income</w:t>
            </w:r>
          </w:p>
        </w:tc>
        <w:tc>
          <w:tcPr>
            <w:tcW w:w="1072" w:type="pct"/>
            <w:shd w:val="clear" w:color="auto" w:fill="B6DDE8" w:themeFill="accent5" w:themeFillTint="66"/>
          </w:tcPr>
          <w:p w14:paraId="7F365E86"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Estimated Max.</w:t>
            </w:r>
          </w:p>
          <w:p w14:paraId="63D54991"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Affordable Price</w:t>
            </w:r>
          </w:p>
          <w:p w14:paraId="08742881"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5% Down***</w:t>
            </w:r>
          </w:p>
        </w:tc>
        <w:tc>
          <w:tcPr>
            <w:tcW w:w="1066" w:type="pct"/>
            <w:shd w:val="clear" w:color="auto" w:fill="B6DDE8" w:themeFill="accent5" w:themeFillTint="66"/>
          </w:tcPr>
          <w:p w14:paraId="6B4294C2"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Estimated Max.</w:t>
            </w:r>
          </w:p>
          <w:p w14:paraId="7451C3A5"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Affordable Price</w:t>
            </w:r>
          </w:p>
          <w:p w14:paraId="7FCB83CE" w14:textId="77777777" w:rsidR="008772FC" w:rsidRPr="008B375C" w:rsidRDefault="008772FC" w:rsidP="008F2513">
            <w:pPr>
              <w:pStyle w:val="BodyTextIndent"/>
              <w:spacing w:after="0"/>
              <w:ind w:left="0" w:right="-720"/>
              <w:rPr>
                <w:rFonts w:ascii="Calibri" w:hAnsi="Calibri"/>
                <w:b/>
                <w:bCs/>
              </w:rPr>
            </w:pPr>
            <w:r w:rsidRPr="008B375C">
              <w:rPr>
                <w:rFonts w:ascii="Calibri" w:hAnsi="Calibri"/>
                <w:b/>
                <w:bCs/>
                <w:sz w:val="22"/>
                <w:szCs w:val="22"/>
              </w:rPr>
              <w:t>20% Down***</w:t>
            </w:r>
          </w:p>
        </w:tc>
      </w:tr>
      <w:tr w:rsidR="008772FC" w:rsidRPr="004E50E7" w14:paraId="3CA191D7" w14:textId="77777777" w:rsidTr="008F2513">
        <w:tc>
          <w:tcPr>
            <w:tcW w:w="835" w:type="pct"/>
          </w:tcPr>
          <w:p w14:paraId="4D7A1355" w14:textId="77777777" w:rsidR="008772FC" w:rsidRPr="004E50E7" w:rsidRDefault="008772FC" w:rsidP="008F2513">
            <w:pPr>
              <w:pStyle w:val="BodyTextIndent"/>
              <w:spacing w:after="0"/>
              <w:ind w:left="0" w:right="-720"/>
              <w:rPr>
                <w:rFonts w:ascii="Calibri" w:hAnsi="Calibri"/>
                <w:b/>
                <w:bCs/>
                <w:sz w:val="20"/>
              </w:rPr>
            </w:pPr>
            <w:r w:rsidRPr="004E50E7">
              <w:rPr>
                <w:rFonts w:ascii="Calibri" w:hAnsi="Calibri"/>
                <w:b/>
                <w:bCs/>
                <w:sz w:val="20"/>
              </w:rPr>
              <w:t>Single-family</w:t>
            </w:r>
          </w:p>
        </w:tc>
        <w:tc>
          <w:tcPr>
            <w:tcW w:w="1074" w:type="pct"/>
          </w:tcPr>
          <w:p w14:paraId="27C1A90C" w14:textId="77777777" w:rsidR="005572AE" w:rsidRDefault="005572AE" w:rsidP="008F2513">
            <w:pPr>
              <w:pStyle w:val="BodyTextIndent"/>
              <w:spacing w:after="0"/>
              <w:ind w:left="0" w:right="-720"/>
              <w:rPr>
                <w:rFonts w:ascii="Calibri" w:hAnsi="Calibri"/>
                <w:sz w:val="20"/>
              </w:rPr>
            </w:pPr>
            <w:r>
              <w:rPr>
                <w:rFonts w:ascii="Calibri" w:hAnsi="Calibri"/>
                <w:sz w:val="20"/>
              </w:rPr>
              <w:t xml:space="preserve">Needham </w:t>
            </w:r>
            <w:r w:rsidR="008772FC" w:rsidRPr="004E50E7">
              <w:rPr>
                <w:rFonts w:ascii="Calibri" w:hAnsi="Calibri"/>
                <w:sz w:val="20"/>
              </w:rPr>
              <w:t>Median</w:t>
            </w:r>
          </w:p>
          <w:p w14:paraId="61C8AB51" w14:textId="2022B1ED" w:rsidR="008772FC" w:rsidRPr="004E50E7" w:rsidRDefault="008772FC" w:rsidP="005572AE">
            <w:pPr>
              <w:pStyle w:val="BodyTextIndent"/>
              <w:spacing w:after="0"/>
              <w:ind w:left="0" w:right="-720"/>
              <w:rPr>
                <w:rFonts w:ascii="Calibri" w:hAnsi="Calibri"/>
                <w:sz w:val="20"/>
              </w:rPr>
            </w:pPr>
            <w:r w:rsidRPr="004E50E7">
              <w:rPr>
                <w:rFonts w:ascii="Calibri" w:hAnsi="Calibri"/>
                <w:sz w:val="20"/>
              </w:rPr>
              <w:t>Income =</w:t>
            </w:r>
            <w:r w:rsidR="005572AE">
              <w:rPr>
                <w:rFonts w:ascii="Calibri" w:hAnsi="Calibri"/>
                <w:sz w:val="20"/>
              </w:rPr>
              <w:t xml:space="preserve"> </w:t>
            </w:r>
            <w:r w:rsidRPr="004E50E7">
              <w:rPr>
                <w:rFonts w:ascii="Calibri" w:hAnsi="Calibri"/>
                <w:sz w:val="20"/>
              </w:rPr>
              <w:t>$</w:t>
            </w:r>
            <w:r w:rsidR="003C3EF8">
              <w:rPr>
                <w:rFonts w:ascii="Calibri" w:hAnsi="Calibri"/>
                <w:sz w:val="20"/>
              </w:rPr>
              <w:t>174,707</w:t>
            </w:r>
            <w:r w:rsidRPr="004E50E7">
              <w:rPr>
                <w:rFonts w:ascii="Calibri" w:hAnsi="Calibri"/>
                <w:sz w:val="20"/>
              </w:rPr>
              <w:t>*</w:t>
            </w:r>
          </w:p>
        </w:tc>
        <w:tc>
          <w:tcPr>
            <w:tcW w:w="953" w:type="pct"/>
          </w:tcPr>
          <w:p w14:paraId="6A61227B" w14:textId="677AD104" w:rsidR="008772FC" w:rsidRPr="004E50E7" w:rsidRDefault="005626DE" w:rsidP="008F2513">
            <w:pPr>
              <w:pStyle w:val="BodyTextIndent"/>
              <w:spacing w:after="0"/>
              <w:ind w:left="0" w:right="-720"/>
              <w:rPr>
                <w:rFonts w:ascii="Calibri" w:hAnsi="Calibri"/>
                <w:sz w:val="20"/>
              </w:rPr>
            </w:pPr>
            <w:r>
              <w:rPr>
                <w:rFonts w:ascii="Calibri" w:hAnsi="Calibri"/>
                <w:sz w:val="20"/>
              </w:rPr>
              <w:t>$</w:t>
            </w:r>
            <w:r w:rsidR="003C3EF8">
              <w:rPr>
                <w:rFonts w:ascii="Calibri" w:hAnsi="Calibri"/>
                <w:sz w:val="20"/>
              </w:rPr>
              <w:t>4,367.68</w:t>
            </w:r>
          </w:p>
        </w:tc>
        <w:tc>
          <w:tcPr>
            <w:tcW w:w="1072" w:type="pct"/>
          </w:tcPr>
          <w:p w14:paraId="2B74C3A4" w14:textId="56487554"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w:t>
            </w:r>
            <w:r w:rsidR="00C574C5">
              <w:rPr>
                <w:rFonts w:ascii="Calibri" w:hAnsi="Calibri"/>
                <w:sz w:val="20"/>
              </w:rPr>
              <w:t>6</w:t>
            </w:r>
            <w:r w:rsidR="003C3EF8">
              <w:rPr>
                <w:rFonts w:ascii="Calibri" w:hAnsi="Calibri"/>
                <w:sz w:val="20"/>
              </w:rPr>
              <w:t>86</w:t>
            </w:r>
            <w:r w:rsidR="00C574C5">
              <w:rPr>
                <w:rFonts w:ascii="Calibri" w:hAnsi="Calibri"/>
                <w:sz w:val="20"/>
              </w:rPr>
              <w:t>,000</w:t>
            </w:r>
          </w:p>
          <w:p w14:paraId="39824731" w14:textId="77777777" w:rsidR="008772FC" w:rsidRPr="004E50E7" w:rsidRDefault="008772FC" w:rsidP="008F2513">
            <w:pPr>
              <w:pStyle w:val="BodyTextIndent"/>
              <w:spacing w:after="0"/>
              <w:ind w:left="0" w:right="-720"/>
              <w:rPr>
                <w:rFonts w:ascii="Calibri" w:hAnsi="Calibri"/>
                <w:sz w:val="20"/>
              </w:rPr>
            </w:pPr>
          </w:p>
        </w:tc>
        <w:tc>
          <w:tcPr>
            <w:tcW w:w="1066" w:type="pct"/>
          </w:tcPr>
          <w:p w14:paraId="55F1E9C2" w14:textId="30679826" w:rsidR="008772FC" w:rsidRPr="004E50E7" w:rsidRDefault="008772FC" w:rsidP="00ED3EC8">
            <w:pPr>
              <w:pStyle w:val="BodyTextIndent"/>
              <w:spacing w:after="0"/>
              <w:ind w:left="0" w:right="-720"/>
              <w:rPr>
                <w:rFonts w:ascii="Calibri" w:hAnsi="Calibri"/>
                <w:sz w:val="20"/>
              </w:rPr>
            </w:pPr>
            <w:r w:rsidRPr="004E50E7">
              <w:rPr>
                <w:rFonts w:ascii="Calibri" w:hAnsi="Calibri"/>
                <w:sz w:val="20"/>
              </w:rPr>
              <w:t>$</w:t>
            </w:r>
            <w:r w:rsidR="003C3EF8">
              <w:rPr>
                <w:rFonts w:ascii="Calibri" w:hAnsi="Calibri"/>
                <w:sz w:val="20"/>
              </w:rPr>
              <w:t>808</w:t>
            </w:r>
            <w:r w:rsidR="00ED3EC8">
              <w:rPr>
                <w:rFonts w:ascii="Calibri" w:hAnsi="Calibri"/>
                <w:sz w:val="20"/>
              </w:rPr>
              <w:t>,000</w:t>
            </w:r>
          </w:p>
        </w:tc>
      </w:tr>
      <w:tr w:rsidR="006D3E42" w:rsidRPr="004E50E7" w14:paraId="65F8743C" w14:textId="77777777" w:rsidTr="008F2513">
        <w:tc>
          <w:tcPr>
            <w:tcW w:w="835" w:type="pct"/>
          </w:tcPr>
          <w:p w14:paraId="16E1D16F" w14:textId="77777777" w:rsidR="006D3E42" w:rsidRPr="004E50E7" w:rsidRDefault="006D3E42" w:rsidP="008F2513">
            <w:pPr>
              <w:pStyle w:val="BodyTextIndent"/>
              <w:spacing w:after="0"/>
              <w:ind w:left="0" w:right="-720"/>
              <w:rPr>
                <w:rFonts w:ascii="Calibri" w:hAnsi="Calibri"/>
                <w:b/>
                <w:bCs/>
                <w:sz w:val="20"/>
              </w:rPr>
            </w:pPr>
          </w:p>
        </w:tc>
        <w:tc>
          <w:tcPr>
            <w:tcW w:w="1074" w:type="pct"/>
          </w:tcPr>
          <w:p w14:paraId="702C4858" w14:textId="118F8FD2" w:rsidR="006D3E42" w:rsidRDefault="006D3E42" w:rsidP="008F2513">
            <w:pPr>
              <w:pStyle w:val="BodyTextIndent"/>
              <w:spacing w:after="0"/>
              <w:ind w:left="0" w:right="-720"/>
              <w:rPr>
                <w:rFonts w:ascii="Calibri" w:hAnsi="Calibri"/>
                <w:sz w:val="20"/>
              </w:rPr>
            </w:pPr>
            <w:r>
              <w:rPr>
                <w:rFonts w:ascii="Calibri" w:hAnsi="Calibri"/>
                <w:sz w:val="20"/>
              </w:rPr>
              <w:t>100% AMI = $108,720</w:t>
            </w:r>
          </w:p>
        </w:tc>
        <w:tc>
          <w:tcPr>
            <w:tcW w:w="953" w:type="pct"/>
          </w:tcPr>
          <w:p w14:paraId="6DE03A92" w14:textId="1C8B91C3" w:rsidR="006D3E42" w:rsidRDefault="006D3E42" w:rsidP="008F2513">
            <w:pPr>
              <w:pStyle w:val="BodyTextIndent"/>
              <w:spacing w:after="0"/>
              <w:ind w:left="0" w:right="-720"/>
              <w:rPr>
                <w:rFonts w:ascii="Calibri" w:hAnsi="Calibri"/>
                <w:sz w:val="20"/>
              </w:rPr>
            </w:pPr>
            <w:r>
              <w:rPr>
                <w:rFonts w:ascii="Calibri" w:hAnsi="Calibri"/>
                <w:sz w:val="20"/>
              </w:rPr>
              <w:t>$2,718.00</w:t>
            </w:r>
          </w:p>
        </w:tc>
        <w:tc>
          <w:tcPr>
            <w:tcW w:w="1072" w:type="pct"/>
          </w:tcPr>
          <w:p w14:paraId="4E33F4BD" w14:textId="3A86AE15" w:rsidR="006D3E42" w:rsidRPr="004E50E7" w:rsidRDefault="006D3E42" w:rsidP="008F2513">
            <w:pPr>
              <w:pStyle w:val="BodyTextIndent"/>
              <w:spacing w:after="0"/>
              <w:ind w:left="0" w:right="-720"/>
              <w:rPr>
                <w:rFonts w:ascii="Calibri" w:hAnsi="Calibri"/>
                <w:sz w:val="20"/>
              </w:rPr>
            </w:pPr>
            <w:r>
              <w:rPr>
                <w:rFonts w:ascii="Calibri" w:hAnsi="Calibri"/>
                <w:sz w:val="20"/>
              </w:rPr>
              <w:t>$427,000</w:t>
            </w:r>
          </w:p>
        </w:tc>
        <w:tc>
          <w:tcPr>
            <w:tcW w:w="1066" w:type="pct"/>
          </w:tcPr>
          <w:p w14:paraId="3A40E0AF" w14:textId="659F57FD" w:rsidR="006D3E42" w:rsidRPr="004E50E7" w:rsidRDefault="006D3E42" w:rsidP="00ED3EC8">
            <w:pPr>
              <w:pStyle w:val="BodyTextIndent"/>
              <w:spacing w:after="0"/>
              <w:ind w:left="0" w:right="-720"/>
              <w:rPr>
                <w:rFonts w:ascii="Calibri" w:hAnsi="Calibri"/>
                <w:sz w:val="20"/>
              </w:rPr>
            </w:pPr>
            <w:r>
              <w:rPr>
                <w:rFonts w:ascii="Calibri" w:hAnsi="Calibri"/>
                <w:sz w:val="20"/>
              </w:rPr>
              <w:t>$503,000</w:t>
            </w:r>
          </w:p>
        </w:tc>
      </w:tr>
      <w:tr w:rsidR="008772FC" w:rsidRPr="004E50E7" w14:paraId="5DF6D283" w14:textId="77777777" w:rsidTr="008F2513">
        <w:tc>
          <w:tcPr>
            <w:tcW w:w="835" w:type="pct"/>
          </w:tcPr>
          <w:p w14:paraId="1D64C132" w14:textId="77777777" w:rsidR="008772FC" w:rsidRPr="004E50E7" w:rsidRDefault="008772FC" w:rsidP="008F2513">
            <w:pPr>
              <w:pStyle w:val="BodyTextIndent"/>
              <w:spacing w:after="0"/>
              <w:ind w:left="0" w:right="-720"/>
              <w:rPr>
                <w:rFonts w:ascii="Calibri" w:hAnsi="Calibri"/>
                <w:b/>
                <w:bCs/>
                <w:sz w:val="20"/>
              </w:rPr>
            </w:pPr>
          </w:p>
        </w:tc>
        <w:tc>
          <w:tcPr>
            <w:tcW w:w="1074" w:type="pct"/>
          </w:tcPr>
          <w:p w14:paraId="3D5457B5" w14:textId="13D243B5" w:rsidR="008772FC" w:rsidRPr="004E50E7" w:rsidRDefault="008772FC" w:rsidP="00F94BCA">
            <w:pPr>
              <w:pStyle w:val="BodyTextIndent"/>
              <w:spacing w:after="0"/>
              <w:ind w:left="0" w:right="-720"/>
              <w:rPr>
                <w:rFonts w:ascii="Calibri" w:hAnsi="Calibri"/>
                <w:sz w:val="20"/>
              </w:rPr>
            </w:pPr>
            <w:r w:rsidRPr="004E50E7">
              <w:rPr>
                <w:rFonts w:ascii="Calibri" w:hAnsi="Calibri"/>
                <w:sz w:val="20"/>
              </w:rPr>
              <w:t>80% AMI = $</w:t>
            </w:r>
            <w:r w:rsidR="009333FC">
              <w:rPr>
                <w:rFonts w:ascii="Calibri" w:hAnsi="Calibri"/>
                <w:sz w:val="20"/>
              </w:rPr>
              <w:t>90,950</w:t>
            </w:r>
            <w:r w:rsidRPr="004E50E7">
              <w:rPr>
                <w:rFonts w:ascii="Calibri" w:hAnsi="Calibri"/>
                <w:sz w:val="20"/>
              </w:rPr>
              <w:t>**</w:t>
            </w:r>
          </w:p>
        </w:tc>
        <w:tc>
          <w:tcPr>
            <w:tcW w:w="953" w:type="pct"/>
          </w:tcPr>
          <w:p w14:paraId="67B58B99" w14:textId="26BB7E8C" w:rsidR="008772FC" w:rsidRPr="004E50E7" w:rsidRDefault="005626DE" w:rsidP="008F2513">
            <w:pPr>
              <w:pStyle w:val="BodyTextIndent"/>
              <w:spacing w:after="0"/>
              <w:ind w:left="0" w:right="-720"/>
              <w:rPr>
                <w:rFonts w:ascii="Calibri" w:hAnsi="Calibri"/>
                <w:sz w:val="20"/>
              </w:rPr>
            </w:pPr>
            <w:r>
              <w:rPr>
                <w:rFonts w:ascii="Calibri" w:hAnsi="Calibri"/>
                <w:sz w:val="20"/>
              </w:rPr>
              <w:t>$</w:t>
            </w:r>
            <w:r w:rsidR="00D654ED">
              <w:rPr>
                <w:rFonts w:ascii="Calibri" w:hAnsi="Calibri"/>
                <w:sz w:val="20"/>
              </w:rPr>
              <w:t>2,273.75</w:t>
            </w:r>
          </w:p>
        </w:tc>
        <w:tc>
          <w:tcPr>
            <w:tcW w:w="1072" w:type="pct"/>
          </w:tcPr>
          <w:p w14:paraId="7680CD56" w14:textId="68B25372" w:rsidR="00317F76" w:rsidRPr="004E50E7" w:rsidRDefault="008772FC" w:rsidP="005A4B15">
            <w:pPr>
              <w:pStyle w:val="BodyTextIndent"/>
              <w:spacing w:after="0"/>
              <w:ind w:left="0" w:right="-720"/>
              <w:rPr>
                <w:rFonts w:ascii="Calibri" w:hAnsi="Calibri"/>
                <w:sz w:val="20"/>
              </w:rPr>
            </w:pPr>
            <w:r w:rsidRPr="004E50E7">
              <w:rPr>
                <w:rFonts w:ascii="Calibri" w:hAnsi="Calibri"/>
                <w:sz w:val="20"/>
              </w:rPr>
              <w:t>$</w:t>
            </w:r>
            <w:r w:rsidR="00C574C5">
              <w:rPr>
                <w:rFonts w:ascii="Calibri" w:hAnsi="Calibri"/>
                <w:sz w:val="20"/>
              </w:rPr>
              <w:t>371,500</w:t>
            </w:r>
          </w:p>
        </w:tc>
        <w:tc>
          <w:tcPr>
            <w:tcW w:w="1066" w:type="pct"/>
          </w:tcPr>
          <w:p w14:paraId="46524A3D" w14:textId="32411E83" w:rsidR="008772FC" w:rsidRPr="004E50E7" w:rsidRDefault="008772FC" w:rsidP="00380B1B">
            <w:pPr>
              <w:pStyle w:val="BodyTextIndent"/>
              <w:spacing w:after="0"/>
              <w:ind w:left="0" w:right="-720"/>
              <w:rPr>
                <w:rFonts w:ascii="Calibri" w:hAnsi="Calibri"/>
                <w:sz w:val="20"/>
              </w:rPr>
            </w:pPr>
            <w:r w:rsidRPr="004E50E7">
              <w:rPr>
                <w:rFonts w:ascii="Calibri" w:hAnsi="Calibri"/>
                <w:sz w:val="20"/>
              </w:rPr>
              <w:t>$</w:t>
            </w:r>
            <w:r w:rsidR="00C574C5">
              <w:rPr>
                <w:rFonts w:ascii="Calibri" w:hAnsi="Calibri"/>
                <w:sz w:val="20"/>
              </w:rPr>
              <w:t>420,500</w:t>
            </w:r>
          </w:p>
        </w:tc>
      </w:tr>
      <w:tr w:rsidR="00D654ED" w:rsidRPr="004E50E7" w14:paraId="774B0E3F" w14:textId="77777777" w:rsidTr="008F2513">
        <w:tc>
          <w:tcPr>
            <w:tcW w:w="835" w:type="pct"/>
          </w:tcPr>
          <w:p w14:paraId="60F6C8F3" w14:textId="77777777" w:rsidR="00D654ED" w:rsidRPr="004E50E7" w:rsidRDefault="00D654ED" w:rsidP="00D654ED">
            <w:pPr>
              <w:pStyle w:val="BodyTextIndent"/>
              <w:spacing w:after="0"/>
              <w:ind w:left="0" w:right="-720"/>
              <w:rPr>
                <w:rFonts w:ascii="Calibri" w:hAnsi="Calibri"/>
                <w:b/>
                <w:bCs/>
                <w:sz w:val="20"/>
              </w:rPr>
            </w:pPr>
            <w:r w:rsidRPr="004E50E7">
              <w:rPr>
                <w:rFonts w:ascii="Calibri" w:hAnsi="Calibri"/>
                <w:b/>
                <w:bCs/>
                <w:sz w:val="20"/>
              </w:rPr>
              <w:t>Condominium</w:t>
            </w:r>
          </w:p>
        </w:tc>
        <w:tc>
          <w:tcPr>
            <w:tcW w:w="1074" w:type="pct"/>
          </w:tcPr>
          <w:p w14:paraId="6580C945" w14:textId="77777777" w:rsidR="00D654ED" w:rsidRDefault="00D654ED" w:rsidP="00D654ED">
            <w:pPr>
              <w:pStyle w:val="BodyTextIndent"/>
              <w:spacing w:after="0"/>
              <w:ind w:left="0" w:right="-720"/>
              <w:rPr>
                <w:rFonts w:ascii="Calibri" w:hAnsi="Calibri"/>
                <w:sz w:val="20"/>
              </w:rPr>
            </w:pPr>
            <w:r>
              <w:rPr>
                <w:rFonts w:ascii="Calibri" w:hAnsi="Calibri"/>
                <w:sz w:val="20"/>
              </w:rPr>
              <w:t xml:space="preserve">Needham </w:t>
            </w:r>
            <w:r w:rsidRPr="004E50E7">
              <w:rPr>
                <w:rFonts w:ascii="Calibri" w:hAnsi="Calibri"/>
                <w:sz w:val="20"/>
              </w:rPr>
              <w:t xml:space="preserve">Median </w:t>
            </w:r>
          </w:p>
          <w:p w14:paraId="5957371A" w14:textId="65ED9515"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Income = $</w:t>
            </w:r>
            <w:r w:rsidR="003C3EF8">
              <w:rPr>
                <w:rFonts w:ascii="Calibri" w:hAnsi="Calibri"/>
                <w:sz w:val="20"/>
              </w:rPr>
              <w:t>174,707</w:t>
            </w:r>
            <w:r w:rsidRPr="004E50E7">
              <w:rPr>
                <w:rFonts w:ascii="Calibri" w:hAnsi="Calibri"/>
                <w:sz w:val="20"/>
              </w:rPr>
              <w:t>*</w:t>
            </w:r>
          </w:p>
        </w:tc>
        <w:tc>
          <w:tcPr>
            <w:tcW w:w="953" w:type="pct"/>
          </w:tcPr>
          <w:p w14:paraId="01E9C048" w14:textId="5780DE94" w:rsidR="00D654ED" w:rsidRPr="004E50E7" w:rsidRDefault="00D654ED" w:rsidP="00D654ED">
            <w:pPr>
              <w:pStyle w:val="BodyTextIndent"/>
              <w:spacing w:after="0"/>
              <w:ind w:left="0" w:right="-720"/>
              <w:rPr>
                <w:rFonts w:ascii="Calibri" w:hAnsi="Calibri"/>
                <w:sz w:val="20"/>
              </w:rPr>
            </w:pPr>
            <w:r>
              <w:rPr>
                <w:rFonts w:ascii="Calibri" w:hAnsi="Calibri"/>
                <w:sz w:val="20"/>
              </w:rPr>
              <w:t>$</w:t>
            </w:r>
            <w:r w:rsidR="003C3EF8">
              <w:rPr>
                <w:rFonts w:ascii="Calibri" w:hAnsi="Calibri"/>
                <w:sz w:val="20"/>
              </w:rPr>
              <w:t>4,367.68</w:t>
            </w:r>
          </w:p>
        </w:tc>
        <w:tc>
          <w:tcPr>
            <w:tcW w:w="1072" w:type="pct"/>
            <w:shd w:val="clear" w:color="auto" w:fill="auto"/>
          </w:tcPr>
          <w:p w14:paraId="7F8249D7" w14:textId="6409371E" w:rsidR="00D654ED" w:rsidRPr="00D410D2" w:rsidRDefault="00D654ED" w:rsidP="00D654ED">
            <w:pPr>
              <w:pStyle w:val="BodyTextIndent"/>
              <w:spacing w:after="0"/>
              <w:ind w:left="0" w:right="-720"/>
              <w:rPr>
                <w:rFonts w:ascii="Calibri" w:hAnsi="Calibri"/>
                <w:sz w:val="20"/>
              </w:rPr>
            </w:pPr>
            <w:r w:rsidRPr="00D410D2">
              <w:rPr>
                <w:rFonts w:ascii="Calibri" w:hAnsi="Calibri"/>
                <w:sz w:val="20"/>
              </w:rPr>
              <w:t>$</w:t>
            </w:r>
            <w:r w:rsidR="00C574C5">
              <w:rPr>
                <w:rFonts w:ascii="Calibri" w:hAnsi="Calibri"/>
                <w:sz w:val="20"/>
              </w:rPr>
              <w:t>6</w:t>
            </w:r>
            <w:r w:rsidR="003C3EF8">
              <w:rPr>
                <w:rFonts w:ascii="Calibri" w:hAnsi="Calibri"/>
                <w:sz w:val="20"/>
              </w:rPr>
              <w:t>56</w:t>
            </w:r>
            <w:r w:rsidR="00C574C5">
              <w:rPr>
                <w:rFonts w:ascii="Calibri" w:hAnsi="Calibri"/>
                <w:sz w:val="20"/>
              </w:rPr>
              <w:t>,000</w:t>
            </w:r>
          </w:p>
        </w:tc>
        <w:tc>
          <w:tcPr>
            <w:tcW w:w="1066" w:type="pct"/>
            <w:shd w:val="clear" w:color="auto" w:fill="auto"/>
          </w:tcPr>
          <w:p w14:paraId="4457CC72" w14:textId="4A050960" w:rsidR="00D654ED" w:rsidRPr="00D410D2" w:rsidRDefault="00D654ED" w:rsidP="00D654ED">
            <w:pPr>
              <w:pStyle w:val="BodyTextIndent"/>
              <w:spacing w:after="0"/>
              <w:ind w:left="0" w:right="-720"/>
              <w:rPr>
                <w:rFonts w:ascii="Calibri" w:hAnsi="Calibri"/>
                <w:sz w:val="20"/>
              </w:rPr>
            </w:pPr>
            <w:r w:rsidRPr="00D410D2">
              <w:rPr>
                <w:rFonts w:ascii="Calibri" w:hAnsi="Calibri"/>
                <w:sz w:val="20"/>
              </w:rPr>
              <w:t>$</w:t>
            </w:r>
            <w:r w:rsidR="003C3EF8">
              <w:rPr>
                <w:rFonts w:ascii="Calibri" w:hAnsi="Calibri"/>
                <w:sz w:val="20"/>
              </w:rPr>
              <w:t>776,500</w:t>
            </w:r>
          </w:p>
        </w:tc>
      </w:tr>
      <w:tr w:rsidR="006D3E42" w:rsidRPr="004E50E7" w14:paraId="1EF6FE2A" w14:textId="77777777" w:rsidTr="008F2513">
        <w:tc>
          <w:tcPr>
            <w:tcW w:w="835" w:type="pct"/>
          </w:tcPr>
          <w:p w14:paraId="36D2AF4C" w14:textId="77777777" w:rsidR="006D3E42" w:rsidRPr="004E50E7" w:rsidRDefault="006D3E42" w:rsidP="00D654ED">
            <w:pPr>
              <w:pStyle w:val="BodyTextIndent"/>
              <w:spacing w:after="0"/>
              <w:ind w:left="0" w:right="-720"/>
              <w:rPr>
                <w:rFonts w:ascii="Calibri" w:hAnsi="Calibri"/>
                <w:b/>
                <w:bCs/>
                <w:sz w:val="20"/>
              </w:rPr>
            </w:pPr>
          </w:p>
        </w:tc>
        <w:tc>
          <w:tcPr>
            <w:tcW w:w="1074" w:type="pct"/>
          </w:tcPr>
          <w:p w14:paraId="4B9BC941" w14:textId="632F2C63" w:rsidR="006D3E42" w:rsidRDefault="006D3E42" w:rsidP="00D654ED">
            <w:pPr>
              <w:pStyle w:val="BodyTextIndent"/>
              <w:spacing w:after="0"/>
              <w:ind w:left="0" w:right="-720"/>
              <w:rPr>
                <w:rFonts w:ascii="Calibri" w:hAnsi="Calibri"/>
                <w:sz w:val="20"/>
              </w:rPr>
            </w:pPr>
            <w:r>
              <w:rPr>
                <w:rFonts w:ascii="Calibri" w:hAnsi="Calibri"/>
                <w:sz w:val="20"/>
              </w:rPr>
              <w:t>100% AMI = $108,720</w:t>
            </w:r>
          </w:p>
        </w:tc>
        <w:tc>
          <w:tcPr>
            <w:tcW w:w="953" w:type="pct"/>
          </w:tcPr>
          <w:p w14:paraId="3284A9DE" w14:textId="7E9FAEBD" w:rsidR="006D3E42" w:rsidRDefault="009F3A07" w:rsidP="00D654ED">
            <w:pPr>
              <w:pStyle w:val="BodyTextIndent"/>
              <w:spacing w:after="0"/>
              <w:ind w:left="0" w:right="-720"/>
              <w:rPr>
                <w:rFonts w:ascii="Calibri" w:hAnsi="Calibri"/>
                <w:sz w:val="20"/>
              </w:rPr>
            </w:pPr>
            <w:r>
              <w:rPr>
                <w:rFonts w:ascii="Calibri" w:hAnsi="Calibri"/>
                <w:sz w:val="20"/>
              </w:rPr>
              <w:t>$2,718.00</w:t>
            </w:r>
          </w:p>
        </w:tc>
        <w:tc>
          <w:tcPr>
            <w:tcW w:w="1072" w:type="pct"/>
            <w:shd w:val="clear" w:color="auto" w:fill="auto"/>
          </w:tcPr>
          <w:p w14:paraId="267568AA" w14:textId="55DB1D83" w:rsidR="006D3E42" w:rsidRPr="00D410D2" w:rsidRDefault="006D3E42" w:rsidP="00D654ED">
            <w:pPr>
              <w:pStyle w:val="BodyTextIndent"/>
              <w:spacing w:after="0"/>
              <w:ind w:left="0" w:right="-720"/>
              <w:rPr>
                <w:rFonts w:ascii="Calibri" w:hAnsi="Calibri"/>
                <w:sz w:val="20"/>
              </w:rPr>
            </w:pPr>
            <w:r>
              <w:rPr>
                <w:rFonts w:ascii="Calibri" w:hAnsi="Calibri"/>
                <w:sz w:val="20"/>
              </w:rPr>
              <w:t>$390,000</w:t>
            </w:r>
          </w:p>
        </w:tc>
        <w:tc>
          <w:tcPr>
            <w:tcW w:w="1066" w:type="pct"/>
            <w:shd w:val="clear" w:color="auto" w:fill="auto"/>
          </w:tcPr>
          <w:p w14:paraId="013D1263" w14:textId="1037FC21" w:rsidR="006D3E42" w:rsidRPr="00D410D2" w:rsidRDefault="009F3A07" w:rsidP="00D654ED">
            <w:pPr>
              <w:pStyle w:val="BodyTextIndent"/>
              <w:spacing w:after="0"/>
              <w:ind w:left="0" w:right="-720"/>
              <w:rPr>
                <w:rFonts w:ascii="Calibri" w:hAnsi="Calibri"/>
                <w:sz w:val="20"/>
              </w:rPr>
            </w:pPr>
            <w:r>
              <w:rPr>
                <w:rFonts w:ascii="Calibri" w:hAnsi="Calibri"/>
                <w:sz w:val="20"/>
              </w:rPr>
              <w:t>$461,500</w:t>
            </w:r>
          </w:p>
        </w:tc>
      </w:tr>
      <w:tr w:rsidR="00D654ED" w:rsidRPr="004E50E7" w14:paraId="2050B37A" w14:textId="77777777" w:rsidTr="008F2513">
        <w:tc>
          <w:tcPr>
            <w:tcW w:w="835" w:type="pct"/>
          </w:tcPr>
          <w:p w14:paraId="156E891D" w14:textId="77777777" w:rsidR="00D654ED" w:rsidRPr="004E50E7" w:rsidRDefault="00D654ED" w:rsidP="00D654ED">
            <w:pPr>
              <w:pStyle w:val="BodyTextIndent"/>
              <w:spacing w:after="0"/>
              <w:ind w:left="0" w:right="-720"/>
              <w:rPr>
                <w:rFonts w:ascii="Calibri" w:hAnsi="Calibri"/>
                <w:b/>
                <w:bCs/>
                <w:sz w:val="20"/>
              </w:rPr>
            </w:pPr>
          </w:p>
        </w:tc>
        <w:tc>
          <w:tcPr>
            <w:tcW w:w="1074" w:type="pct"/>
          </w:tcPr>
          <w:p w14:paraId="4C8EEBAF" w14:textId="14CF42DA"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80% AMI = $</w:t>
            </w:r>
            <w:r>
              <w:rPr>
                <w:rFonts w:ascii="Calibri" w:hAnsi="Calibri"/>
                <w:sz w:val="20"/>
              </w:rPr>
              <w:t>90,950</w:t>
            </w:r>
            <w:r w:rsidRPr="004E50E7">
              <w:rPr>
                <w:rFonts w:ascii="Calibri" w:hAnsi="Calibri"/>
                <w:sz w:val="20"/>
              </w:rPr>
              <w:t>**</w:t>
            </w:r>
          </w:p>
        </w:tc>
        <w:tc>
          <w:tcPr>
            <w:tcW w:w="953" w:type="pct"/>
          </w:tcPr>
          <w:p w14:paraId="21F483B9" w14:textId="4DC6CEC2" w:rsidR="00D654ED" w:rsidRPr="004E50E7" w:rsidRDefault="00D654ED" w:rsidP="00D654ED">
            <w:pPr>
              <w:pStyle w:val="BodyTextIndent"/>
              <w:spacing w:after="0"/>
              <w:ind w:left="0" w:right="-720"/>
              <w:rPr>
                <w:rFonts w:ascii="Calibri" w:hAnsi="Calibri"/>
                <w:sz w:val="20"/>
              </w:rPr>
            </w:pPr>
            <w:r>
              <w:rPr>
                <w:rFonts w:ascii="Calibri" w:hAnsi="Calibri"/>
                <w:sz w:val="20"/>
              </w:rPr>
              <w:t>$2,273.75</w:t>
            </w:r>
          </w:p>
        </w:tc>
        <w:tc>
          <w:tcPr>
            <w:tcW w:w="1072" w:type="pct"/>
            <w:shd w:val="clear" w:color="auto" w:fill="auto"/>
          </w:tcPr>
          <w:p w14:paraId="67DA30D7" w14:textId="6A8876DF" w:rsidR="00D654ED" w:rsidRPr="00D410D2" w:rsidRDefault="00D654ED" w:rsidP="00D654ED">
            <w:pPr>
              <w:pStyle w:val="BodyTextIndent"/>
              <w:spacing w:after="0"/>
              <w:ind w:left="0" w:right="-720"/>
              <w:rPr>
                <w:rFonts w:ascii="Calibri" w:hAnsi="Calibri"/>
                <w:sz w:val="20"/>
              </w:rPr>
            </w:pPr>
            <w:r w:rsidRPr="00D410D2">
              <w:rPr>
                <w:rFonts w:ascii="Calibri" w:hAnsi="Calibri"/>
                <w:sz w:val="20"/>
              </w:rPr>
              <w:t>$</w:t>
            </w:r>
            <w:r w:rsidR="00180167">
              <w:rPr>
                <w:rFonts w:ascii="Calibri" w:hAnsi="Calibri"/>
                <w:sz w:val="20"/>
              </w:rPr>
              <w:t>331,500</w:t>
            </w:r>
          </w:p>
        </w:tc>
        <w:tc>
          <w:tcPr>
            <w:tcW w:w="1066" w:type="pct"/>
            <w:shd w:val="clear" w:color="auto" w:fill="auto"/>
          </w:tcPr>
          <w:p w14:paraId="3890A683" w14:textId="1B92D1D4" w:rsidR="00D654ED" w:rsidRPr="00D410D2" w:rsidRDefault="00D654ED" w:rsidP="00D654ED">
            <w:pPr>
              <w:pStyle w:val="BodyTextIndent"/>
              <w:spacing w:after="0"/>
              <w:ind w:left="0" w:right="-720"/>
              <w:rPr>
                <w:rFonts w:ascii="Calibri" w:hAnsi="Calibri"/>
                <w:sz w:val="20"/>
              </w:rPr>
            </w:pPr>
            <w:r w:rsidRPr="00D410D2">
              <w:rPr>
                <w:rFonts w:ascii="Calibri" w:hAnsi="Calibri"/>
                <w:sz w:val="20"/>
              </w:rPr>
              <w:t>$</w:t>
            </w:r>
            <w:r w:rsidR="00180167">
              <w:rPr>
                <w:rFonts w:ascii="Calibri" w:hAnsi="Calibri"/>
                <w:sz w:val="20"/>
              </w:rPr>
              <w:t>377,000</w:t>
            </w:r>
          </w:p>
        </w:tc>
      </w:tr>
      <w:tr w:rsidR="00D654ED" w:rsidRPr="004E50E7" w14:paraId="539EB00D" w14:textId="77777777" w:rsidTr="00615DA4">
        <w:tc>
          <w:tcPr>
            <w:tcW w:w="835" w:type="pct"/>
            <w:shd w:val="clear" w:color="auto" w:fill="B6DDE8" w:themeFill="accent5" w:themeFillTint="66"/>
          </w:tcPr>
          <w:p w14:paraId="4AF9CC87" w14:textId="77777777" w:rsidR="00D654ED" w:rsidRPr="004E50E7" w:rsidRDefault="00D654ED" w:rsidP="00D654ED">
            <w:pPr>
              <w:pStyle w:val="BodyTextIndent"/>
              <w:spacing w:after="0"/>
              <w:ind w:left="0" w:right="-720"/>
              <w:rPr>
                <w:rFonts w:ascii="Calibri" w:hAnsi="Calibri"/>
                <w:b/>
                <w:bCs/>
                <w:sz w:val="20"/>
              </w:rPr>
            </w:pPr>
          </w:p>
        </w:tc>
        <w:tc>
          <w:tcPr>
            <w:tcW w:w="1074" w:type="pct"/>
            <w:shd w:val="clear" w:color="auto" w:fill="B6DDE8" w:themeFill="accent5" w:themeFillTint="66"/>
          </w:tcPr>
          <w:p w14:paraId="6C283467" w14:textId="77777777" w:rsidR="00D654ED" w:rsidRPr="004E50E7" w:rsidRDefault="00D654ED" w:rsidP="00D654ED">
            <w:pPr>
              <w:pStyle w:val="BodyTextIndent"/>
              <w:spacing w:after="0"/>
              <w:ind w:left="0" w:right="-720"/>
              <w:rPr>
                <w:rFonts w:ascii="Calibri" w:hAnsi="Calibri"/>
                <w:sz w:val="20"/>
              </w:rPr>
            </w:pPr>
          </w:p>
        </w:tc>
        <w:tc>
          <w:tcPr>
            <w:tcW w:w="953" w:type="pct"/>
            <w:shd w:val="clear" w:color="auto" w:fill="B6DDE8" w:themeFill="accent5" w:themeFillTint="66"/>
          </w:tcPr>
          <w:p w14:paraId="5D6F39B2" w14:textId="77777777" w:rsidR="00D654ED" w:rsidRPr="005A581B" w:rsidRDefault="00D654ED" w:rsidP="00D654ED">
            <w:pPr>
              <w:pStyle w:val="BodyTextIndent"/>
              <w:spacing w:after="0"/>
              <w:ind w:left="0" w:right="-720"/>
              <w:rPr>
                <w:rFonts w:ascii="Calibri" w:hAnsi="Calibri"/>
                <w:b/>
                <w:bCs/>
              </w:rPr>
            </w:pPr>
            <w:r w:rsidRPr="005A581B">
              <w:rPr>
                <w:rFonts w:ascii="Calibri" w:hAnsi="Calibri"/>
                <w:b/>
                <w:bCs/>
                <w:sz w:val="22"/>
                <w:szCs w:val="22"/>
              </w:rPr>
              <w:t>30% of Monthly</w:t>
            </w:r>
          </w:p>
          <w:p w14:paraId="0F053942" w14:textId="77777777" w:rsidR="00D654ED" w:rsidRPr="005A581B" w:rsidRDefault="00D654ED" w:rsidP="00D654ED">
            <w:pPr>
              <w:pStyle w:val="BodyTextIndent"/>
              <w:spacing w:after="0"/>
              <w:ind w:left="0" w:right="-720"/>
              <w:rPr>
                <w:rFonts w:ascii="Calibri" w:hAnsi="Calibri"/>
              </w:rPr>
            </w:pPr>
            <w:r w:rsidRPr="005A581B">
              <w:rPr>
                <w:rFonts w:ascii="Calibri" w:hAnsi="Calibri"/>
                <w:b/>
                <w:bCs/>
                <w:sz w:val="22"/>
                <w:szCs w:val="22"/>
              </w:rPr>
              <w:t>Income</w:t>
            </w:r>
          </w:p>
        </w:tc>
        <w:tc>
          <w:tcPr>
            <w:tcW w:w="1072" w:type="pct"/>
            <w:shd w:val="clear" w:color="auto" w:fill="B6DDE8" w:themeFill="accent5" w:themeFillTint="66"/>
          </w:tcPr>
          <w:p w14:paraId="5672596A" w14:textId="77777777" w:rsidR="00D654ED" w:rsidRPr="005A581B" w:rsidRDefault="00D654ED" w:rsidP="00D654ED">
            <w:pPr>
              <w:pStyle w:val="BodyTextIndent"/>
              <w:spacing w:after="0"/>
              <w:ind w:left="0" w:right="-720"/>
              <w:rPr>
                <w:rFonts w:ascii="Calibri" w:hAnsi="Calibri"/>
                <w:b/>
                <w:bCs/>
              </w:rPr>
            </w:pPr>
            <w:r w:rsidRPr="005A581B">
              <w:rPr>
                <w:rFonts w:ascii="Calibri" w:hAnsi="Calibri"/>
                <w:b/>
                <w:bCs/>
                <w:sz w:val="22"/>
                <w:szCs w:val="22"/>
              </w:rPr>
              <w:t>Estimated</w:t>
            </w:r>
          </w:p>
          <w:p w14:paraId="7BDD1970" w14:textId="77777777" w:rsidR="00D654ED" w:rsidRPr="005A581B" w:rsidRDefault="00D654ED" w:rsidP="00D654ED">
            <w:pPr>
              <w:pStyle w:val="BodyTextIndent"/>
              <w:spacing w:after="0"/>
              <w:ind w:left="0" w:right="-720"/>
              <w:rPr>
                <w:rFonts w:ascii="Calibri" w:hAnsi="Calibri"/>
                <w:b/>
                <w:bCs/>
              </w:rPr>
            </w:pPr>
            <w:r w:rsidRPr="005A581B">
              <w:rPr>
                <w:rFonts w:ascii="Calibri" w:hAnsi="Calibri"/>
                <w:b/>
                <w:bCs/>
                <w:sz w:val="22"/>
                <w:szCs w:val="22"/>
              </w:rPr>
              <w:t>Utility Cost</w:t>
            </w:r>
          </w:p>
        </w:tc>
        <w:tc>
          <w:tcPr>
            <w:tcW w:w="1066" w:type="pct"/>
            <w:shd w:val="clear" w:color="auto" w:fill="B6DDE8" w:themeFill="accent5" w:themeFillTint="66"/>
          </w:tcPr>
          <w:p w14:paraId="6C25C709" w14:textId="77777777" w:rsidR="00D654ED" w:rsidRPr="005A581B" w:rsidRDefault="00D654ED" w:rsidP="00D654ED">
            <w:pPr>
              <w:pStyle w:val="BodyTextIndent"/>
              <w:spacing w:after="0"/>
              <w:ind w:left="0" w:right="-720"/>
              <w:rPr>
                <w:rFonts w:ascii="Calibri" w:hAnsi="Calibri"/>
                <w:b/>
                <w:bCs/>
              </w:rPr>
            </w:pPr>
            <w:r w:rsidRPr="005A581B">
              <w:rPr>
                <w:rFonts w:ascii="Calibri" w:hAnsi="Calibri"/>
                <w:b/>
                <w:bCs/>
                <w:sz w:val="22"/>
                <w:szCs w:val="22"/>
              </w:rPr>
              <w:t>Affordable</w:t>
            </w:r>
          </w:p>
          <w:p w14:paraId="00518D19" w14:textId="77777777" w:rsidR="00D654ED" w:rsidRPr="005A581B" w:rsidRDefault="00D654ED" w:rsidP="00D654ED">
            <w:pPr>
              <w:pStyle w:val="BodyTextIndent"/>
              <w:spacing w:after="0"/>
              <w:ind w:left="0" w:right="-720"/>
              <w:rPr>
                <w:rFonts w:ascii="Calibri" w:hAnsi="Calibri"/>
              </w:rPr>
            </w:pPr>
            <w:r w:rsidRPr="005A581B">
              <w:rPr>
                <w:rFonts w:ascii="Calibri" w:hAnsi="Calibri"/>
                <w:b/>
                <w:bCs/>
                <w:sz w:val="22"/>
                <w:szCs w:val="22"/>
              </w:rPr>
              <w:t>Monthly Rental</w:t>
            </w:r>
          </w:p>
        </w:tc>
      </w:tr>
      <w:tr w:rsidR="00D654ED" w:rsidRPr="004E50E7" w14:paraId="3FC4168F" w14:textId="77777777" w:rsidTr="008F2513">
        <w:tc>
          <w:tcPr>
            <w:tcW w:w="835" w:type="pct"/>
          </w:tcPr>
          <w:p w14:paraId="09D4D6DE" w14:textId="77777777" w:rsidR="00D654ED" w:rsidRPr="004E50E7" w:rsidRDefault="00D654ED" w:rsidP="00D654ED">
            <w:pPr>
              <w:pStyle w:val="BodyTextIndent"/>
              <w:spacing w:after="0"/>
              <w:ind w:left="0" w:right="-720"/>
              <w:rPr>
                <w:rFonts w:ascii="Calibri" w:hAnsi="Calibri"/>
                <w:b/>
                <w:bCs/>
                <w:sz w:val="20"/>
              </w:rPr>
            </w:pPr>
            <w:r w:rsidRPr="004E50E7">
              <w:rPr>
                <w:rFonts w:ascii="Calibri" w:hAnsi="Calibri"/>
                <w:b/>
                <w:bCs/>
                <w:sz w:val="20"/>
              </w:rPr>
              <w:t>Rental</w:t>
            </w:r>
          </w:p>
        </w:tc>
        <w:tc>
          <w:tcPr>
            <w:tcW w:w="1074" w:type="pct"/>
          </w:tcPr>
          <w:p w14:paraId="2EF054A4" w14:textId="77777777" w:rsidR="00D654ED" w:rsidRDefault="00D654ED" w:rsidP="00D654ED">
            <w:pPr>
              <w:pStyle w:val="BodyTextIndent"/>
              <w:spacing w:after="0"/>
              <w:ind w:left="0" w:right="-720"/>
              <w:rPr>
                <w:rFonts w:ascii="Calibri" w:hAnsi="Calibri"/>
                <w:sz w:val="20"/>
              </w:rPr>
            </w:pPr>
            <w:r>
              <w:rPr>
                <w:rFonts w:ascii="Calibri" w:hAnsi="Calibri"/>
                <w:sz w:val="20"/>
              </w:rPr>
              <w:t xml:space="preserve"> Needham </w:t>
            </w:r>
            <w:r w:rsidRPr="004E50E7">
              <w:rPr>
                <w:rFonts w:ascii="Calibri" w:hAnsi="Calibri"/>
                <w:sz w:val="20"/>
              </w:rPr>
              <w:t>Median</w:t>
            </w:r>
          </w:p>
          <w:p w14:paraId="513600BA" w14:textId="50330A98"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 xml:space="preserve"> Income = $</w:t>
            </w:r>
            <w:r>
              <w:rPr>
                <w:rFonts w:ascii="Calibri" w:hAnsi="Calibri"/>
                <w:sz w:val="20"/>
              </w:rPr>
              <w:t>165,547</w:t>
            </w:r>
            <w:r w:rsidRPr="004E50E7">
              <w:rPr>
                <w:rFonts w:ascii="Calibri" w:hAnsi="Calibri"/>
                <w:sz w:val="20"/>
              </w:rPr>
              <w:t>*</w:t>
            </w:r>
          </w:p>
        </w:tc>
        <w:tc>
          <w:tcPr>
            <w:tcW w:w="953" w:type="pct"/>
          </w:tcPr>
          <w:p w14:paraId="1FC6CC98" w14:textId="2AE66E9F" w:rsidR="00D654ED" w:rsidRPr="004E50E7" w:rsidRDefault="00D654ED" w:rsidP="00D654ED">
            <w:pPr>
              <w:pStyle w:val="BodyTextIndent"/>
              <w:spacing w:after="0"/>
              <w:ind w:left="0" w:right="-720"/>
              <w:rPr>
                <w:rFonts w:ascii="Calibri" w:hAnsi="Calibri"/>
                <w:sz w:val="20"/>
              </w:rPr>
            </w:pPr>
            <w:r>
              <w:rPr>
                <w:rFonts w:ascii="Calibri" w:hAnsi="Calibri"/>
                <w:sz w:val="20"/>
              </w:rPr>
              <w:t>$</w:t>
            </w:r>
            <w:r w:rsidR="003C3EF8">
              <w:rPr>
                <w:rFonts w:ascii="Calibri" w:hAnsi="Calibri"/>
                <w:sz w:val="20"/>
              </w:rPr>
              <w:t>4,367.68</w:t>
            </w:r>
          </w:p>
        </w:tc>
        <w:tc>
          <w:tcPr>
            <w:tcW w:w="1072" w:type="pct"/>
          </w:tcPr>
          <w:p w14:paraId="28A3A1B6" w14:textId="4783BD8D" w:rsidR="00D654ED" w:rsidRPr="004E50E7" w:rsidRDefault="00180167" w:rsidP="00D654ED">
            <w:pPr>
              <w:pStyle w:val="BodyTextIndent"/>
              <w:spacing w:after="0"/>
              <w:ind w:left="0" w:right="-720"/>
              <w:rPr>
                <w:rFonts w:ascii="Calibri" w:hAnsi="Calibri"/>
                <w:sz w:val="20"/>
              </w:rPr>
            </w:pPr>
            <w:r>
              <w:rPr>
                <w:rFonts w:ascii="Calibri" w:hAnsi="Calibri"/>
                <w:sz w:val="20"/>
              </w:rPr>
              <w:t>$175.00</w:t>
            </w:r>
          </w:p>
        </w:tc>
        <w:tc>
          <w:tcPr>
            <w:tcW w:w="1066" w:type="pct"/>
          </w:tcPr>
          <w:p w14:paraId="287F8954" w14:textId="530C5CE0" w:rsidR="00D654ED" w:rsidRPr="004E50E7" w:rsidRDefault="00D654ED" w:rsidP="00D654ED">
            <w:pPr>
              <w:pStyle w:val="BodyTextIndent"/>
              <w:spacing w:after="0"/>
              <w:ind w:left="0" w:right="-720"/>
              <w:rPr>
                <w:rFonts w:ascii="Calibri" w:hAnsi="Calibri"/>
                <w:sz w:val="20"/>
              </w:rPr>
            </w:pPr>
            <w:r>
              <w:rPr>
                <w:rFonts w:ascii="Calibri" w:hAnsi="Calibri"/>
                <w:sz w:val="20"/>
              </w:rPr>
              <w:t>$</w:t>
            </w:r>
            <w:r w:rsidR="003C3EF8">
              <w:rPr>
                <w:rFonts w:ascii="Calibri" w:hAnsi="Calibri"/>
                <w:sz w:val="20"/>
              </w:rPr>
              <w:t>4,192.68</w:t>
            </w:r>
          </w:p>
        </w:tc>
      </w:tr>
      <w:tr w:rsidR="006D3E42" w:rsidRPr="004E50E7" w14:paraId="0902B105" w14:textId="77777777" w:rsidTr="008F2513">
        <w:tc>
          <w:tcPr>
            <w:tcW w:w="835" w:type="pct"/>
          </w:tcPr>
          <w:p w14:paraId="3D03EA80" w14:textId="77777777" w:rsidR="006D3E42" w:rsidRPr="004E50E7" w:rsidRDefault="006D3E42" w:rsidP="00D654ED">
            <w:pPr>
              <w:pStyle w:val="BodyTextIndent"/>
              <w:spacing w:after="0"/>
              <w:ind w:left="0" w:right="-720"/>
              <w:rPr>
                <w:rFonts w:ascii="Calibri" w:hAnsi="Calibri"/>
                <w:b/>
                <w:bCs/>
                <w:sz w:val="20"/>
              </w:rPr>
            </w:pPr>
          </w:p>
        </w:tc>
        <w:tc>
          <w:tcPr>
            <w:tcW w:w="1074" w:type="pct"/>
          </w:tcPr>
          <w:p w14:paraId="5A4814C1" w14:textId="49E6D80D" w:rsidR="006D3E42" w:rsidRDefault="006D3E42" w:rsidP="00D654ED">
            <w:pPr>
              <w:pStyle w:val="BodyTextIndent"/>
              <w:spacing w:after="0"/>
              <w:ind w:left="0" w:right="-720"/>
              <w:rPr>
                <w:rFonts w:ascii="Calibri" w:hAnsi="Calibri"/>
                <w:sz w:val="20"/>
              </w:rPr>
            </w:pPr>
            <w:r>
              <w:rPr>
                <w:rFonts w:ascii="Calibri" w:hAnsi="Calibri"/>
                <w:sz w:val="20"/>
              </w:rPr>
              <w:t>100% AMI = $96,640</w:t>
            </w:r>
          </w:p>
        </w:tc>
        <w:tc>
          <w:tcPr>
            <w:tcW w:w="953" w:type="pct"/>
          </w:tcPr>
          <w:p w14:paraId="1A510B4E" w14:textId="609C7571" w:rsidR="006D3E42" w:rsidRDefault="006D3E42" w:rsidP="00D654ED">
            <w:pPr>
              <w:pStyle w:val="BodyTextIndent"/>
              <w:spacing w:after="0"/>
              <w:ind w:left="0" w:right="-720"/>
              <w:rPr>
                <w:rFonts w:ascii="Calibri" w:hAnsi="Calibri"/>
                <w:sz w:val="20"/>
              </w:rPr>
            </w:pPr>
            <w:r>
              <w:rPr>
                <w:rFonts w:ascii="Calibri" w:hAnsi="Calibri"/>
                <w:sz w:val="20"/>
              </w:rPr>
              <w:t>$2,</w:t>
            </w:r>
            <w:r w:rsidR="009F3A07">
              <w:rPr>
                <w:rFonts w:ascii="Calibri" w:hAnsi="Calibri"/>
                <w:sz w:val="20"/>
              </w:rPr>
              <w:t>416</w:t>
            </w:r>
            <w:r>
              <w:rPr>
                <w:rFonts w:ascii="Calibri" w:hAnsi="Calibri"/>
                <w:sz w:val="20"/>
              </w:rPr>
              <w:t>.00</w:t>
            </w:r>
          </w:p>
        </w:tc>
        <w:tc>
          <w:tcPr>
            <w:tcW w:w="1072" w:type="pct"/>
          </w:tcPr>
          <w:p w14:paraId="322B64FC" w14:textId="178A5088" w:rsidR="006D3E42" w:rsidRDefault="006D3E42" w:rsidP="00D654ED">
            <w:pPr>
              <w:pStyle w:val="BodyTextIndent"/>
              <w:spacing w:after="0"/>
              <w:ind w:left="0" w:right="-720"/>
              <w:rPr>
                <w:rFonts w:ascii="Calibri" w:hAnsi="Calibri"/>
                <w:sz w:val="20"/>
              </w:rPr>
            </w:pPr>
            <w:r>
              <w:rPr>
                <w:rFonts w:ascii="Calibri" w:hAnsi="Calibri"/>
                <w:sz w:val="20"/>
              </w:rPr>
              <w:t>$175.00</w:t>
            </w:r>
          </w:p>
        </w:tc>
        <w:tc>
          <w:tcPr>
            <w:tcW w:w="1066" w:type="pct"/>
          </w:tcPr>
          <w:p w14:paraId="45CDF37C" w14:textId="14216C53" w:rsidR="006D3E42" w:rsidRDefault="006D3E42" w:rsidP="00D654ED">
            <w:pPr>
              <w:pStyle w:val="BodyTextIndent"/>
              <w:spacing w:after="0"/>
              <w:ind w:left="0" w:right="-720"/>
              <w:rPr>
                <w:rFonts w:ascii="Calibri" w:hAnsi="Calibri"/>
                <w:sz w:val="20"/>
              </w:rPr>
            </w:pPr>
            <w:r>
              <w:rPr>
                <w:rFonts w:ascii="Calibri" w:hAnsi="Calibri"/>
                <w:sz w:val="20"/>
              </w:rPr>
              <w:t>$</w:t>
            </w:r>
            <w:r w:rsidR="009F3A07">
              <w:rPr>
                <w:rFonts w:ascii="Calibri" w:hAnsi="Calibri"/>
                <w:sz w:val="20"/>
              </w:rPr>
              <w:t>2,241</w:t>
            </w:r>
            <w:r>
              <w:rPr>
                <w:rFonts w:ascii="Calibri" w:hAnsi="Calibri"/>
                <w:sz w:val="20"/>
              </w:rPr>
              <w:t>.00</w:t>
            </w:r>
          </w:p>
        </w:tc>
      </w:tr>
      <w:tr w:rsidR="00D654ED" w:rsidRPr="004E50E7" w14:paraId="734CAEA6" w14:textId="77777777" w:rsidTr="008F2513">
        <w:tc>
          <w:tcPr>
            <w:tcW w:w="835" w:type="pct"/>
          </w:tcPr>
          <w:p w14:paraId="60A24AE2" w14:textId="77777777" w:rsidR="00D654ED" w:rsidRPr="004E50E7" w:rsidRDefault="00D654ED" w:rsidP="00D654ED">
            <w:pPr>
              <w:pStyle w:val="BodyTextIndent"/>
              <w:spacing w:after="0"/>
              <w:ind w:left="0" w:right="-720"/>
              <w:rPr>
                <w:rFonts w:ascii="Calibri" w:hAnsi="Calibri"/>
                <w:sz w:val="20"/>
              </w:rPr>
            </w:pPr>
          </w:p>
        </w:tc>
        <w:tc>
          <w:tcPr>
            <w:tcW w:w="1074" w:type="pct"/>
          </w:tcPr>
          <w:p w14:paraId="4D1F9F43" w14:textId="337426F2" w:rsidR="00D654ED" w:rsidRPr="004E50E7" w:rsidRDefault="00D654ED" w:rsidP="00D654ED">
            <w:pPr>
              <w:pStyle w:val="BodyTextIndent"/>
              <w:spacing w:after="0"/>
              <w:ind w:left="0" w:right="-720"/>
              <w:rPr>
                <w:rFonts w:ascii="Calibri" w:hAnsi="Calibri"/>
                <w:sz w:val="20"/>
              </w:rPr>
            </w:pPr>
            <w:r>
              <w:rPr>
                <w:rFonts w:ascii="Calibri" w:hAnsi="Calibri"/>
                <w:sz w:val="20"/>
              </w:rPr>
              <w:t>80% AMI = $80,850**</w:t>
            </w:r>
          </w:p>
        </w:tc>
        <w:tc>
          <w:tcPr>
            <w:tcW w:w="953" w:type="pct"/>
          </w:tcPr>
          <w:p w14:paraId="512D9B0A" w14:textId="44D4CBF3" w:rsidR="00D654ED" w:rsidRPr="004E50E7" w:rsidRDefault="00D654ED" w:rsidP="00D654ED">
            <w:pPr>
              <w:pStyle w:val="BodyTextIndent"/>
              <w:spacing w:after="0"/>
              <w:ind w:left="0" w:right="-720"/>
              <w:rPr>
                <w:rFonts w:ascii="Calibri" w:hAnsi="Calibri"/>
                <w:sz w:val="20"/>
              </w:rPr>
            </w:pPr>
            <w:r>
              <w:rPr>
                <w:rFonts w:ascii="Calibri" w:hAnsi="Calibri"/>
                <w:sz w:val="20"/>
              </w:rPr>
              <w:t>$2,021.25</w:t>
            </w:r>
          </w:p>
        </w:tc>
        <w:tc>
          <w:tcPr>
            <w:tcW w:w="1072" w:type="pct"/>
          </w:tcPr>
          <w:p w14:paraId="5DA1B655" w14:textId="5B2F26E6"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w:t>
            </w:r>
            <w:r w:rsidR="00180167">
              <w:rPr>
                <w:rFonts w:ascii="Calibri" w:hAnsi="Calibri"/>
                <w:sz w:val="20"/>
              </w:rPr>
              <w:t>175</w:t>
            </w:r>
            <w:r>
              <w:rPr>
                <w:rFonts w:ascii="Calibri" w:hAnsi="Calibri"/>
                <w:sz w:val="20"/>
              </w:rPr>
              <w:t>.00</w:t>
            </w:r>
          </w:p>
        </w:tc>
        <w:tc>
          <w:tcPr>
            <w:tcW w:w="1066" w:type="pct"/>
          </w:tcPr>
          <w:p w14:paraId="1FDCC3B5" w14:textId="106E3297" w:rsidR="00D654ED" w:rsidRPr="004E50E7" w:rsidRDefault="00D654ED" w:rsidP="00D654ED">
            <w:pPr>
              <w:pStyle w:val="BodyTextIndent"/>
              <w:spacing w:after="0"/>
              <w:ind w:left="0" w:right="-720"/>
              <w:rPr>
                <w:rFonts w:ascii="Calibri" w:hAnsi="Calibri"/>
                <w:sz w:val="20"/>
              </w:rPr>
            </w:pPr>
            <w:r>
              <w:rPr>
                <w:rFonts w:ascii="Calibri" w:hAnsi="Calibri"/>
                <w:sz w:val="20"/>
              </w:rPr>
              <w:t>$1,8</w:t>
            </w:r>
            <w:r w:rsidR="00180167">
              <w:rPr>
                <w:rFonts w:ascii="Calibri" w:hAnsi="Calibri"/>
                <w:sz w:val="20"/>
              </w:rPr>
              <w:t>46.25</w:t>
            </w:r>
          </w:p>
        </w:tc>
      </w:tr>
      <w:tr w:rsidR="00D654ED" w:rsidRPr="004E50E7" w14:paraId="11AFB8A4" w14:textId="77777777" w:rsidTr="008F2513">
        <w:tc>
          <w:tcPr>
            <w:tcW w:w="835" w:type="pct"/>
          </w:tcPr>
          <w:p w14:paraId="5FD50379" w14:textId="091E6147" w:rsidR="00D654ED" w:rsidRPr="004E50E7" w:rsidRDefault="00163DD7" w:rsidP="00D654ED">
            <w:pPr>
              <w:pStyle w:val="BodyTextIndent"/>
              <w:spacing w:after="0"/>
              <w:ind w:left="0" w:right="-720"/>
              <w:rPr>
                <w:rFonts w:ascii="Calibri" w:hAnsi="Calibri"/>
                <w:sz w:val="20"/>
              </w:rPr>
            </w:pPr>
            <w:r>
              <w:rPr>
                <w:rFonts w:ascii="Calibri" w:hAnsi="Calibri"/>
                <w:sz w:val="20"/>
              </w:rPr>
              <w:t xml:space="preserve"> </w:t>
            </w:r>
          </w:p>
        </w:tc>
        <w:tc>
          <w:tcPr>
            <w:tcW w:w="1074" w:type="pct"/>
          </w:tcPr>
          <w:p w14:paraId="09F32BD3" w14:textId="216CED8B"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50% AMI = $</w:t>
            </w:r>
            <w:r>
              <w:rPr>
                <w:rFonts w:ascii="Calibri" w:hAnsi="Calibri"/>
                <w:sz w:val="20"/>
              </w:rPr>
              <w:t>53,700</w:t>
            </w:r>
            <w:r w:rsidRPr="004E50E7">
              <w:rPr>
                <w:rFonts w:ascii="Calibri" w:hAnsi="Calibri"/>
                <w:sz w:val="20"/>
              </w:rPr>
              <w:t>**</w:t>
            </w:r>
          </w:p>
        </w:tc>
        <w:tc>
          <w:tcPr>
            <w:tcW w:w="953" w:type="pct"/>
          </w:tcPr>
          <w:p w14:paraId="50E50296" w14:textId="7F834E51" w:rsidR="00D654ED" w:rsidRPr="004E50E7" w:rsidRDefault="00D654ED" w:rsidP="00D654ED">
            <w:pPr>
              <w:pStyle w:val="BodyTextIndent"/>
              <w:spacing w:after="0"/>
              <w:ind w:left="0" w:right="-720"/>
              <w:rPr>
                <w:rFonts w:ascii="Calibri" w:hAnsi="Calibri"/>
                <w:sz w:val="20"/>
              </w:rPr>
            </w:pPr>
            <w:r>
              <w:rPr>
                <w:rFonts w:ascii="Calibri" w:hAnsi="Calibri"/>
                <w:sz w:val="20"/>
              </w:rPr>
              <w:t>$1,342.50</w:t>
            </w:r>
          </w:p>
        </w:tc>
        <w:tc>
          <w:tcPr>
            <w:tcW w:w="1072" w:type="pct"/>
          </w:tcPr>
          <w:p w14:paraId="7CA11286" w14:textId="3D33A50B"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w:t>
            </w:r>
            <w:r w:rsidR="00180167">
              <w:rPr>
                <w:rFonts w:ascii="Calibri" w:hAnsi="Calibri"/>
                <w:sz w:val="20"/>
              </w:rPr>
              <w:t>175</w:t>
            </w:r>
            <w:r>
              <w:rPr>
                <w:rFonts w:ascii="Calibri" w:hAnsi="Calibri"/>
                <w:sz w:val="20"/>
              </w:rPr>
              <w:t>.00</w:t>
            </w:r>
          </w:p>
        </w:tc>
        <w:tc>
          <w:tcPr>
            <w:tcW w:w="1066" w:type="pct"/>
          </w:tcPr>
          <w:p w14:paraId="4A509D4F" w14:textId="2628D680" w:rsidR="00D654ED" w:rsidRPr="004E50E7" w:rsidRDefault="00D654ED" w:rsidP="00D654ED">
            <w:pPr>
              <w:pStyle w:val="BodyTextIndent"/>
              <w:spacing w:after="0"/>
              <w:ind w:left="0" w:right="-720"/>
              <w:rPr>
                <w:rFonts w:ascii="Calibri" w:hAnsi="Calibri"/>
                <w:sz w:val="20"/>
              </w:rPr>
            </w:pPr>
            <w:r>
              <w:rPr>
                <w:rFonts w:ascii="Calibri" w:hAnsi="Calibri"/>
                <w:sz w:val="20"/>
              </w:rPr>
              <w:t>$1,1</w:t>
            </w:r>
            <w:r w:rsidR="00180167">
              <w:rPr>
                <w:rFonts w:ascii="Calibri" w:hAnsi="Calibri"/>
                <w:sz w:val="20"/>
              </w:rPr>
              <w:t>67.50</w:t>
            </w:r>
          </w:p>
        </w:tc>
      </w:tr>
      <w:tr w:rsidR="00D654ED" w:rsidRPr="004E50E7" w14:paraId="447544DE" w14:textId="77777777" w:rsidTr="008F2513">
        <w:tc>
          <w:tcPr>
            <w:tcW w:w="835" w:type="pct"/>
          </w:tcPr>
          <w:p w14:paraId="1D4B365C" w14:textId="77777777" w:rsidR="00D654ED" w:rsidRPr="004E50E7" w:rsidRDefault="00D654ED" w:rsidP="00D654ED">
            <w:pPr>
              <w:pStyle w:val="BodyTextIndent"/>
              <w:spacing w:after="0"/>
              <w:ind w:left="0" w:right="-720"/>
              <w:rPr>
                <w:rFonts w:ascii="Calibri" w:hAnsi="Calibri"/>
                <w:sz w:val="20"/>
              </w:rPr>
            </w:pPr>
          </w:p>
        </w:tc>
        <w:tc>
          <w:tcPr>
            <w:tcW w:w="1074" w:type="pct"/>
          </w:tcPr>
          <w:p w14:paraId="69712589" w14:textId="6365F532"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30% AMI = $</w:t>
            </w:r>
            <w:r>
              <w:rPr>
                <w:rFonts w:ascii="Calibri" w:hAnsi="Calibri"/>
                <w:sz w:val="20"/>
              </w:rPr>
              <w:t>32,200</w:t>
            </w:r>
            <w:r w:rsidRPr="004E50E7">
              <w:rPr>
                <w:rFonts w:ascii="Calibri" w:hAnsi="Calibri"/>
                <w:sz w:val="20"/>
              </w:rPr>
              <w:t>**</w:t>
            </w:r>
          </w:p>
        </w:tc>
        <w:tc>
          <w:tcPr>
            <w:tcW w:w="953" w:type="pct"/>
          </w:tcPr>
          <w:p w14:paraId="34B9E8DD" w14:textId="0DD32346" w:rsidR="00D654ED" w:rsidRPr="004E50E7" w:rsidRDefault="00D654ED" w:rsidP="00D654ED">
            <w:pPr>
              <w:pStyle w:val="BodyTextIndent"/>
              <w:spacing w:after="0"/>
              <w:ind w:left="0" w:right="-720"/>
              <w:rPr>
                <w:rFonts w:ascii="Calibri" w:hAnsi="Calibri"/>
                <w:sz w:val="20"/>
              </w:rPr>
            </w:pPr>
            <w:r>
              <w:rPr>
                <w:rFonts w:ascii="Calibri" w:hAnsi="Calibri"/>
                <w:sz w:val="20"/>
              </w:rPr>
              <w:t>$805.00</w:t>
            </w:r>
          </w:p>
        </w:tc>
        <w:tc>
          <w:tcPr>
            <w:tcW w:w="1072" w:type="pct"/>
          </w:tcPr>
          <w:p w14:paraId="5B2735EF" w14:textId="1D02A658" w:rsidR="00D654ED" w:rsidRPr="004E50E7" w:rsidRDefault="00D654ED" w:rsidP="00D654ED">
            <w:pPr>
              <w:pStyle w:val="BodyTextIndent"/>
              <w:spacing w:after="0"/>
              <w:ind w:left="0" w:right="-720"/>
              <w:rPr>
                <w:rFonts w:ascii="Calibri" w:hAnsi="Calibri"/>
                <w:sz w:val="20"/>
              </w:rPr>
            </w:pPr>
            <w:r w:rsidRPr="004E50E7">
              <w:rPr>
                <w:rFonts w:ascii="Calibri" w:hAnsi="Calibri"/>
                <w:sz w:val="20"/>
              </w:rPr>
              <w:t>$</w:t>
            </w:r>
            <w:r w:rsidR="00180167">
              <w:rPr>
                <w:rFonts w:ascii="Calibri" w:hAnsi="Calibri"/>
                <w:sz w:val="20"/>
              </w:rPr>
              <w:t>175</w:t>
            </w:r>
            <w:r>
              <w:rPr>
                <w:rFonts w:ascii="Calibri" w:hAnsi="Calibri"/>
                <w:sz w:val="20"/>
              </w:rPr>
              <w:t>.00</w:t>
            </w:r>
          </w:p>
        </w:tc>
        <w:tc>
          <w:tcPr>
            <w:tcW w:w="1066" w:type="pct"/>
          </w:tcPr>
          <w:p w14:paraId="0A4CEEE4" w14:textId="7D03317B" w:rsidR="00D654ED" w:rsidRPr="004E50E7" w:rsidRDefault="00D654ED" w:rsidP="00D654ED">
            <w:pPr>
              <w:pStyle w:val="BodyTextIndent"/>
              <w:spacing w:after="0"/>
              <w:ind w:left="0" w:right="-720"/>
              <w:rPr>
                <w:rFonts w:ascii="Calibri" w:hAnsi="Calibri"/>
                <w:sz w:val="20"/>
              </w:rPr>
            </w:pPr>
            <w:r>
              <w:rPr>
                <w:rFonts w:ascii="Calibri" w:hAnsi="Calibri"/>
                <w:sz w:val="20"/>
              </w:rPr>
              <w:t>$6</w:t>
            </w:r>
            <w:r w:rsidR="00180167">
              <w:rPr>
                <w:rFonts w:ascii="Calibri" w:hAnsi="Calibri"/>
                <w:sz w:val="20"/>
              </w:rPr>
              <w:t>30.00</w:t>
            </w:r>
          </w:p>
        </w:tc>
      </w:tr>
    </w:tbl>
    <w:p w14:paraId="61DFE0A6" w14:textId="76DBA118" w:rsidR="008772FC" w:rsidRDefault="008772FC" w:rsidP="008772FC">
      <w:pPr>
        <w:pStyle w:val="BodyTextIndent"/>
        <w:spacing w:after="0"/>
        <w:ind w:left="0" w:right="-720"/>
        <w:rPr>
          <w:rFonts w:ascii="Calibri" w:hAnsi="Calibri"/>
          <w:sz w:val="20"/>
        </w:rPr>
      </w:pPr>
      <w:r w:rsidRPr="004E50E7">
        <w:rPr>
          <w:rFonts w:ascii="Calibri" w:hAnsi="Calibri"/>
          <w:sz w:val="20"/>
        </w:rPr>
        <w:t xml:space="preserve">Source:  Calculations provided by </w:t>
      </w:r>
      <w:r>
        <w:rPr>
          <w:rFonts w:ascii="Calibri" w:hAnsi="Calibri"/>
          <w:sz w:val="20"/>
        </w:rPr>
        <w:t>Town’s Community Housing Specialist</w:t>
      </w:r>
      <w:r w:rsidRPr="004E50E7">
        <w:rPr>
          <w:rFonts w:ascii="Calibri" w:hAnsi="Calibri"/>
          <w:sz w:val="20"/>
        </w:rPr>
        <w:t>.</w:t>
      </w:r>
    </w:p>
    <w:p w14:paraId="64BA1EA3" w14:textId="0ACDCA75" w:rsidR="008772FC" w:rsidRPr="004E50E7" w:rsidRDefault="008772FC" w:rsidP="00615DA4">
      <w:pPr>
        <w:pStyle w:val="BodyTextIndent"/>
        <w:spacing w:after="0"/>
        <w:ind w:left="0"/>
        <w:jc w:val="both"/>
        <w:rPr>
          <w:rFonts w:ascii="Calibri" w:hAnsi="Calibri"/>
          <w:sz w:val="20"/>
        </w:rPr>
      </w:pPr>
      <w:r w:rsidRPr="004E50E7">
        <w:rPr>
          <w:rFonts w:ascii="Calibri" w:hAnsi="Calibri"/>
          <w:sz w:val="20"/>
        </w:rPr>
        <w:t>* Based on the U.S. Census Bureau’s American Community Survey</w:t>
      </w:r>
      <w:r w:rsidR="00F94BCA">
        <w:rPr>
          <w:rFonts w:ascii="Calibri" w:hAnsi="Calibri"/>
          <w:sz w:val="20"/>
        </w:rPr>
        <w:t xml:space="preserve"> (ACS)</w:t>
      </w:r>
      <w:r w:rsidRPr="004E50E7">
        <w:rPr>
          <w:rFonts w:ascii="Calibri" w:hAnsi="Calibri"/>
          <w:sz w:val="20"/>
        </w:rPr>
        <w:t xml:space="preserve"> </w:t>
      </w:r>
      <w:r w:rsidR="00F94BCA">
        <w:rPr>
          <w:rFonts w:ascii="Calibri" w:hAnsi="Calibri"/>
          <w:sz w:val="20"/>
        </w:rPr>
        <w:t>5</w:t>
      </w:r>
      <w:r w:rsidRPr="004E50E7">
        <w:rPr>
          <w:rFonts w:ascii="Calibri" w:hAnsi="Calibri"/>
          <w:sz w:val="20"/>
        </w:rPr>
        <w:t>-</w:t>
      </w:r>
      <w:r>
        <w:rPr>
          <w:rFonts w:ascii="Calibri" w:hAnsi="Calibri"/>
          <w:sz w:val="20"/>
        </w:rPr>
        <w:t>Y</w:t>
      </w:r>
      <w:r w:rsidRPr="004E50E7">
        <w:rPr>
          <w:rFonts w:ascii="Calibri" w:hAnsi="Calibri"/>
          <w:sz w:val="20"/>
        </w:rPr>
        <w:t xml:space="preserve">ear </w:t>
      </w:r>
      <w:r w:rsidR="00F94BCA">
        <w:rPr>
          <w:rFonts w:ascii="Calibri" w:hAnsi="Calibri"/>
          <w:sz w:val="20"/>
        </w:rPr>
        <w:t>E</w:t>
      </w:r>
      <w:r w:rsidRPr="004E50E7">
        <w:rPr>
          <w:rFonts w:ascii="Calibri" w:hAnsi="Calibri"/>
          <w:sz w:val="20"/>
        </w:rPr>
        <w:t>stimates</w:t>
      </w:r>
      <w:r>
        <w:rPr>
          <w:rFonts w:ascii="Calibri" w:hAnsi="Calibri"/>
          <w:sz w:val="20"/>
        </w:rPr>
        <w:t>,</w:t>
      </w:r>
      <w:r w:rsidRPr="004E50E7">
        <w:rPr>
          <w:rFonts w:ascii="Calibri" w:hAnsi="Calibri"/>
          <w:sz w:val="20"/>
        </w:rPr>
        <w:t xml:space="preserve"> 20</w:t>
      </w:r>
      <w:r>
        <w:rPr>
          <w:rFonts w:ascii="Calibri" w:hAnsi="Calibri"/>
          <w:sz w:val="20"/>
        </w:rPr>
        <w:t>1</w:t>
      </w:r>
      <w:r w:rsidR="008856FD">
        <w:rPr>
          <w:rFonts w:ascii="Calibri" w:hAnsi="Calibri"/>
          <w:sz w:val="20"/>
        </w:rPr>
        <w:t>6</w:t>
      </w:r>
      <w:r w:rsidRPr="004E50E7">
        <w:rPr>
          <w:rFonts w:ascii="Calibri" w:hAnsi="Calibri"/>
          <w:sz w:val="20"/>
        </w:rPr>
        <w:t>-20</w:t>
      </w:r>
      <w:r w:rsidR="008856FD">
        <w:rPr>
          <w:rFonts w:ascii="Calibri" w:hAnsi="Calibri"/>
          <w:sz w:val="20"/>
        </w:rPr>
        <w:t>20</w:t>
      </w:r>
      <w:r w:rsidRPr="004E50E7">
        <w:rPr>
          <w:rFonts w:ascii="Calibri" w:hAnsi="Calibri"/>
          <w:sz w:val="20"/>
        </w:rPr>
        <w:t>.</w:t>
      </w:r>
    </w:p>
    <w:p w14:paraId="5336475A" w14:textId="026584D3" w:rsidR="008772FC" w:rsidRPr="004E50E7" w:rsidRDefault="008772FC" w:rsidP="00615DA4">
      <w:pPr>
        <w:pStyle w:val="BodyTextIndent"/>
        <w:spacing w:after="0"/>
        <w:ind w:left="0"/>
        <w:jc w:val="both"/>
        <w:rPr>
          <w:rFonts w:ascii="Calibri" w:hAnsi="Calibri"/>
          <w:sz w:val="20"/>
        </w:rPr>
      </w:pPr>
      <w:r w:rsidRPr="004E50E7">
        <w:rPr>
          <w:rFonts w:ascii="Calibri" w:hAnsi="Calibri"/>
          <w:sz w:val="20"/>
        </w:rPr>
        <w:t>** HUD 20</w:t>
      </w:r>
      <w:r w:rsidR="005572AE">
        <w:rPr>
          <w:rFonts w:ascii="Calibri" w:hAnsi="Calibri"/>
          <w:sz w:val="20"/>
        </w:rPr>
        <w:t>21</w:t>
      </w:r>
      <w:r w:rsidRPr="004E50E7">
        <w:rPr>
          <w:rFonts w:ascii="Calibri" w:hAnsi="Calibri"/>
          <w:sz w:val="20"/>
        </w:rPr>
        <w:t xml:space="preserve"> Income Limits for the Boston area for a household of three (3) for homeowners (average household size for homeowners in Needham was </w:t>
      </w:r>
      <w:r w:rsidR="003C3EF8">
        <w:rPr>
          <w:rFonts w:ascii="Calibri" w:hAnsi="Calibri"/>
          <w:sz w:val="20"/>
        </w:rPr>
        <w:t>3.03</w:t>
      </w:r>
      <w:r w:rsidRPr="004E50E7">
        <w:rPr>
          <w:rFonts w:ascii="Calibri" w:hAnsi="Calibri"/>
          <w:sz w:val="20"/>
        </w:rPr>
        <w:t xml:space="preserve"> persons per the </w:t>
      </w:r>
      <w:r>
        <w:rPr>
          <w:rFonts w:ascii="Calibri" w:hAnsi="Calibri"/>
          <w:sz w:val="20"/>
        </w:rPr>
        <w:t>ACS 201</w:t>
      </w:r>
      <w:r w:rsidR="003C3EF8">
        <w:rPr>
          <w:rFonts w:ascii="Calibri" w:hAnsi="Calibri"/>
          <w:sz w:val="20"/>
        </w:rPr>
        <w:t>6</w:t>
      </w:r>
      <w:r w:rsidR="00F94BCA">
        <w:rPr>
          <w:rFonts w:ascii="Calibri" w:hAnsi="Calibri"/>
          <w:sz w:val="20"/>
        </w:rPr>
        <w:t>-20</w:t>
      </w:r>
      <w:r w:rsidR="003C3EF8">
        <w:rPr>
          <w:rFonts w:ascii="Calibri" w:hAnsi="Calibri"/>
          <w:sz w:val="20"/>
        </w:rPr>
        <w:t>20</w:t>
      </w:r>
      <w:r w:rsidR="00F94BCA">
        <w:rPr>
          <w:rFonts w:ascii="Calibri" w:hAnsi="Calibri"/>
          <w:sz w:val="20"/>
        </w:rPr>
        <w:t xml:space="preserve"> E</w:t>
      </w:r>
      <w:r>
        <w:rPr>
          <w:rFonts w:ascii="Calibri" w:hAnsi="Calibri"/>
          <w:sz w:val="20"/>
        </w:rPr>
        <w:t>stimates</w:t>
      </w:r>
      <w:r w:rsidRPr="004E50E7">
        <w:rPr>
          <w:rFonts w:ascii="Calibri" w:hAnsi="Calibri"/>
          <w:sz w:val="20"/>
        </w:rPr>
        <w:t>) and average of two (2) for renters as average household size for renter-occupied units was 1.</w:t>
      </w:r>
      <w:r w:rsidR="003C3EF8">
        <w:rPr>
          <w:rFonts w:ascii="Calibri" w:hAnsi="Calibri"/>
          <w:sz w:val="20"/>
        </w:rPr>
        <w:t>69</w:t>
      </w:r>
      <w:r w:rsidRPr="004E50E7">
        <w:rPr>
          <w:rFonts w:ascii="Calibri" w:hAnsi="Calibri"/>
          <w:sz w:val="20"/>
        </w:rPr>
        <w:t xml:space="preserve"> persons</w:t>
      </w:r>
      <w:r>
        <w:rPr>
          <w:rFonts w:ascii="Calibri" w:hAnsi="Calibri"/>
          <w:sz w:val="20"/>
        </w:rPr>
        <w:t xml:space="preserve"> </w:t>
      </w:r>
      <w:r w:rsidR="00F94BCA">
        <w:rPr>
          <w:rFonts w:ascii="Calibri" w:hAnsi="Calibri"/>
          <w:sz w:val="20"/>
        </w:rPr>
        <w:t xml:space="preserve">based on the </w:t>
      </w:r>
      <w:r>
        <w:rPr>
          <w:rFonts w:ascii="Calibri" w:hAnsi="Calibri"/>
          <w:sz w:val="20"/>
        </w:rPr>
        <w:t>201</w:t>
      </w:r>
      <w:r w:rsidR="008856FD">
        <w:rPr>
          <w:rFonts w:ascii="Calibri" w:hAnsi="Calibri"/>
          <w:sz w:val="20"/>
        </w:rPr>
        <w:t>6</w:t>
      </w:r>
      <w:r w:rsidR="00F94BCA">
        <w:rPr>
          <w:rFonts w:ascii="Calibri" w:hAnsi="Calibri"/>
          <w:sz w:val="20"/>
        </w:rPr>
        <w:t>-20</w:t>
      </w:r>
      <w:r w:rsidR="008856FD">
        <w:rPr>
          <w:rFonts w:ascii="Calibri" w:hAnsi="Calibri"/>
          <w:sz w:val="20"/>
        </w:rPr>
        <w:t>20</w:t>
      </w:r>
      <w:r>
        <w:rPr>
          <w:rFonts w:ascii="Calibri" w:hAnsi="Calibri"/>
          <w:sz w:val="20"/>
        </w:rPr>
        <w:t xml:space="preserve"> ACS </w:t>
      </w:r>
      <w:r w:rsidR="00F94BCA">
        <w:rPr>
          <w:rFonts w:ascii="Calibri" w:hAnsi="Calibri"/>
          <w:sz w:val="20"/>
        </w:rPr>
        <w:t>E</w:t>
      </w:r>
      <w:r>
        <w:rPr>
          <w:rFonts w:ascii="Calibri" w:hAnsi="Calibri"/>
          <w:sz w:val="20"/>
        </w:rPr>
        <w:t>stimates</w:t>
      </w:r>
      <w:r w:rsidRPr="004E50E7">
        <w:rPr>
          <w:rFonts w:ascii="Calibri" w:hAnsi="Calibri"/>
          <w:sz w:val="20"/>
        </w:rPr>
        <w:t>).</w:t>
      </w:r>
    </w:p>
    <w:p w14:paraId="645C365D" w14:textId="4F544C1E" w:rsidR="008772FC" w:rsidRPr="004E50E7" w:rsidRDefault="008772FC" w:rsidP="00615DA4">
      <w:pPr>
        <w:pStyle w:val="FootnoteText"/>
        <w:jc w:val="both"/>
        <w:rPr>
          <w:rFonts w:ascii="Calibri" w:hAnsi="Calibri"/>
        </w:rPr>
      </w:pPr>
      <w:r w:rsidRPr="004E50E7">
        <w:rPr>
          <w:rFonts w:ascii="Calibri" w:hAnsi="Calibri"/>
        </w:rPr>
        <w:t xml:space="preserve">*** Figures based on interest rate of </w:t>
      </w:r>
      <w:r w:rsidR="00180167">
        <w:rPr>
          <w:rFonts w:ascii="Calibri" w:hAnsi="Calibri"/>
        </w:rPr>
        <w:t>4</w:t>
      </w:r>
      <w:r w:rsidR="00F94BCA">
        <w:rPr>
          <w:rFonts w:ascii="Calibri" w:hAnsi="Calibri"/>
        </w:rPr>
        <w:t>.0</w:t>
      </w:r>
      <w:r w:rsidRPr="004E50E7">
        <w:rPr>
          <w:rFonts w:ascii="Calibri" w:hAnsi="Calibri"/>
        </w:rPr>
        <w:t>%, 30-year term, annual property tax rate of $</w:t>
      </w:r>
      <w:r w:rsidR="00180167">
        <w:rPr>
          <w:rFonts w:ascii="Calibri" w:hAnsi="Calibri"/>
        </w:rPr>
        <w:t>13.03</w:t>
      </w:r>
      <w:r w:rsidRPr="004E50E7">
        <w:rPr>
          <w:rFonts w:ascii="Calibri" w:hAnsi="Calibri"/>
        </w:rPr>
        <w:t xml:space="preserve"> per thousand, insurance costs of </w:t>
      </w:r>
      <w:r w:rsidR="00D30819">
        <w:rPr>
          <w:rFonts w:ascii="Calibri" w:hAnsi="Calibri"/>
        </w:rPr>
        <w:t>$6 per thousand for single and two-family homes and $4 per thousand for condo</w:t>
      </w:r>
      <w:r w:rsidR="00CA7232">
        <w:rPr>
          <w:rFonts w:ascii="Calibri" w:hAnsi="Calibri"/>
        </w:rPr>
        <w:t xml:space="preserve"> unit</w:t>
      </w:r>
      <w:r w:rsidR="00D30819">
        <w:rPr>
          <w:rFonts w:ascii="Calibri" w:hAnsi="Calibri"/>
        </w:rPr>
        <w:t>s</w:t>
      </w:r>
      <w:r w:rsidRPr="004E50E7">
        <w:rPr>
          <w:rFonts w:ascii="Calibri" w:hAnsi="Calibri"/>
        </w:rPr>
        <w:t xml:space="preserve">, and private mortgage insurance (PMI) estimated at 0.3125% of loan amount for 95% financing, </w:t>
      </w:r>
      <w:r w:rsidR="00180167">
        <w:rPr>
          <w:rFonts w:ascii="Calibri" w:hAnsi="Calibri"/>
        </w:rPr>
        <w:t xml:space="preserve">and </w:t>
      </w:r>
      <w:r w:rsidRPr="004E50E7">
        <w:rPr>
          <w:rFonts w:ascii="Calibri" w:hAnsi="Calibri"/>
        </w:rPr>
        <w:t>estimated monthly condo fees of $300</w:t>
      </w:r>
      <w:r w:rsidR="00180167">
        <w:rPr>
          <w:rFonts w:ascii="Calibri" w:hAnsi="Calibri"/>
        </w:rPr>
        <w:t>.</w:t>
      </w:r>
      <w:r w:rsidRPr="004E50E7">
        <w:rPr>
          <w:rFonts w:ascii="Calibri" w:hAnsi="Calibri"/>
        </w:rPr>
        <w:t xml:space="preserve"> Figures do not include underwriting for PMI in calculations with a 20% down payment</w:t>
      </w:r>
      <w:r w:rsidR="00317F76">
        <w:rPr>
          <w:rFonts w:ascii="Calibri" w:hAnsi="Calibri"/>
        </w:rPr>
        <w:t xml:space="preserve"> and for the 80% AMI level at 95% financing that would assume that the purchaser qualified for the ONE Mortgage Program</w:t>
      </w:r>
      <w:r w:rsidR="00180167">
        <w:rPr>
          <w:rFonts w:ascii="Calibri" w:hAnsi="Calibri"/>
        </w:rPr>
        <w:t>,</w:t>
      </w:r>
      <w:r w:rsidR="00317F76">
        <w:rPr>
          <w:rFonts w:ascii="Calibri" w:hAnsi="Calibri"/>
        </w:rPr>
        <w:t xml:space="preserve"> MassHousing</w:t>
      </w:r>
      <w:r w:rsidR="00180167">
        <w:rPr>
          <w:rFonts w:ascii="Calibri" w:hAnsi="Calibri"/>
        </w:rPr>
        <w:t>, or other government mortgage</w:t>
      </w:r>
      <w:r w:rsidR="00317F76">
        <w:rPr>
          <w:rFonts w:ascii="Calibri" w:hAnsi="Calibri"/>
        </w:rPr>
        <w:t xml:space="preserve"> offerings for example</w:t>
      </w:r>
      <w:r w:rsidRPr="004E50E7">
        <w:rPr>
          <w:rFonts w:ascii="Calibri" w:hAnsi="Calibri"/>
        </w:rPr>
        <w:t>.</w:t>
      </w:r>
      <w:r w:rsidR="00D30819">
        <w:rPr>
          <w:rFonts w:ascii="Calibri" w:hAnsi="Calibri"/>
        </w:rPr>
        <w:t xml:space="preserve">  Assumptions also include the purchaser spending no more than 30% of income on housing costs.</w:t>
      </w:r>
    </w:p>
    <w:p w14:paraId="25265FB2" w14:textId="77777777" w:rsidR="00195521" w:rsidRDefault="00195521" w:rsidP="007267E6">
      <w:pPr>
        <w:pStyle w:val="BodyTextIndent"/>
        <w:spacing w:after="0"/>
        <w:ind w:left="0"/>
        <w:jc w:val="both"/>
        <w:rPr>
          <w:rFonts w:ascii="Calibri" w:hAnsi="Calibri"/>
          <w:sz w:val="22"/>
          <w:szCs w:val="22"/>
        </w:rPr>
      </w:pPr>
    </w:p>
    <w:p w14:paraId="5C955527" w14:textId="21EB44B6" w:rsidR="007267E6" w:rsidRPr="008B375C" w:rsidRDefault="007267E6" w:rsidP="007267E6">
      <w:pPr>
        <w:pStyle w:val="BodyTextIndent"/>
        <w:spacing w:after="0"/>
        <w:ind w:left="0"/>
        <w:jc w:val="both"/>
        <w:rPr>
          <w:rFonts w:ascii="Calibri" w:hAnsi="Calibri"/>
          <w:sz w:val="22"/>
          <w:szCs w:val="22"/>
        </w:rPr>
      </w:pPr>
      <w:r w:rsidRPr="008B375C">
        <w:rPr>
          <w:rFonts w:ascii="Calibri" w:hAnsi="Calibri"/>
          <w:sz w:val="22"/>
          <w:szCs w:val="22"/>
        </w:rPr>
        <w:lastRenderedPageBreak/>
        <w:t>Because median income levels are so high in Needham, at $</w:t>
      </w:r>
      <w:r w:rsidR="003C3EF8">
        <w:rPr>
          <w:rFonts w:ascii="Calibri" w:hAnsi="Calibri"/>
          <w:sz w:val="22"/>
          <w:szCs w:val="22"/>
        </w:rPr>
        <w:t>174,707</w:t>
      </w:r>
      <w:r>
        <w:rPr>
          <w:rFonts w:ascii="Calibri" w:hAnsi="Calibri"/>
          <w:sz w:val="22"/>
          <w:szCs w:val="22"/>
        </w:rPr>
        <w:t xml:space="preserve"> based on 20</w:t>
      </w:r>
      <w:r w:rsidR="003C3EF8">
        <w:rPr>
          <w:rFonts w:ascii="Calibri" w:hAnsi="Calibri"/>
          <w:sz w:val="22"/>
          <w:szCs w:val="22"/>
        </w:rPr>
        <w:t>20</w:t>
      </w:r>
      <w:r w:rsidRPr="008B375C">
        <w:rPr>
          <w:rFonts w:ascii="Calibri" w:hAnsi="Calibri"/>
          <w:sz w:val="22"/>
          <w:szCs w:val="22"/>
        </w:rPr>
        <w:t xml:space="preserve"> census estimates, the amount that can be borrowed and ultimately the purchase price </w:t>
      </w:r>
      <w:r>
        <w:rPr>
          <w:rFonts w:ascii="Calibri" w:hAnsi="Calibri"/>
          <w:sz w:val="22"/>
          <w:szCs w:val="22"/>
        </w:rPr>
        <w:t>are</w:t>
      </w:r>
      <w:r w:rsidRPr="008B375C">
        <w:rPr>
          <w:rFonts w:ascii="Calibri" w:hAnsi="Calibri"/>
          <w:sz w:val="22"/>
          <w:szCs w:val="22"/>
        </w:rPr>
        <w:t xml:space="preserve"> relatively high</w:t>
      </w:r>
      <w:r w:rsidR="00574AED">
        <w:rPr>
          <w:rFonts w:ascii="Calibri" w:hAnsi="Calibri"/>
          <w:sz w:val="22"/>
          <w:szCs w:val="22"/>
        </w:rPr>
        <w:t xml:space="preserve"> as well</w:t>
      </w:r>
      <w:r w:rsidRPr="008B375C">
        <w:rPr>
          <w:rFonts w:ascii="Calibri" w:hAnsi="Calibri"/>
          <w:sz w:val="22"/>
          <w:szCs w:val="22"/>
        </w:rPr>
        <w:t>.  For example, a median income household may likely be able to afford a single-family home for $</w:t>
      </w:r>
      <w:r w:rsidR="003C3EF8">
        <w:rPr>
          <w:rFonts w:ascii="Calibri" w:hAnsi="Calibri"/>
          <w:sz w:val="22"/>
          <w:szCs w:val="22"/>
        </w:rPr>
        <w:t>808</w:t>
      </w:r>
      <w:r w:rsidRPr="008B375C">
        <w:rPr>
          <w:rFonts w:ascii="Calibri" w:hAnsi="Calibri"/>
          <w:sz w:val="22"/>
          <w:szCs w:val="22"/>
        </w:rPr>
        <w:t>,000 and a $</w:t>
      </w:r>
      <w:r w:rsidR="003C3EF8">
        <w:rPr>
          <w:rFonts w:ascii="Calibri" w:hAnsi="Calibri"/>
          <w:sz w:val="22"/>
          <w:szCs w:val="22"/>
        </w:rPr>
        <w:t>776,500</w:t>
      </w:r>
      <w:r w:rsidRPr="008B375C">
        <w:rPr>
          <w:rFonts w:ascii="Calibri" w:hAnsi="Calibri"/>
          <w:sz w:val="22"/>
          <w:szCs w:val="22"/>
        </w:rPr>
        <w:t xml:space="preserve"> condo based on 80% financing.</w:t>
      </w:r>
    </w:p>
    <w:p w14:paraId="67F08F69" w14:textId="77777777" w:rsidR="007267E6" w:rsidRPr="008B375C" w:rsidRDefault="007267E6" w:rsidP="007267E6">
      <w:pPr>
        <w:pStyle w:val="BodyTextIndent"/>
        <w:spacing w:after="0"/>
        <w:ind w:left="0"/>
        <w:jc w:val="both"/>
        <w:rPr>
          <w:rFonts w:ascii="Calibri" w:hAnsi="Calibri"/>
          <w:b/>
          <w:bCs/>
          <w:sz w:val="22"/>
          <w:szCs w:val="22"/>
        </w:rPr>
      </w:pPr>
    </w:p>
    <w:p w14:paraId="12BA8B9C" w14:textId="7D2619A1" w:rsidR="007267E6" w:rsidRDefault="007267E6" w:rsidP="007267E6">
      <w:pPr>
        <w:pStyle w:val="BodyTextIndent"/>
        <w:spacing w:after="0"/>
        <w:ind w:left="0"/>
        <w:jc w:val="both"/>
        <w:rPr>
          <w:rFonts w:ascii="Calibri" w:hAnsi="Calibri"/>
          <w:sz w:val="22"/>
          <w:szCs w:val="22"/>
        </w:rPr>
      </w:pPr>
      <w:r w:rsidRPr="008B375C">
        <w:rPr>
          <w:rFonts w:ascii="Calibri" w:hAnsi="Calibri"/>
          <w:sz w:val="22"/>
          <w:szCs w:val="22"/>
        </w:rPr>
        <w:t xml:space="preserve">Table </w:t>
      </w:r>
      <w:r>
        <w:rPr>
          <w:rFonts w:ascii="Calibri" w:hAnsi="Calibri"/>
          <w:sz w:val="22"/>
          <w:szCs w:val="22"/>
        </w:rPr>
        <w:t>III-36</w:t>
      </w:r>
      <w:r w:rsidRPr="008B375C">
        <w:rPr>
          <w:rFonts w:ascii="Calibri" w:hAnsi="Calibri"/>
          <w:sz w:val="22"/>
          <w:szCs w:val="22"/>
        </w:rPr>
        <w:t xml:space="preserve"> also looks at what renters can afford at </w:t>
      </w:r>
      <w:r>
        <w:rPr>
          <w:rFonts w:ascii="Calibri" w:hAnsi="Calibri"/>
          <w:sz w:val="22"/>
          <w:szCs w:val="22"/>
        </w:rPr>
        <w:t xml:space="preserve">five </w:t>
      </w:r>
      <w:r w:rsidRPr="008B375C">
        <w:rPr>
          <w:rFonts w:ascii="Calibri" w:hAnsi="Calibri"/>
          <w:sz w:val="22"/>
          <w:szCs w:val="22"/>
        </w:rPr>
        <w:t>different income levels.  For example, a two-person household (average household size of renters in Needham was 1.</w:t>
      </w:r>
      <w:r w:rsidR="003C3EF8">
        <w:rPr>
          <w:rFonts w:ascii="Calibri" w:hAnsi="Calibri"/>
          <w:sz w:val="22"/>
          <w:szCs w:val="22"/>
        </w:rPr>
        <w:t>69</w:t>
      </w:r>
      <w:r w:rsidRPr="008B375C">
        <w:rPr>
          <w:rFonts w:ascii="Calibri" w:hAnsi="Calibri"/>
          <w:sz w:val="22"/>
          <w:szCs w:val="22"/>
        </w:rPr>
        <w:t xml:space="preserve"> persons </w:t>
      </w:r>
      <w:r>
        <w:rPr>
          <w:rFonts w:ascii="Calibri" w:hAnsi="Calibri"/>
          <w:sz w:val="22"/>
          <w:szCs w:val="22"/>
        </w:rPr>
        <w:t>according to 20</w:t>
      </w:r>
      <w:r w:rsidR="003C3EF8">
        <w:rPr>
          <w:rFonts w:ascii="Calibri" w:hAnsi="Calibri"/>
          <w:sz w:val="22"/>
          <w:szCs w:val="22"/>
        </w:rPr>
        <w:t>20</w:t>
      </w:r>
      <w:r>
        <w:rPr>
          <w:rFonts w:ascii="Calibri" w:hAnsi="Calibri"/>
          <w:sz w:val="22"/>
          <w:szCs w:val="22"/>
        </w:rPr>
        <w:t xml:space="preserve"> census estimates</w:t>
      </w:r>
      <w:r w:rsidRPr="008B375C">
        <w:rPr>
          <w:rFonts w:ascii="Calibri" w:hAnsi="Calibri"/>
          <w:sz w:val="22"/>
          <w:szCs w:val="22"/>
        </w:rPr>
        <w:t xml:space="preserve">) earning at </w:t>
      </w:r>
      <w:r w:rsidR="00337484">
        <w:rPr>
          <w:rFonts w:ascii="Calibri" w:hAnsi="Calibri"/>
          <w:sz w:val="22"/>
          <w:szCs w:val="22"/>
        </w:rPr>
        <w:t xml:space="preserve">the </w:t>
      </w:r>
      <w:r w:rsidRPr="008B375C">
        <w:rPr>
          <w:rFonts w:ascii="Calibri" w:hAnsi="Calibri"/>
          <w:sz w:val="22"/>
          <w:szCs w:val="22"/>
        </w:rPr>
        <w:t>50% of area median income</w:t>
      </w:r>
      <w:r w:rsidR="00337484">
        <w:rPr>
          <w:rFonts w:ascii="Calibri" w:hAnsi="Calibri"/>
          <w:sz w:val="22"/>
          <w:szCs w:val="22"/>
        </w:rPr>
        <w:t xml:space="preserve"> limit</w:t>
      </w:r>
      <w:r w:rsidRPr="008B375C">
        <w:rPr>
          <w:rFonts w:ascii="Calibri" w:hAnsi="Calibri"/>
          <w:sz w:val="22"/>
          <w:szCs w:val="22"/>
        </w:rPr>
        <w:t xml:space="preserve"> </w:t>
      </w:r>
      <w:r>
        <w:rPr>
          <w:rFonts w:ascii="Calibri" w:hAnsi="Calibri"/>
          <w:sz w:val="22"/>
          <w:szCs w:val="22"/>
        </w:rPr>
        <w:t>or</w:t>
      </w:r>
      <w:r w:rsidRPr="008B375C">
        <w:rPr>
          <w:rFonts w:ascii="Calibri" w:hAnsi="Calibri"/>
          <w:sz w:val="22"/>
          <w:szCs w:val="22"/>
        </w:rPr>
        <w:t xml:space="preserve"> $</w:t>
      </w:r>
      <w:r>
        <w:rPr>
          <w:rFonts w:ascii="Calibri" w:hAnsi="Calibri"/>
          <w:sz w:val="22"/>
          <w:szCs w:val="22"/>
        </w:rPr>
        <w:t>53,700</w:t>
      </w:r>
      <w:r w:rsidRPr="008B375C">
        <w:rPr>
          <w:rFonts w:ascii="Calibri" w:hAnsi="Calibri"/>
          <w:sz w:val="22"/>
          <w:szCs w:val="22"/>
        </w:rPr>
        <w:t xml:space="preserve"> annually could afford an estimated monthly rental of about $</w:t>
      </w:r>
      <w:r>
        <w:rPr>
          <w:rFonts w:ascii="Calibri" w:hAnsi="Calibri"/>
          <w:sz w:val="22"/>
          <w:szCs w:val="22"/>
        </w:rPr>
        <w:t>1,168</w:t>
      </w:r>
      <w:r w:rsidRPr="008B375C">
        <w:rPr>
          <w:rFonts w:ascii="Calibri" w:hAnsi="Calibri"/>
          <w:sz w:val="22"/>
          <w:szCs w:val="22"/>
        </w:rPr>
        <w:t xml:space="preserve">, assuming they </w:t>
      </w:r>
      <w:r>
        <w:rPr>
          <w:rFonts w:ascii="Calibri" w:hAnsi="Calibri"/>
          <w:sz w:val="22"/>
          <w:szCs w:val="22"/>
        </w:rPr>
        <w:t>we</w:t>
      </w:r>
      <w:r w:rsidRPr="008B375C">
        <w:rPr>
          <w:rFonts w:ascii="Calibri" w:hAnsi="Calibri"/>
          <w:sz w:val="22"/>
          <w:szCs w:val="22"/>
        </w:rPr>
        <w:t xml:space="preserve">re paying no more than 30% of their income on housing </w:t>
      </w:r>
      <w:r>
        <w:rPr>
          <w:rFonts w:ascii="Calibri" w:hAnsi="Calibri"/>
          <w:sz w:val="22"/>
          <w:szCs w:val="22"/>
        </w:rPr>
        <w:t xml:space="preserve">including </w:t>
      </w:r>
      <w:r w:rsidRPr="008B375C">
        <w:rPr>
          <w:rFonts w:ascii="Calibri" w:hAnsi="Calibri"/>
          <w:sz w:val="22"/>
          <w:szCs w:val="22"/>
        </w:rPr>
        <w:t>utility bills that average $17</w:t>
      </w:r>
      <w:r>
        <w:rPr>
          <w:rFonts w:ascii="Calibri" w:hAnsi="Calibri"/>
          <w:sz w:val="22"/>
          <w:szCs w:val="22"/>
        </w:rPr>
        <w:t>5</w:t>
      </w:r>
      <w:r w:rsidRPr="008B375C">
        <w:rPr>
          <w:rFonts w:ascii="Calibri" w:hAnsi="Calibri"/>
          <w:sz w:val="22"/>
          <w:szCs w:val="22"/>
        </w:rPr>
        <w:t xml:space="preserve"> per month.</w:t>
      </w:r>
      <w:r w:rsidRPr="008B375C">
        <w:rPr>
          <w:rStyle w:val="FootnoteReference"/>
          <w:rFonts w:ascii="Calibri" w:hAnsi="Calibri"/>
          <w:sz w:val="22"/>
          <w:szCs w:val="22"/>
        </w:rPr>
        <w:footnoteReference w:id="26"/>
      </w:r>
      <w:r w:rsidRPr="008B375C">
        <w:rPr>
          <w:rFonts w:ascii="Calibri" w:hAnsi="Calibri"/>
          <w:sz w:val="22"/>
          <w:szCs w:val="22"/>
        </w:rPr>
        <w:t xml:space="preserve">  An unsubsidized rental this low is </w:t>
      </w:r>
      <w:r w:rsidR="00E47620">
        <w:rPr>
          <w:rFonts w:ascii="Calibri" w:hAnsi="Calibri"/>
          <w:sz w:val="22"/>
          <w:szCs w:val="22"/>
        </w:rPr>
        <w:t>virtually impossible</w:t>
      </w:r>
      <w:r w:rsidRPr="008B375C">
        <w:rPr>
          <w:rFonts w:ascii="Calibri" w:hAnsi="Calibri"/>
          <w:sz w:val="22"/>
          <w:szCs w:val="22"/>
        </w:rPr>
        <w:t xml:space="preserve"> to find in Needham where the lowest rental advertised in </w:t>
      </w:r>
      <w:r>
        <w:rPr>
          <w:rFonts w:ascii="Calibri" w:hAnsi="Calibri"/>
          <w:sz w:val="22"/>
          <w:szCs w:val="22"/>
        </w:rPr>
        <w:t>November 2021</w:t>
      </w:r>
      <w:r w:rsidRPr="008B375C">
        <w:rPr>
          <w:rFonts w:ascii="Calibri" w:hAnsi="Calibri"/>
          <w:sz w:val="22"/>
          <w:szCs w:val="22"/>
        </w:rPr>
        <w:t xml:space="preserve"> was $1,</w:t>
      </w:r>
      <w:r>
        <w:rPr>
          <w:rFonts w:ascii="Calibri" w:hAnsi="Calibri"/>
          <w:sz w:val="22"/>
          <w:szCs w:val="22"/>
        </w:rPr>
        <w:t>550</w:t>
      </w:r>
      <w:r w:rsidRPr="008B375C">
        <w:rPr>
          <w:rFonts w:ascii="Calibri" w:hAnsi="Calibri"/>
          <w:sz w:val="22"/>
          <w:szCs w:val="22"/>
        </w:rPr>
        <w:t xml:space="preserve"> for a </w:t>
      </w:r>
      <w:r>
        <w:rPr>
          <w:rFonts w:ascii="Calibri" w:hAnsi="Calibri"/>
          <w:sz w:val="22"/>
          <w:szCs w:val="22"/>
        </w:rPr>
        <w:t xml:space="preserve">very small one-bedroom </w:t>
      </w:r>
      <w:r w:rsidRPr="008B375C">
        <w:rPr>
          <w:rFonts w:ascii="Calibri" w:hAnsi="Calibri"/>
          <w:sz w:val="22"/>
          <w:szCs w:val="22"/>
        </w:rPr>
        <w:t>apartment</w:t>
      </w:r>
      <w:r>
        <w:rPr>
          <w:rFonts w:ascii="Calibri" w:hAnsi="Calibri"/>
          <w:sz w:val="22"/>
          <w:szCs w:val="22"/>
        </w:rPr>
        <w:t xml:space="preserve"> in an older multi-family development.</w:t>
      </w:r>
    </w:p>
    <w:p w14:paraId="198A98B2" w14:textId="77777777" w:rsidR="007267E6" w:rsidRDefault="007267E6" w:rsidP="007267E6">
      <w:pPr>
        <w:pStyle w:val="BodyTextIndent"/>
        <w:spacing w:after="0"/>
        <w:ind w:left="0"/>
        <w:jc w:val="both"/>
        <w:rPr>
          <w:rFonts w:ascii="Calibri" w:hAnsi="Calibri"/>
          <w:sz w:val="22"/>
          <w:szCs w:val="22"/>
        </w:rPr>
      </w:pPr>
    </w:p>
    <w:p w14:paraId="7510A0E7" w14:textId="1D303C45" w:rsidR="007267E6" w:rsidRPr="008B375C" w:rsidRDefault="00195521" w:rsidP="007267E6">
      <w:pPr>
        <w:pStyle w:val="BodyTextIndent"/>
        <w:spacing w:after="0"/>
        <w:ind w:left="0"/>
        <w:jc w:val="both"/>
        <w:rPr>
          <w:rFonts w:ascii="Calibri" w:hAnsi="Calibri"/>
          <w:sz w:val="22"/>
          <w:szCs w:val="22"/>
        </w:rPr>
      </w:pPr>
      <w:r>
        <w:rPr>
          <w:rFonts w:ascii="Calibri" w:hAnsi="Calibri"/>
          <w:sz w:val="22"/>
          <w:szCs w:val="22"/>
        </w:rPr>
        <w:t>As noted above, r</w:t>
      </w:r>
      <w:r w:rsidR="007267E6">
        <w:rPr>
          <w:rFonts w:ascii="Calibri" w:hAnsi="Calibri"/>
          <w:sz w:val="22"/>
          <w:szCs w:val="22"/>
        </w:rPr>
        <w:t>entals also include relatively high upfront cash requirements, often including fi</w:t>
      </w:r>
      <w:r w:rsidR="007267E6" w:rsidRPr="008B375C">
        <w:rPr>
          <w:rFonts w:ascii="Calibri" w:hAnsi="Calibri"/>
          <w:sz w:val="22"/>
          <w:szCs w:val="22"/>
        </w:rPr>
        <w:t>rst and last months</w:t>
      </w:r>
      <w:r w:rsidR="00E47620">
        <w:rPr>
          <w:rFonts w:ascii="Calibri" w:hAnsi="Calibri"/>
          <w:sz w:val="22"/>
          <w:szCs w:val="22"/>
        </w:rPr>
        <w:t>’</w:t>
      </w:r>
      <w:r w:rsidR="007267E6" w:rsidRPr="008B375C">
        <w:rPr>
          <w:rFonts w:ascii="Calibri" w:hAnsi="Calibri"/>
          <w:sz w:val="22"/>
          <w:szCs w:val="22"/>
        </w:rPr>
        <w:t xml:space="preserve"> rent </w:t>
      </w:r>
      <w:r w:rsidR="007267E6">
        <w:rPr>
          <w:rFonts w:ascii="Calibri" w:hAnsi="Calibri"/>
          <w:sz w:val="22"/>
          <w:szCs w:val="22"/>
        </w:rPr>
        <w:t>plus</w:t>
      </w:r>
      <w:r w:rsidR="007267E6" w:rsidRPr="008B375C">
        <w:rPr>
          <w:rFonts w:ascii="Calibri" w:hAnsi="Calibri"/>
          <w:sz w:val="22"/>
          <w:szCs w:val="22"/>
        </w:rPr>
        <w:t xml:space="preserve"> a security deposit.  This means that any household looking to rent in the private housing market must have a considerable amount of cash available, which has a</w:t>
      </w:r>
      <w:r w:rsidR="00574AED">
        <w:rPr>
          <w:rFonts w:ascii="Calibri" w:hAnsi="Calibri"/>
          <w:sz w:val="22"/>
          <w:szCs w:val="22"/>
        </w:rPr>
        <w:t>n</w:t>
      </w:r>
      <w:r w:rsidR="007267E6" w:rsidRPr="008B375C">
        <w:rPr>
          <w:rFonts w:ascii="Calibri" w:hAnsi="Calibri"/>
          <w:sz w:val="22"/>
          <w:szCs w:val="22"/>
        </w:rPr>
        <w:t xml:space="preserve"> impact on affordability.  </w:t>
      </w:r>
    </w:p>
    <w:p w14:paraId="19F9BF9F" w14:textId="77777777" w:rsidR="007267E6" w:rsidRDefault="007267E6" w:rsidP="007267E6">
      <w:pPr>
        <w:pStyle w:val="BodyTextIndent"/>
        <w:spacing w:after="0"/>
        <w:ind w:left="0"/>
        <w:jc w:val="both"/>
        <w:rPr>
          <w:rFonts w:ascii="Calibri" w:hAnsi="Calibri"/>
          <w:sz w:val="22"/>
          <w:szCs w:val="22"/>
        </w:rPr>
      </w:pPr>
    </w:p>
    <w:p w14:paraId="297ACF74" w14:textId="1F2DE5A0" w:rsidR="00DA319D" w:rsidRDefault="00DA319D" w:rsidP="00DA319D">
      <w:pPr>
        <w:pStyle w:val="BodyTextIndent"/>
        <w:spacing w:after="0"/>
        <w:ind w:left="0"/>
        <w:jc w:val="both"/>
        <w:rPr>
          <w:rFonts w:ascii="Calibri" w:hAnsi="Calibri"/>
          <w:sz w:val="22"/>
          <w:szCs w:val="22"/>
        </w:rPr>
      </w:pPr>
      <w:r>
        <w:rPr>
          <w:rFonts w:ascii="Calibri" w:hAnsi="Calibri"/>
          <w:sz w:val="22"/>
          <w:szCs w:val="22"/>
        </w:rPr>
        <w:t>It is also important to note that the figures included in Table III-36 are for those earning at the 80% AMI l</w:t>
      </w:r>
      <w:r w:rsidR="00BF5A3C">
        <w:rPr>
          <w:rFonts w:ascii="Calibri" w:hAnsi="Calibri"/>
          <w:sz w:val="22"/>
          <w:szCs w:val="22"/>
        </w:rPr>
        <w:t>imit</w:t>
      </w:r>
      <w:r>
        <w:rPr>
          <w:rFonts w:ascii="Calibri" w:hAnsi="Calibri"/>
          <w:sz w:val="22"/>
          <w:szCs w:val="22"/>
        </w:rPr>
        <w:t xml:space="preserve"> and are not the same as the purchase prices that are calculated under the state Local Initiative Program (LIP) formula.  The state-approved purchase prices</w:t>
      </w:r>
      <w:r w:rsidR="00337484">
        <w:rPr>
          <w:rFonts w:ascii="Calibri" w:hAnsi="Calibri"/>
          <w:sz w:val="22"/>
          <w:szCs w:val="22"/>
        </w:rPr>
        <w:t xml:space="preserve"> for initial occupancy</w:t>
      </w:r>
      <w:r>
        <w:rPr>
          <w:rFonts w:ascii="Calibri" w:hAnsi="Calibri"/>
          <w:sz w:val="22"/>
          <w:szCs w:val="22"/>
        </w:rPr>
        <w:t xml:space="preserve"> are established at the 70% AMI level with some other slightly different assumptions. </w:t>
      </w:r>
    </w:p>
    <w:p w14:paraId="677553EE" w14:textId="77777777" w:rsidR="00DA319D" w:rsidRDefault="00DA319D" w:rsidP="00DA319D">
      <w:pPr>
        <w:pStyle w:val="BodyTextIndent"/>
        <w:spacing w:after="0"/>
        <w:ind w:left="0" w:right="-720"/>
        <w:rPr>
          <w:rFonts w:ascii="Calibri" w:hAnsi="Calibri"/>
          <w:sz w:val="22"/>
          <w:szCs w:val="22"/>
        </w:rPr>
      </w:pPr>
    </w:p>
    <w:p w14:paraId="199B040C" w14:textId="7094ABD4" w:rsidR="008772FC" w:rsidRDefault="008772FC" w:rsidP="00615DA4">
      <w:pPr>
        <w:pStyle w:val="BodyTextIndent"/>
        <w:spacing w:after="0"/>
        <w:ind w:left="0"/>
        <w:jc w:val="both"/>
        <w:rPr>
          <w:rFonts w:ascii="Calibri" w:hAnsi="Calibri"/>
          <w:sz w:val="22"/>
          <w:szCs w:val="22"/>
        </w:rPr>
      </w:pPr>
      <w:r w:rsidRPr="00876ECA">
        <w:rPr>
          <w:rFonts w:ascii="Calibri" w:hAnsi="Calibri"/>
          <w:sz w:val="22"/>
          <w:szCs w:val="22"/>
        </w:rPr>
        <w:t xml:space="preserve">Table </w:t>
      </w:r>
      <w:r w:rsidR="00180167">
        <w:rPr>
          <w:rFonts w:ascii="Calibri" w:hAnsi="Calibri"/>
          <w:sz w:val="22"/>
          <w:szCs w:val="22"/>
        </w:rPr>
        <w:t>III-37</w:t>
      </w:r>
      <w:r w:rsidRPr="00876ECA">
        <w:rPr>
          <w:rFonts w:ascii="Calibri" w:hAnsi="Calibri"/>
          <w:sz w:val="22"/>
          <w:szCs w:val="22"/>
        </w:rPr>
        <w:t xml:space="preserve"> examines affordability from another angle, going from specific housing costs to income. Taking median price levels for single-family homes</w:t>
      </w:r>
      <w:r w:rsidR="00180167">
        <w:rPr>
          <w:rFonts w:ascii="Calibri" w:hAnsi="Calibri"/>
          <w:sz w:val="22"/>
          <w:szCs w:val="22"/>
        </w:rPr>
        <w:t xml:space="preserve"> and</w:t>
      </w:r>
      <w:r w:rsidRPr="00876ECA">
        <w:rPr>
          <w:rFonts w:ascii="Calibri" w:hAnsi="Calibri"/>
          <w:sz w:val="22"/>
          <w:szCs w:val="22"/>
        </w:rPr>
        <w:t xml:space="preserve"> condo</w:t>
      </w:r>
      <w:r w:rsidR="00E47620">
        <w:rPr>
          <w:rFonts w:ascii="Calibri" w:hAnsi="Calibri"/>
          <w:sz w:val="22"/>
          <w:szCs w:val="22"/>
        </w:rPr>
        <w:t>minium unit</w:t>
      </w:r>
      <w:r w:rsidRPr="00876ECA">
        <w:rPr>
          <w:rFonts w:ascii="Calibri" w:hAnsi="Calibri"/>
          <w:sz w:val="22"/>
          <w:szCs w:val="22"/>
        </w:rPr>
        <w:t>s</w:t>
      </w:r>
      <w:r w:rsidR="00F040F6">
        <w:rPr>
          <w:rFonts w:ascii="Calibri" w:hAnsi="Calibri"/>
          <w:sz w:val="22"/>
          <w:szCs w:val="22"/>
        </w:rPr>
        <w:t xml:space="preserve"> into account</w:t>
      </w:r>
      <w:r w:rsidRPr="00876ECA">
        <w:rPr>
          <w:rFonts w:ascii="Calibri" w:hAnsi="Calibri"/>
          <w:sz w:val="22"/>
          <w:szCs w:val="22"/>
        </w:rPr>
        <w:t xml:space="preserve">, the incomes that would be required to afford these prices are calculated, also showing the differences between 95% and 80% financing.  For example, using the median single-family home price </w:t>
      </w:r>
      <w:r w:rsidR="00A44B85">
        <w:rPr>
          <w:rFonts w:ascii="Calibri" w:hAnsi="Calibri"/>
          <w:sz w:val="22"/>
          <w:szCs w:val="22"/>
        </w:rPr>
        <w:t>of $1.</w:t>
      </w:r>
      <w:r w:rsidR="00BF5A3C">
        <w:rPr>
          <w:rFonts w:ascii="Calibri" w:hAnsi="Calibri"/>
          <w:sz w:val="22"/>
          <w:szCs w:val="22"/>
        </w:rPr>
        <w:t>29</w:t>
      </w:r>
      <w:r w:rsidR="00A44B85">
        <w:rPr>
          <w:rFonts w:ascii="Calibri" w:hAnsi="Calibri"/>
          <w:sz w:val="22"/>
          <w:szCs w:val="22"/>
        </w:rPr>
        <w:t xml:space="preserve"> million </w:t>
      </w:r>
      <w:r w:rsidR="00BF5A3C">
        <w:rPr>
          <w:rFonts w:ascii="Calibri" w:hAnsi="Calibri"/>
          <w:sz w:val="22"/>
          <w:szCs w:val="22"/>
        </w:rPr>
        <w:t>in</w:t>
      </w:r>
      <w:r w:rsidR="00A44B85">
        <w:rPr>
          <w:rFonts w:ascii="Calibri" w:hAnsi="Calibri"/>
          <w:sz w:val="22"/>
          <w:szCs w:val="22"/>
        </w:rPr>
        <w:t xml:space="preserve"> 2021</w:t>
      </w:r>
      <w:r w:rsidRPr="00876ECA">
        <w:rPr>
          <w:rFonts w:ascii="Calibri" w:hAnsi="Calibri"/>
          <w:sz w:val="22"/>
          <w:szCs w:val="22"/>
        </w:rPr>
        <w:t>, a household would have to earn approximately $</w:t>
      </w:r>
      <w:r w:rsidR="00F632C4">
        <w:rPr>
          <w:rFonts w:ascii="Calibri" w:hAnsi="Calibri"/>
          <w:sz w:val="22"/>
          <w:szCs w:val="22"/>
        </w:rPr>
        <w:t>328,600</w:t>
      </w:r>
      <w:r w:rsidRPr="00876ECA">
        <w:rPr>
          <w:rFonts w:ascii="Calibri" w:hAnsi="Calibri"/>
          <w:sz w:val="22"/>
          <w:szCs w:val="22"/>
        </w:rPr>
        <w:t xml:space="preserve"> if they were able to access 95% financing and $</w:t>
      </w:r>
      <w:r w:rsidR="00F632C4">
        <w:rPr>
          <w:rFonts w:ascii="Calibri" w:hAnsi="Calibri"/>
          <w:sz w:val="22"/>
          <w:szCs w:val="22"/>
        </w:rPr>
        <w:t>278,900</w:t>
      </w:r>
      <w:r w:rsidRPr="00876ECA">
        <w:rPr>
          <w:rFonts w:ascii="Calibri" w:hAnsi="Calibri"/>
          <w:sz w:val="22"/>
          <w:szCs w:val="22"/>
        </w:rPr>
        <w:t xml:space="preserve"> with 80% financing, well above the median household income of </w:t>
      </w:r>
      <w:r w:rsidR="00A44B85">
        <w:rPr>
          <w:rFonts w:ascii="Calibri" w:hAnsi="Calibri"/>
          <w:sz w:val="22"/>
          <w:szCs w:val="22"/>
        </w:rPr>
        <w:t>$</w:t>
      </w:r>
      <w:r w:rsidR="00E70549">
        <w:rPr>
          <w:rFonts w:ascii="Calibri" w:hAnsi="Calibri"/>
          <w:sz w:val="22"/>
          <w:szCs w:val="22"/>
        </w:rPr>
        <w:t>174,707</w:t>
      </w:r>
      <w:r w:rsidRPr="00876ECA">
        <w:rPr>
          <w:rFonts w:ascii="Calibri" w:hAnsi="Calibri"/>
          <w:sz w:val="22"/>
          <w:szCs w:val="22"/>
        </w:rPr>
        <w:t xml:space="preserve"> and even the median income</w:t>
      </w:r>
      <w:r w:rsidR="00A44B85">
        <w:rPr>
          <w:rFonts w:ascii="Calibri" w:hAnsi="Calibri"/>
          <w:sz w:val="22"/>
          <w:szCs w:val="22"/>
        </w:rPr>
        <w:t xml:space="preserve"> for homeowners</w:t>
      </w:r>
      <w:r w:rsidRPr="00876ECA">
        <w:rPr>
          <w:rFonts w:ascii="Calibri" w:hAnsi="Calibri"/>
          <w:sz w:val="22"/>
          <w:szCs w:val="22"/>
        </w:rPr>
        <w:t xml:space="preserve"> of $</w:t>
      </w:r>
      <w:r w:rsidR="00E70549">
        <w:rPr>
          <w:rFonts w:ascii="Calibri" w:hAnsi="Calibri"/>
          <w:sz w:val="22"/>
          <w:szCs w:val="22"/>
        </w:rPr>
        <w:t>203,690</w:t>
      </w:r>
      <w:r w:rsidRPr="00876ECA">
        <w:rPr>
          <w:rFonts w:ascii="Calibri" w:hAnsi="Calibri"/>
          <w:sz w:val="22"/>
          <w:szCs w:val="22"/>
        </w:rPr>
        <w:t xml:space="preserve">.  </w:t>
      </w:r>
    </w:p>
    <w:p w14:paraId="5C395186" w14:textId="1DF978F8" w:rsidR="00195521" w:rsidRDefault="00195521" w:rsidP="00615DA4">
      <w:pPr>
        <w:pStyle w:val="BodyTextIndent"/>
        <w:spacing w:after="0"/>
        <w:ind w:left="0"/>
        <w:jc w:val="both"/>
        <w:rPr>
          <w:rFonts w:ascii="Calibri" w:hAnsi="Calibri"/>
          <w:sz w:val="22"/>
          <w:szCs w:val="22"/>
        </w:rPr>
      </w:pPr>
    </w:p>
    <w:p w14:paraId="22822855" w14:textId="48931B6F" w:rsidR="00195521" w:rsidRPr="00876ECA" w:rsidRDefault="00195521" w:rsidP="00195521">
      <w:pPr>
        <w:pStyle w:val="BodyTextIndent"/>
        <w:spacing w:after="0"/>
        <w:ind w:left="0"/>
        <w:jc w:val="both"/>
        <w:rPr>
          <w:rFonts w:ascii="Calibri" w:hAnsi="Calibri"/>
          <w:sz w:val="22"/>
          <w:szCs w:val="22"/>
        </w:rPr>
      </w:pPr>
      <w:r w:rsidRPr="00876ECA">
        <w:rPr>
          <w:rFonts w:ascii="Calibri" w:hAnsi="Calibri"/>
          <w:sz w:val="22"/>
          <w:szCs w:val="22"/>
        </w:rPr>
        <w:t>The median condo</w:t>
      </w:r>
      <w:r w:rsidR="00E47620">
        <w:rPr>
          <w:rFonts w:ascii="Calibri" w:hAnsi="Calibri"/>
          <w:sz w:val="22"/>
          <w:szCs w:val="22"/>
        </w:rPr>
        <w:t>minium unit</w:t>
      </w:r>
      <w:r w:rsidRPr="00876ECA">
        <w:rPr>
          <w:rFonts w:ascii="Calibri" w:hAnsi="Calibri"/>
          <w:sz w:val="22"/>
          <w:szCs w:val="22"/>
        </w:rPr>
        <w:t xml:space="preserve"> price was $</w:t>
      </w:r>
      <w:r w:rsidR="00F632C4">
        <w:rPr>
          <w:rFonts w:ascii="Calibri" w:hAnsi="Calibri"/>
          <w:sz w:val="22"/>
          <w:szCs w:val="22"/>
        </w:rPr>
        <w:t>885,000 in 2021</w:t>
      </w:r>
      <w:r w:rsidRPr="00876ECA">
        <w:rPr>
          <w:rFonts w:ascii="Calibri" w:hAnsi="Calibri"/>
          <w:sz w:val="22"/>
          <w:szCs w:val="22"/>
        </w:rPr>
        <w:t>, which required an estimated income of $</w:t>
      </w:r>
      <w:r w:rsidR="00F632C4">
        <w:rPr>
          <w:rFonts w:ascii="Calibri" w:hAnsi="Calibri"/>
          <w:sz w:val="22"/>
          <w:szCs w:val="22"/>
        </w:rPr>
        <w:t>231,500</w:t>
      </w:r>
      <w:r w:rsidRPr="00876ECA">
        <w:rPr>
          <w:rFonts w:ascii="Calibri" w:hAnsi="Calibri"/>
          <w:sz w:val="22"/>
          <w:szCs w:val="22"/>
        </w:rPr>
        <w:t xml:space="preserve"> with 5% down and $</w:t>
      </w:r>
      <w:r w:rsidR="00F632C4">
        <w:rPr>
          <w:rFonts w:ascii="Calibri" w:hAnsi="Calibri"/>
          <w:sz w:val="22"/>
          <w:szCs w:val="22"/>
        </w:rPr>
        <w:t>197,440</w:t>
      </w:r>
      <w:r w:rsidRPr="00876ECA">
        <w:rPr>
          <w:rFonts w:ascii="Calibri" w:hAnsi="Calibri"/>
          <w:sz w:val="22"/>
          <w:szCs w:val="22"/>
        </w:rPr>
        <w:t xml:space="preserve"> with the 20% down payment.  </w:t>
      </w:r>
    </w:p>
    <w:p w14:paraId="76520CE2" w14:textId="77777777" w:rsidR="00195521" w:rsidRDefault="00195521" w:rsidP="00195521">
      <w:pPr>
        <w:pStyle w:val="BodyTextIndent"/>
        <w:spacing w:after="0"/>
        <w:ind w:left="0" w:right="-720"/>
        <w:rPr>
          <w:rFonts w:ascii="Calibri" w:hAnsi="Calibri"/>
          <w:sz w:val="22"/>
          <w:szCs w:val="22"/>
        </w:rPr>
      </w:pPr>
    </w:p>
    <w:p w14:paraId="44C5294C" w14:textId="39405B0A" w:rsidR="00195521" w:rsidRDefault="00195521" w:rsidP="00195521">
      <w:pPr>
        <w:pStyle w:val="BodyTextIndent"/>
        <w:spacing w:after="0"/>
        <w:ind w:left="0"/>
        <w:jc w:val="both"/>
        <w:rPr>
          <w:rFonts w:ascii="Calibri" w:hAnsi="Calibri"/>
          <w:sz w:val="22"/>
          <w:szCs w:val="22"/>
        </w:rPr>
      </w:pPr>
      <w:r w:rsidRPr="00876ECA">
        <w:rPr>
          <w:rFonts w:ascii="Calibri" w:hAnsi="Calibri"/>
          <w:sz w:val="22"/>
          <w:szCs w:val="22"/>
        </w:rPr>
        <w:t xml:space="preserve">In regard to rentals, </w:t>
      </w:r>
      <w:r>
        <w:rPr>
          <w:rFonts w:ascii="Calibri" w:hAnsi="Calibri"/>
          <w:sz w:val="22"/>
          <w:szCs w:val="22"/>
        </w:rPr>
        <w:t xml:space="preserve">using the prices listed in November 2021, </w:t>
      </w:r>
      <w:r w:rsidRPr="00876ECA">
        <w:rPr>
          <w:rFonts w:ascii="Calibri" w:hAnsi="Calibri"/>
          <w:sz w:val="22"/>
          <w:szCs w:val="22"/>
        </w:rPr>
        <w:t>a one-bedroom unit renting for $1,</w:t>
      </w:r>
      <w:r>
        <w:rPr>
          <w:rFonts w:ascii="Calibri" w:hAnsi="Calibri"/>
          <w:sz w:val="22"/>
          <w:szCs w:val="22"/>
        </w:rPr>
        <w:t>8</w:t>
      </w:r>
      <w:r w:rsidRPr="00876ECA">
        <w:rPr>
          <w:rFonts w:ascii="Calibri" w:hAnsi="Calibri"/>
          <w:sz w:val="22"/>
          <w:szCs w:val="22"/>
        </w:rPr>
        <w:t>0</w:t>
      </w:r>
      <w:r>
        <w:rPr>
          <w:rFonts w:ascii="Calibri" w:hAnsi="Calibri"/>
          <w:sz w:val="22"/>
          <w:szCs w:val="22"/>
        </w:rPr>
        <w:t>0</w:t>
      </w:r>
      <w:r w:rsidRPr="00876ECA">
        <w:rPr>
          <w:rFonts w:ascii="Calibri" w:hAnsi="Calibri"/>
          <w:sz w:val="22"/>
          <w:szCs w:val="22"/>
        </w:rPr>
        <w:t xml:space="preserve"> would require an income of </w:t>
      </w:r>
      <w:r>
        <w:rPr>
          <w:rFonts w:ascii="Calibri" w:hAnsi="Calibri"/>
          <w:sz w:val="22"/>
          <w:szCs w:val="22"/>
        </w:rPr>
        <w:t>$78</w:t>
      </w:r>
      <w:r w:rsidRPr="00876ECA">
        <w:rPr>
          <w:rFonts w:ascii="Calibri" w:hAnsi="Calibri"/>
          <w:sz w:val="22"/>
          <w:szCs w:val="22"/>
        </w:rPr>
        <w:t xml:space="preserve">,000, assuming $150 per month in utility bills and housing expenses of no more than 30% of the household’s income.  </w:t>
      </w:r>
      <w:r>
        <w:rPr>
          <w:rFonts w:ascii="Calibri" w:hAnsi="Calibri"/>
          <w:sz w:val="22"/>
          <w:szCs w:val="22"/>
        </w:rPr>
        <w:t>This is relatively close to the</w:t>
      </w:r>
      <w:r w:rsidRPr="00876ECA">
        <w:rPr>
          <w:rFonts w:ascii="Calibri" w:hAnsi="Calibri"/>
          <w:sz w:val="22"/>
          <w:szCs w:val="22"/>
        </w:rPr>
        <w:t xml:space="preserve"> HUD income limit</w:t>
      </w:r>
      <w:r>
        <w:rPr>
          <w:rFonts w:ascii="Calibri" w:hAnsi="Calibri"/>
          <w:sz w:val="22"/>
          <w:szCs w:val="22"/>
        </w:rPr>
        <w:t xml:space="preserve"> of $80,850</w:t>
      </w:r>
      <w:r w:rsidRPr="00876ECA">
        <w:rPr>
          <w:rFonts w:ascii="Calibri" w:hAnsi="Calibri"/>
          <w:sz w:val="22"/>
          <w:szCs w:val="22"/>
        </w:rPr>
        <w:t xml:space="preserve"> for a t</w:t>
      </w:r>
      <w:r>
        <w:rPr>
          <w:rFonts w:ascii="Calibri" w:hAnsi="Calibri"/>
          <w:sz w:val="22"/>
          <w:szCs w:val="22"/>
        </w:rPr>
        <w:t>wo</w:t>
      </w:r>
      <w:r w:rsidRPr="00876ECA">
        <w:rPr>
          <w:rFonts w:ascii="Calibri" w:hAnsi="Calibri"/>
          <w:sz w:val="22"/>
          <w:szCs w:val="22"/>
        </w:rPr>
        <w:t xml:space="preserve">-person household earning at </w:t>
      </w:r>
      <w:r w:rsidR="00337484">
        <w:rPr>
          <w:rFonts w:ascii="Calibri" w:hAnsi="Calibri"/>
          <w:sz w:val="22"/>
          <w:szCs w:val="22"/>
        </w:rPr>
        <w:t xml:space="preserve">the </w:t>
      </w:r>
      <w:r w:rsidRPr="00876ECA">
        <w:rPr>
          <w:rFonts w:ascii="Calibri" w:hAnsi="Calibri"/>
          <w:sz w:val="22"/>
          <w:szCs w:val="22"/>
        </w:rPr>
        <w:t>80% of area median income</w:t>
      </w:r>
      <w:r w:rsidR="00337484">
        <w:rPr>
          <w:rFonts w:ascii="Calibri" w:hAnsi="Calibri"/>
          <w:sz w:val="22"/>
          <w:szCs w:val="22"/>
        </w:rPr>
        <w:t xml:space="preserve"> limit</w:t>
      </w:r>
      <w:r>
        <w:rPr>
          <w:rFonts w:ascii="Calibri" w:hAnsi="Calibri"/>
          <w:sz w:val="22"/>
          <w:szCs w:val="22"/>
        </w:rPr>
        <w:t>.</w:t>
      </w:r>
      <w:r w:rsidRPr="00876ECA">
        <w:rPr>
          <w:rFonts w:ascii="Calibri" w:hAnsi="Calibri"/>
          <w:sz w:val="22"/>
          <w:szCs w:val="22"/>
        </w:rPr>
        <w:t xml:space="preserve"> </w:t>
      </w:r>
      <w:r>
        <w:rPr>
          <w:rFonts w:ascii="Calibri" w:hAnsi="Calibri"/>
          <w:sz w:val="22"/>
          <w:szCs w:val="22"/>
        </w:rPr>
        <w:t xml:space="preserve"> A relatively</w:t>
      </w:r>
      <w:r w:rsidRPr="00876ECA">
        <w:rPr>
          <w:rFonts w:ascii="Calibri" w:hAnsi="Calibri"/>
          <w:sz w:val="22"/>
          <w:szCs w:val="22"/>
        </w:rPr>
        <w:t xml:space="preserve"> low</w:t>
      </w:r>
      <w:r>
        <w:rPr>
          <w:rFonts w:ascii="Calibri" w:hAnsi="Calibri"/>
          <w:sz w:val="22"/>
          <w:szCs w:val="22"/>
        </w:rPr>
        <w:t>-</w:t>
      </w:r>
      <w:r w:rsidRPr="00876ECA">
        <w:rPr>
          <w:rFonts w:ascii="Calibri" w:hAnsi="Calibri"/>
          <w:sz w:val="22"/>
          <w:szCs w:val="22"/>
        </w:rPr>
        <w:t>priced listing for a two-bedroom unit</w:t>
      </w:r>
      <w:r>
        <w:rPr>
          <w:rFonts w:ascii="Calibri" w:hAnsi="Calibri"/>
          <w:sz w:val="22"/>
          <w:szCs w:val="22"/>
        </w:rPr>
        <w:t xml:space="preserve"> of about $2,500</w:t>
      </w:r>
      <w:r w:rsidRPr="00876ECA">
        <w:rPr>
          <w:rFonts w:ascii="Calibri" w:hAnsi="Calibri"/>
          <w:sz w:val="22"/>
          <w:szCs w:val="22"/>
        </w:rPr>
        <w:t xml:space="preserve"> would require an income of </w:t>
      </w:r>
      <w:r>
        <w:rPr>
          <w:rFonts w:ascii="Calibri" w:hAnsi="Calibri"/>
          <w:sz w:val="22"/>
          <w:szCs w:val="22"/>
        </w:rPr>
        <w:t xml:space="preserve">about </w:t>
      </w:r>
      <w:r w:rsidRPr="00876ECA">
        <w:rPr>
          <w:rFonts w:ascii="Calibri" w:hAnsi="Calibri"/>
          <w:sz w:val="22"/>
          <w:szCs w:val="22"/>
        </w:rPr>
        <w:t>$</w:t>
      </w:r>
      <w:r>
        <w:rPr>
          <w:rFonts w:ascii="Calibri" w:hAnsi="Calibri"/>
          <w:sz w:val="22"/>
          <w:szCs w:val="22"/>
        </w:rPr>
        <w:t>107,000 based on $175 in average monthly utilities costs</w:t>
      </w:r>
      <w:r w:rsidRPr="00876ECA">
        <w:rPr>
          <w:rFonts w:ascii="Calibri" w:hAnsi="Calibri"/>
          <w:sz w:val="22"/>
          <w:szCs w:val="22"/>
        </w:rPr>
        <w:t>.</w:t>
      </w:r>
      <w:r>
        <w:rPr>
          <w:rFonts w:ascii="Calibri" w:hAnsi="Calibri"/>
          <w:sz w:val="22"/>
          <w:szCs w:val="22"/>
        </w:rPr>
        <w:t xml:space="preserve"> </w:t>
      </w:r>
      <w:r w:rsidRPr="00876ECA">
        <w:rPr>
          <w:rFonts w:ascii="Calibri" w:hAnsi="Calibri"/>
          <w:sz w:val="22"/>
          <w:szCs w:val="22"/>
        </w:rPr>
        <w:t xml:space="preserve"> </w:t>
      </w:r>
    </w:p>
    <w:p w14:paraId="0A05B961" w14:textId="77777777" w:rsidR="004E1F11" w:rsidRPr="004E50E7" w:rsidRDefault="004E1F11" w:rsidP="004E1F11">
      <w:pPr>
        <w:pStyle w:val="FootnoteText"/>
        <w:jc w:val="both"/>
        <w:rPr>
          <w:rFonts w:ascii="Calibri" w:hAnsi="Calibri"/>
        </w:rPr>
      </w:pPr>
    </w:p>
    <w:p w14:paraId="18A56FEB" w14:textId="77777777" w:rsidR="004E1F11" w:rsidRPr="00876ECA" w:rsidRDefault="004E1F11" w:rsidP="004E1F11">
      <w:pPr>
        <w:pStyle w:val="BodyTextIndent"/>
        <w:spacing w:after="0"/>
        <w:ind w:left="0"/>
        <w:jc w:val="both"/>
        <w:rPr>
          <w:rFonts w:ascii="Calibri" w:hAnsi="Calibri"/>
          <w:sz w:val="22"/>
          <w:szCs w:val="22"/>
        </w:rPr>
      </w:pPr>
      <w:r w:rsidRPr="00876ECA">
        <w:rPr>
          <w:rFonts w:ascii="Calibri" w:hAnsi="Calibri"/>
          <w:sz w:val="22"/>
          <w:szCs w:val="22"/>
        </w:rPr>
        <w:t xml:space="preserve">In comparison, someone earning </w:t>
      </w:r>
      <w:r>
        <w:rPr>
          <w:rFonts w:ascii="Calibri" w:hAnsi="Calibri"/>
          <w:sz w:val="22"/>
          <w:szCs w:val="22"/>
        </w:rPr>
        <w:t xml:space="preserve">the 2022 </w:t>
      </w:r>
      <w:r w:rsidRPr="00876ECA">
        <w:rPr>
          <w:rFonts w:ascii="Calibri" w:hAnsi="Calibri"/>
          <w:sz w:val="22"/>
          <w:szCs w:val="22"/>
        </w:rPr>
        <w:t>minimum wage of $</w:t>
      </w:r>
      <w:r>
        <w:rPr>
          <w:rFonts w:ascii="Calibri" w:hAnsi="Calibri"/>
          <w:sz w:val="22"/>
          <w:szCs w:val="22"/>
        </w:rPr>
        <w:t>14.25 per hour</w:t>
      </w:r>
      <w:r w:rsidRPr="00876ECA">
        <w:rPr>
          <w:rFonts w:ascii="Calibri" w:hAnsi="Calibri"/>
          <w:sz w:val="22"/>
          <w:szCs w:val="22"/>
        </w:rPr>
        <w:t xml:space="preserve"> for 40 hours per week every week during the year would still only earn a gross income of $</w:t>
      </w:r>
      <w:r>
        <w:rPr>
          <w:rFonts w:ascii="Calibri" w:hAnsi="Calibri"/>
          <w:sz w:val="22"/>
          <w:szCs w:val="22"/>
        </w:rPr>
        <w:t>29,754</w:t>
      </w:r>
      <w:r w:rsidRPr="00876ECA">
        <w:rPr>
          <w:rFonts w:ascii="Calibri" w:hAnsi="Calibri"/>
          <w:sz w:val="22"/>
          <w:szCs w:val="22"/>
        </w:rPr>
        <w:t>.  Households with two persons earning the minimum wage would still fall far short of the income needed to afford the</w:t>
      </w:r>
      <w:r>
        <w:rPr>
          <w:rFonts w:ascii="Calibri" w:hAnsi="Calibri"/>
          <w:sz w:val="22"/>
          <w:szCs w:val="22"/>
        </w:rPr>
        <w:t>se</w:t>
      </w:r>
      <w:r w:rsidRPr="00876ECA">
        <w:rPr>
          <w:rFonts w:ascii="Calibri" w:hAnsi="Calibri"/>
          <w:sz w:val="22"/>
          <w:szCs w:val="22"/>
        </w:rPr>
        <w:t xml:space="preserve"> minimum advertised rents.  While there are rents that fall below this level, particularly subsidized rents, market rents tend to be beyond the reach of those earning </w:t>
      </w:r>
      <w:r>
        <w:rPr>
          <w:rFonts w:ascii="Calibri" w:hAnsi="Calibri"/>
          <w:sz w:val="22"/>
          <w:szCs w:val="22"/>
        </w:rPr>
        <w:t>at</w:t>
      </w:r>
      <w:r w:rsidRPr="00876ECA">
        <w:rPr>
          <w:rFonts w:ascii="Calibri" w:hAnsi="Calibri"/>
          <w:sz w:val="22"/>
          <w:szCs w:val="22"/>
        </w:rPr>
        <w:t xml:space="preserve"> 80% AMI much less lower wage earners. </w:t>
      </w:r>
    </w:p>
    <w:p w14:paraId="1DC34E42" w14:textId="77777777" w:rsidR="004E1F11" w:rsidRPr="00876ECA" w:rsidRDefault="004E1F11" w:rsidP="004E1F11">
      <w:pPr>
        <w:pStyle w:val="BodyTextIndent"/>
        <w:spacing w:after="0"/>
        <w:ind w:left="0"/>
        <w:jc w:val="both"/>
        <w:rPr>
          <w:rFonts w:ascii="Calibri" w:hAnsi="Calibri"/>
          <w:sz w:val="22"/>
          <w:szCs w:val="22"/>
        </w:rPr>
      </w:pPr>
    </w:p>
    <w:p w14:paraId="79534186" w14:textId="77777777" w:rsidR="004E1F11" w:rsidRDefault="004E1F11" w:rsidP="00195521">
      <w:pPr>
        <w:pStyle w:val="BodyTextIndent"/>
        <w:spacing w:after="0"/>
        <w:ind w:left="0"/>
        <w:jc w:val="both"/>
        <w:rPr>
          <w:rFonts w:ascii="Calibri" w:hAnsi="Calibri"/>
          <w:sz w:val="22"/>
          <w:szCs w:val="22"/>
        </w:rPr>
      </w:pPr>
    </w:p>
    <w:p w14:paraId="29B6A8DC" w14:textId="5F78D0D8" w:rsidR="004E1F11" w:rsidRDefault="004E1F11" w:rsidP="00195521">
      <w:pPr>
        <w:pStyle w:val="BodyTextIndent"/>
        <w:spacing w:after="0"/>
        <w:ind w:left="0"/>
        <w:jc w:val="both"/>
        <w:rPr>
          <w:rFonts w:ascii="Calibri" w:hAnsi="Calibri"/>
          <w:sz w:val="22"/>
          <w:szCs w:val="22"/>
        </w:rPr>
      </w:pPr>
    </w:p>
    <w:p w14:paraId="14CA2970" w14:textId="0D2DE50F" w:rsidR="008772FC" w:rsidRPr="00876ECA" w:rsidRDefault="008772FC" w:rsidP="008772FC">
      <w:pPr>
        <w:pStyle w:val="BodyTextIndent"/>
        <w:spacing w:after="0"/>
        <w:ind w:left="0" w:right="-720"/>
        <w:jc w:val="center"/>
        <w:rPr>
          <w:rFonts w:ascii="Calibri" w:hAnsi="Calibri"/>
          <w:b/>
          <w:bCs/>
          <w:sz w:val="22"/>
          <w:szCs w:val="22"/>
        </w:rPr>
      </w:pPr>
      <w:r w:rsidRPr="00876ECA">
        <w:rPr>
          <w:rFonts w:ascii="Calibri" w:hAnsi="Calibri"/>
          <w:b/>
          <w:bCs/>
          <w:sz w:val="22"/>
          <w:szCs w:val="22"/>
        </w:rPr>
        <w:t xml:space="preserve">Table </w:t>
      </w:r>
      <w:r w:rsidR="000F4EFD">
        <w:rPr>
          <w:rFonts w:ascii="Calibri" w:hAnsi="Calibri"/>
          <w:b/>
          <w:bCs/>
          <w:sz w:val="22"/>
          <w:szCs w:val="22"/>
        </w:rPr>
        <w:t>III-37</w:t>
      </w:r>
      <w:r w:rsidRPr="00876ECA">
        <w:rPr>
          <w:rFonts w:ascii="Calibri" w:hAnsi="Calibri"/>
          <w:b/>
          <w:bCs/>
          <w:sz w:val="22"/>
          <w:szCs w:val="22"/>
        </w:rPr>
        <w:t>: Affordability Analysis II</w:t>
      </w:r>
    </w:p>
    <w:p w14:paraId="2AA46729" w14:textId="7B22E9FA" w:rsidR="008772FC" w:rsidRPr="00876ECA" w:rsidRDefault="008772FC" w:rsidP="008772FC">
      <w:pPr>
        <w:pStyle w:val="BodyTextIndent"/>
        <w:spacing w:after="0"/>
        <w:ind w:left="0" w:right="-720"/>
        <w:jc w:val="center"/>
        <w:rPr>
          <w:rFonts w:ascii="Calibri" w:hAnsi="Calibri"/>
          <w:b/>
          <w:bCs/>
          <w:sz w:val="22"/>
          <w:szCs w:val="22"/>
        </w:rPr>
      </w:pPr>
      <w:r w:rsidRPr="00876ECA">
        <w:rPr>
          <w:rFonts w:ascii="Calibri" w:hAnsi="Calibri"/>
          <w:b/>
          <w:bCs/>
          <w:sz w:val="22"/>
          <w:szCs w:val="22"/>
        </w:rPr>
        <w:t>Income Required to Afford Median Prices and Minimum Market Rent</w:t>
      </w:r>
    </w:p>
    <w:tbl>
      <w:tblPr>
        <w:tblW w:w="528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2046"/>
        <w:gridCol w:w="1522"/>
        <w:gridCol w:w="1518"/>
        <w:gridCol w:w="1332"/>
        <w:gridCol w:w="1330"/>
      </w:tblGrid>
      <w:tr w:rsidR="008772FC" w:rsidRPr="00876ECA" w14:paraId="6576919B" w14:textId="77777777" w:rsidTr="00675477">
        <w:trPr>
          <w:cantSplit/>
          <w:trHeight w:val="296"/>
        </w:trPr>
        <w:tc>
          <w:tcPr>
            <w:tcW w:w="1080" w:type="pct"/>
            <w:vMerge w:val="restart"/>
            <w:shd w:val="clear" w:color="auto" w:fill="B6DDE8" w:themeFill="accent5" w:themeFillTint="66"/>
          </w:tcPr>
          <w:p w14:paraId="00164F96"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Type of Property</w:t>
            </w:r>
          </w:p>
        </w:tc>
        <w:tc>
          <w:tcPr>
            <w:tcW w:w="1035" w:type="pct"/>
            <w:vMerge w:val="restart"/>
            <w:shd w:val="clear" w:color="auto" w:fill="B6DDE8" w:themeFill="accent5" w:themeFillTint="66"/>
          </w:tcPr>
          <w:p w14:paraId="72F7F01A"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Median Price *</w:t>
            </w:r>
          </w:p>
        </w:tc>
        <w:tc>
          <w:tcPr>
            <w:tcW w:w="1538" w:type="pct"/>
            <w:gridSpan w:val="2"/>
            <w:shd w:val="clear" w:color="auto" w:fill="B6DDE8" w:themeFill="accent5" w:themeFillTint="66"/>
          </w:tcPr>
          <w:p w14:paraId="2CC301A5"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Estimated Mortgage</w:t>
            </w:r>
          </w:p>
        </w:tc>
        <w:tc>
          <w:tcPr>
            <w:tcW w:w="1347" w:type="pct"/>
            <w:gridSpan w:val="2"/>
            <w:shd w:val="clear" w:color="auto" w:fill="B6DDE8" w:themeFill="accent5" w:themeFillTint="66"/>
          </w:tcPr>
          <w:p w14:paraId="5022E34B"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Income Required **</w:t>
            </w:r>
          </w:p>
        </w:tc>
      </w:tr>
      <w:tr w:rsidR="008772FC" w:rsidRPr="00876ECA" w14:paraId="1B635E99" w14:textId="77777777" w:rsidTr="00675477">
        <w:trPr>
          <w:cantSplit/>
          <w:trHeight w:val="255"/>
        </w:trPr>
        <w:tc>
          <w:tcPr>
            <w:tcW w:w="1080" w:type="pct"/>
            <w:vMerge/>
            <w:shd w:val="clear" w:color="auto" w:fill="B6DDE8" w:themeFill="accent5" w:themeFillTint="66"/>
          </w:tcPr>
          <w:p w14:paraId="10BCCD97" w14:textId="77777777" w:rsidR="008772FC" w:rsidRPr="00876ECA" w:rsidRDefault="008772FC" w:rsidP="008F2513">
            <w:pPr>
              <w:pStyle w:val="BodyTextIndent"/>
              <w:spacing w:after="0"/>
              <w:ind w:left="0" w:right="-720"/>
              <w:rPr>
                <w:rFonts w:ascii="Calibri" w:hAnsi="Calibri"/>
                <w:b/>
                <w:bCs/>
              </w:rPr>
            </w:pPr>
          </w:p>
        </w:tc>
        <w:tc>
          <w:tcPr>
            <w:tcW w:w="1035" w:type="pct"/>
            <w:vMerge/>
            <w:shd w:val="clear" w:color="auto" w:fill="B6DDE8" w:themeFill="accent5" w:themeFillTint="66"/>
          </w:tcPr>
          <w:p w14:paraId="3627CB02" w14:textId="77777777" w:rsidR="008772FC" w:rsidRPr="00876ECA" w:rsidRDefault="008772FC" w:rsidP="008F2513">
            <w:pPr>
              <w:pStyle w:val="BodyTextIndent"/>
              <w:spacing w:after="0"/>
              <w:ind w:left="0" w:right="-720"/>
              <w:rPr>
                <w:rFonts w:ascii="Calibri" w:hAnsi="Calibri"/>
                <w:b/>
                <w:bCs/>
              </w:rPr>
            </w:pPr>
          </w:p>
        </w:tc>
        <w:tc>
          <w:tcPr>
            <w:tcW w:w="770" w:type="pct"/>
            <w:shd w:val="clear" w:color="auto" w:fill="B6DDE8" w:themeFill="accent5" w:themeFillTint="66"/>
          </w:tcPr>
          <w:p w14:paraId="2FA3EB90"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5% Down</w:t>
            </w:r>
          </w:p>
        </w:tc>
        <w:tc>
          <w:tcPr>
            <w:tcW w:w="768" w:type="pct"/>
            <w:shd w:val="clear" w:color="auto" w:fill="B6DDE8" w:themeFill="accent5" w:themeFillTint="66"/>
          </w:tcPr>
          <w:p w14:paraId="3E90B301"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20% Down</w:t>
            </w:r>
          </w:p>
        </w:tc>
        <w:tc>
          <w:tcPr>
            <w:tcW w:w="674" w:type="pct"/>
            <w:shd w:val="clear" w:color="auto" w:fill="B6DDE8" w:themeFill="accent5" w:themeFillTint="66"/>
          </w:tcPr>
          <w:p w14:paraId="502FEFF9"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5% Down</w:t>
            </w:r>
          </w:p>
        </w:tc>
        <w:tc>
          <w:tcPr>
            <w:tcW w:w="673" w:type="pct"/>
            <w:shd w:val="clear" w:color="auto" w:fill="B6DDE8" w:themeFill="accent5" w:themeFillTint="66"/>
          </w:tcPr>
          <w:p w14:paraId="5A160FA7"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20% Down</w:t>
            </w:r>
          </w:p>
        </w:tc>
      </w:tr>
      <w:tr w:rsidR="00505853" w:rsidRPr="004E50E7" w14:paraId="37EB1DB1" w14:textId="77777777" w:rsidTr="00675477">
        <w:tc>
          <w:tcPr>
            <w:tcW w:w="1080" w:type="pct"/>
          </w:tcPr>
          <w:p w14:paraId="4E30E0C2" w14:textId="77777777" w:rsidR="00505853" w:rsidRPr="004E50E7" w:rsidRDefault="00505853" w:rsidP="008F2513">
            <w:pPr>
              <w:pStyle w:val="BodyTextIndent"/>
              <w:spacing w:after="0"/>
              <w:ind w:left="0" w:right="-720"/>
              <w:rPr>
                <w:rFonts w:ascii="Calibri" w:hAnsi="Calibri"/>
                <w:b/>
                <w:bCs/>
                <w:sz w:val="20"/>
              </w:rPr>
            </w:pPr>
            <w:r>
              <w:rPr>
                <w:rFonts w:ascii="Calibri" w:hAnsi="Calibri"/>
                <w:b/>
                <w:bCs/>
                <w:sz w:val="20"/>
              </w:rPr>
              <w:t>Homeownership</w:t>
            </w:r>
          </w:p>
        </w:tc>
        <w:tc>
          <w:tcPr>
            <w:tcW w:w="1035" w:type="pct"/>
          </w:tcPr>
          <w:p w14:paraId="442B4FC3" w14:textId="77777777" w:rsidR="00505853" w:rsidRDefault="00505853" w:rsidP="008F2513">
            <w:pPr>
              <w:pStyle w:val="BodyTextIndent"/>
              <w:spacing w:after="0"/>
              <w:ind w:left="0" w:right="-720"/>
              <w:rPr>
                <w:rFonts w:ascii="Calibri" w:hAnsi="Calibri"/>
                <w:sz w:val="20"/>
              </w:rPr>
            </w:pPr>
          </w:p>
        </w:tc>
        <w:tc>
          <w:tcPr>
            <w:tcW w:w="770" w:type="pct"/>
          </w:tcPr>
          <w:p w14:paraId="4C9FCB26" w14:textId="77777777" w:rsidR="00505853" w:rsidRDefault="00505853" w:rsidP="008F2513">
            <w:pPr>
              <w:pStyle w:val="BodyTextIndent"/>
              <w:spacing w:after="0"/>
              <w:ind w:left="0" w:right="-720"/>
              <w:rPr>
                <w:rFonts w:ascii="Calibri" w:hAnsi="Calibri"/>
                <w:sz w:val="20"/>
              </w:rPr>
            </w:pPr>
          </w:p>
        </w:tc>
        <w:tc>
          <w:tcPr>
            <w:tcW w:w="768" w:type="pct"/>
          </w:tcPr>
          <w:p w14:paraId="29414C72" w14:textId="77777777" w:rsidR="00505853" w:rsidRDefault="00505853" w:rsidP="008F2513">
            <w:pPr>
              <w:pStyle w:val="BodyTextIndent"/>
              <w:spacing w:after="0"/>
              <w:ind w:left="0" w:right="-720"/>
              <w:rPr>
                <w:rFonts w:ascii="Calibri" w:hAnsi="Calibri"/>
                <w:sz w:val="20"/>
              </w:rPr>
            </w:pPr>
          </w:p>
        </w:tc>
        <w:tc>
          <w:tcPr>
            <w:tcW w:w="674" w:type="pct"/>
          </w:tcPr>
          <w:p w14:paraId="491E6A82" w14:textId="77777777" w:rsidR="00505853" w:rsidRDefault="00505853" w:rsidP="0059390E">
            <w:pPr>
              <w:pStyle w:val="BodyTextIndent"/>
              <w:spacing w:after="0"/>
              <w:ind w:left="0" w:right="-720"/>
              <w:rPr>
                <w:rFonts w:ascii="Calibri" w:hAnsi="Calibri"/>
                <w:sz w:val="20"/>
              </w:rPr>
            </w:pPr>
          </w:p>
        </w:tc>
        <w:tc>
          <w:tcPr>
            <w:tcW w:w="673" w:type="pct"/>
          </w:tcPr>
          <w:p w14:paraId="2EE8E6CD" w14:textId="77777777" w:rsidR="00505853" w:rsidRDefault="00505853" w:rsidP="00505853">
            <w:pPr>
              <w:pStyle w:val="BodyTextIndent"/>
              <w:spacing w:after="0"/>
              <w:ind w:left="0" w:right="-720"/>
              <w:rPr>
                <w:rFonts w:ascii="Calibri" w:hAnsi="Calibri"/>
                <w:sz w:val="20"/>
              </w:rPr>
            </w:pPr>
          </w:p>
        </w:tc>
      </w:tr>
      <w:tr w:rsidR="008772FC" w:rsidRPr="004E50E7" w14:paraId="375A2FDD" w14:textId="77777777" w:rsidTr="00675477">
        <w:tc>
          <w:tcPr>
            <w:tcW w:w="1080" w:type="pct"/>
          </w:tcPr>
          <w:p w14:paraId="51DED343" w14:textId="77777777" w:rsidR="008772FC" w:rsidRPr="00505853" w:rsidRDefault="008772FC" w:rsidP="008F2513">
            <w:pPr>
              <w:pStyle w:val="BodyTextIndent"/>
              <w:spacing w:after="0"/>
              <w:ind w:left="0" w:right="-720"/>
              <w:rPr>
                <w:rFonts w:ascii="Calibri" w:hAnsi="Calibri"/>
                <w:bCs/>
                <w:sz w:val="20"/>
              </w:rPr>
            </w:pPr>
            <w:r w:rsidRPr="00505853">
              <w:rPr>
                <w:rFonts w:ascii="Calibri" w:hAnsi="Calibri"/>
                <w:bCs/>
                <w:sz w:val="20"/>
              </w:rPr>
              <w:t>Single-family</w:t>
            </w:r>
          </w:p>
        </w:tc>
        <w:tc>
          <w:tcPr>
            <w:tcW w:w="1035" w:type="pct"/>
          </w:tcPr>
          <w:p w14:paraId="6C5B8183" w14:textId="005945E2" w:rsidR="008772FC" w:rsidRPr="004E50E7" w:rsidRDefault="00D30819" w:rsidP="008F2513">
            <w:pPr>
              <w:pStyle w:val="BodyTextIndent"/>
              <w:spacing w:after="0"/>
              <w:ind w:left="0" w:right="-720"/>
              <w:rPr>
                <w:rFonts w:ascii="Calibri" w:hAnsi="Calibri"/>
                <w:sz w:val="20"/>
              </w:rPr>
            </w:pPr>
            <w:r>
              <w:rPr>
                <w:rFonts w:ascii="Calibri" w:hAnsi="Calibri"/>
                <w:sz w:val="20"/>
              </w:rPr>
              <w:t>$</w:t>
            </w:r>
            <w:r w:rsidR="00675477">
              <w:rPr>
                <w:rFonts w:ascii="Calibri" w:hAnsi="Calibri"/>
                <w:sz w:val="20"/>
              </w:rPr>
              <w:t>1,</w:t>
            </w:r>
            <w:r w:rsidR="00E905B3">
              <w:rPr>
                <w:rFonts w:ascii="Calibri" w:hAnsi="Calibri"/>
                <w:sz w:val="20"/>
              </w:rPr>
              <w:t>290</w:t>
            </w:r>
            <w:r w:rsidR="00675477">
              <w:rPr>
                <w:rFonts w:ascii="Calibri" w:hAnsi="Calibri"/>
                <w:sz w:val="20"/>
              </w:rPr>
              <w:t>,000</w:t>
            </w:r>
          </w:p>
        </w:tc>
        <w:tc>
          <w:tcPr>
            <w:tcW w:w="770" w:type="pct"/>
          </w:tcPr>
          <w:p w14:paraId="0D846612" w14:textId="3F49A336" w:rsidR="008772FC" w:rsidRPr="004E50E7" w:rsidRDefault="00F70E20" w:rsidP="008F2513">
            <w:pPr>
              <w:pStyle w:val="BodyTextIndent"/>
              <w:spacing w:after="0"/>
              <w:ind w:left="0" w:right="-720"/>
              <w:rPr>
                <w:rFonts w:ascii="Calibri" w:hAnsi="Calibri"/>
                <w:sz w:val="20"/>
              </w:rPr>
            </w:pPr>
            <w:r>
              <w:rPr>
                <w:rFonts w:ascii="Calibri" w:hAnsi="Calibri"/>
                <w:sz w:val="20"/>
              </w:rPr>
              <w:t>$</w:t>
            </w:r>
            <w:r w:rsidR="00572FE1">
              <w:rPr>
                <w:rFonts w:ascii="Calibri" w:hAnsi="Calibri"/>
                <w:sz w:val="20"/>
              </w:rPr>
              <w:t>1,2</w:t>
            </w:r>
            <w:r w:rsidR="00AB2D47">
              <w:rPr>
                <w:rFonts w:ascii="Calibri" w:hAnsi="Calibri"/>
                <w:sz w:val="20"/>
              </w:rPr>
              <w:t>2</w:t>
            </w:r>
            <w:r w:rsidR="00572FE1">
              <w:rPr>
                <w:rFonts w:ascii="Calibri" w:hAnsi="Calibri"/>
                <w:sz w:val="20"/>
              </w:rPr>
              <w:t>5,</w:t>
            </w:r>
            <w:r w:rsidR="00AB2D47">
              <w:rPr>
                <w:rFonts w:ascii="Calibri" w:hAnsi="Calibri"/>
                <w:sz w:val="20"/>
              </w:rPr>
              <w:t>5</w:t>
            </w:r>
            <w:r w:rsidR="00572FE1">
              <w:rPr>
                <w:rFonts w:ascii="Calibri" w:hAnsi="Calibri"/>
                <w:sz w:val="20"/>
              </w:rPr>
              <w:t>00</w:t>
            </w:r>
          </w:p>
        </w:tc>
        <w:tc>
          <w:tcPr>
            <w:tcW w:w="768" w:type="pct"/>
          </w:tcPr>
          <w:p w14:paraId="2B4C6E2C" w14:textId="0E0E3B14" w:rsidR="008772FC" w:rsidRPr="004E50E7" w:rsidRDefault="00F70E20" w:rsidP="008F2513">
            <w:pPr>
              <w:pStyle w:val="BodyTextIndent"/>
              <w:spacing w:after="0"/>
              <w:ind w:left="0" w:right="-720"/>
              <w:rPr>
                <w:rFonts w:ascii="Calibri" w:hAnsi="Calibri"/>
                <w:sz w:val="20"/>
              </w:rPr>
            </w:pPr>
            <w:r>
              <w:rPr>
                <w:rFonts w:ascii="Calibri" w:hAnsi="Calibri"/>
                <w:sz w:val="20"/>
              </w:rPr>
              <w:t>$</w:t>
            </w:r>
            <w:r w:rsidR="00572FE1">
              <w:rPr>
                <w:rFonts w:ascii="Calibri" w:hAnsi="Calibri"/>
                <w:sz w:val="20"/>
              </w:rPr>
              <w:t>1,0</w:t>
            </w:r>
            <w:r w:rsidR="00AB2D47">
              <w:rPr>
                <w:rFonts w:ascii="Calibri" w:hAnsi="Calibri"/>
                <w:sz w:val="20"/>
              </w:rPr>
              <w:t>32</w:t>
            </w:r>
            <w:r w:rsidR="00572FE1">
              <w:rPr>
                <w:rFonts w:ascii="Calibri" w:hAnsi="Calibri"/>
                <w:sz w:val="20"/>
              </w:rPr>
              <w:t>,000</w:t>
            </w:r>
          </w:p>
        </w:tc>
        <w:tc>
          <w:tcPr>
            <w:tcW w:w="674" w:type="pct"/>
          </w:tcPr>
          <w:p w14:paraId="2E2B5937" w14:textId="6B451B82" w:rsidR="008772FC" w:rsidRPr="004E50E7" w:rsidRDefault="0059390E" w:rsidP="0059390E">
            <w:pPr>
              <w:pStyle w:val="BodyTextIndent"/>
              <w:spacing w:after="0"/>
              <w:ind w:left="0" w:right="-720"/>
              <w:rPr>
                <w:rFonts w:ascii="Calibri" w:hAnsi="Calibri"/>
                <w:sz w:val="20"/>
              </w:rPr>
            </w:pPr>
            <w:r>
              <w:rPr>
                <w:rFonts w:ascii="Calibri" w:hAnsi="Calibri"/>
                <w:sz w:val="20"/>
              </w:rPr>
              <w:t>$</w:t>
            </w:r>
            <w:r w:rsidR="00BF5A3C">
              <w:rPr>
                <w:rFonts w:ascii="Calibri" w:hAnsi="Calibri"/>
                <w:sz w:val="20"/>
              </w:rPr>
              <w:t>328,600</w:t>
            </w:r>
          </w:p>
        </w:tc>
        <w:tc>
          <w:tcPr>
            <w:tcW w:w="673" w:type="pct"/>
          </w:tcPr>
          <w:p w14:paraId="500A548B" w14:textId="4CB4B6E1" w:rsidR="008772FC" w:rsidRPr="004E50E7" w:rsidRDefault="0059390E" w:rsidP="00505853">
            <w:pPr>
              <w:pStyle w:val="BodyTextIndent"/>
              <w:spacing w:after="0"/>
              <w:ind w:left="0" w:right="-720"/>
              <w:rPr>
                <w:rFonts w:ascii="Calibri" w:hAnsi="Calibri"/>
                <w:sz w:val="20"/>
              </w:rPr>
            </w:pPr>
            <w:r>
              <w:rPr>
                <w:rFonts w:ascii="Calibri" w:hAnsi="Calibri"/>
                <w:sz w:val="20"/>
              </w:rPr>
              <w:t>$</w:t>
            </w:r>
            <w:r w:rsidR="00BF5A3C">
              <w:rPr>
                <w:rFonts w:ascii="Calibri" w:hAnsi="Calibri"/>
                <w:sz w:val="20"/>
              </w:rPr>
              <w:t>278,900</w:t>
            </w:r>
          </w:p>
        </w:tc>
      </w:tr>
      <w:tr w:rsidR="008772FC" w:rsidRPr="004E50E7" w14:paraId="5A6661C7" w14:textId="77777777" w:rsidTr="00675477">
        <w:tc>
          <w:tcPr>
            <w:tcW w:w="1080" w:type="pct"/>
          </w:tcPr>
          <w:p w14:paraId="19EB032F" w14:textId="77777777" w:rsidR="008772FC" w:rsidRPr="00505853" w:rsidRDefault="008772FC" w:rsidP="008F2513">
            <w:pPr>
              <w:pStyle w:val="BodyTextIndent"/>
              <w:spacing w:after="0"/>
              <w:ind w:left="0" w:right="-720"/>
              <w:rPr>
                <w:rFonts w:ascii="Calibri" w:hAnsi="Calibri"/>
                <w:bCs/>
                <w:sz w:val="20"/>
              </w:rPr>
            </w:pPr>
            <w:r w:rsidRPr="00505853">
              <w:rPr>
                <w:rFonts w:ascii="Calibri" w:hAnsi="Calibri"/>
                <w:bCs/>
                <w:sz w:val="20"/>
              </w:rPr>
              <w:t>Condominium</w:t>
            </w:r>
          </w:p>
        </w:tc>
        <w:tc>
          <w:tcPr>
            <w:tcW w:w="1035" w:type="pct"/>
          </w:tcPr>
          <w:p w14:paraId="67E5EA01" w14:textId="319D1388" w:rsidR="008772FC" w:rsidRPr="004E50E7" w:rsidRDefault="00D30819" w:rsidP="008F2513">
            <w:pPr>
              <w:pStyle w:val="BodyTextIndent"/>
              <w:spacing w:after="0"/>
              <w:ind w:left="0" w:right="-720"/>
              <w:rPr>
                <w:rFonts w:ascii="Calibri" w:hAnsi="Calibri"/>
                <w:sz w:val="20"/>
              </w:rPr>
            </w:pPr>
            <w:r>
              <w:rPr>
                <w:rFonts w:ascii="Calibri" w:hAnsi="Calibri"/>
                <w:sz w:val="20"/>
              </w:rPr>
              <w:t>$</w:t>
            </w:r>
            <w:r w:rsidR="00E905B3">
              <w:rPr>
                <w:rFonts w:ascii="Calibri" w:hAnsi="Calibri"/>
                <w:sz w:val="20"/>
              </w:rPr>
              <w:t>885,000</w:t>
            </w:r>
          </w:p>
        </w:tc>
        <w:tc>
          <w:tcPr>
            <w:tcW w:w="770" w:type="pct"/>
          </w:tcPr>
          <w:p w14:paraId="7A4F1096" w14:textId="1E3001A9" w:rsidR="008772FC" w:rsidRPr="004E50E7" w:rsidRDefault="00F70E20" w:rsidP="008F2513">
            <w:pPr>
              <w:pStyle w:val="BodyTextIndent"/>
              <w:spacing w:after="0"/>
              <w:ind w:left="0" w:right="-720"/>
              <w:rPr>
                <w:rFonts w:ascii="Calibri" w:hAnsi="Calibri"/>
                <w:sz w:val="20"/>
              </w:rPr>
            </w:pPr>
            <w:r>
              <w:rPr>
                <w:rFonts w:ascii="Calibri" w:hAnsi="Calibri"/>
                <w:sz w:val="20"/>
              </w:rPr>
              <w:t>$</w:t>
            </w:r>
            <w:r w:rsidR="00E905B3">
              <w:rPr>
                <w:rFonts w:ascii="Calibri" w:hAnsi="Calibri"/>
                <w:sz w:val="20"/>
              </w:rPr>
              <w:t>840,750</w:t>
            </w:r>
          </w:p>
        </w:tc>
        <w:tc>
          <w:tcPr>
            <w:tcW w:w="768" w:type="pct"/>
          </w:tcPr>
          <w:p w14:paraId="463C3DBB" w14:textId="0D5DEAC9" w:rsidR="008772FC" w:rsidRPr="004E50E7" w:rsidRDefault="00572FE1" w:rsidP="008F2513">
            <w:pPr>
              <w:pStyle w:val="BodyTextIndent"/>
              <w:spacing w:after="0"/>
              <w:ind w:left="0" w:right="-720"/>
              <w:rPr>
                <w:rFonts w:ascii="Calibri" w:hAnsi="Calibri"/>
                <w:sz w:val="20"/>
              </w:rPr>
            </w:pPr>
            <w:r>
              <w:rPr>
                <w:rFonts w:ascii="Calibri" w:hAnsi="Calibri"/>
                <w:sz w:val="20"/>
              </w:rPr>
              <w:t>$</w:t>
            </w:r>
            <w:r w:rsidR="00E905B3">
              <w:rPr>
                <w:rFonts w:ascii="Calibri" w:hAnsi="Calibri"/>
                <w:sz w:val="20"/>
              </w:rPr>
              <w:t>708,000</w:t>
            </w:r>
          </w:p>
        </w:tc>
        <w:tc>
          <w:tcPr>
            <w:tcW w:w="674" w:type="pct"/>
          </w:tcPr>
          <w:p w14:paraId="101916DD" w14:textId="40DB8890" w:rsidR="008772FC" w:rsidRPr="004E50E7" w:rsidRDefault="00505853" w:rsidP="008F2513">
            <w:pPr>
              <w:pStyle w:val="BodyTextIndent"/>
              <w:spacing w:after="0"/>
              <w:ind w:left="0" w:right="-720"/>
              <w:rPr>
                <w:rFonts w:ascii="Calibri" w:hAnsi="Calibri"/>
                <w:sz w:val="20"/>
              </w:rPr>
            </w:pPr>
            <w:r>
              <w:rPr>
                <w:rFonts w:ascii="Calibri" w:hAnsi="Calibri"/>
                <w:sz w:val="20"/>
              </w:rPr>
              <w:t>$</w:t>
            </w:r>
            <w:r w:rsidR="00AB2D47">
              <w:rPr>
                <w:rFonts w:ascii="Calibri" w:hAnsi="Calibri"/>
                <w:sz w:val="20"/>
              </w:rPr>
              <w:t>231,500</w:t>
            </w:r>
          </w:p>
        </w:tc>
        <w:tc>
          <w:tcPr>
            <w:tcW w:w="673" w:type="pct"/>
          </w:tcPr>
          <w:p w14:paraId="2D8ECD4A" w14:textId="6D44A0D7" w:rsidR="008772FC" w:rsidRPr="004E50E7" w:rsidRDefault="00505853" w:rsidP="008F2513">
            <w:pPr>
              <w:pStyle w:val="BodyTextIndent"/>
              <w:spacing w:after="0"/>
              <w:ind w:left="0" w:right="-720"/>
              <w:rPr>
                <w:rFonts w:ascii="Calibri" w:hAnsi="Calibri"/>
                <w:sz w:val="20"/>
              </w:rPr>
            </w:pPr>
            <w:r>
              <w:rPr>
                <w:rFonts w:ascii="Calibri" w:hAnsi="Calibri"/>
                <w:sz w:val="20"/>
              </w:rPr>
              <w:t>$</w:t>
            </w:r>
            <w:r w:rsidR="00AB2D47">
              <w:rPr>
                <w:rFonts w:ascii="Calibri" w:hAnsi="Calibri"/>
                <w:sz w:val="20"/>
              </w:rPr>
              <w:t>197,440</w:t>
            </w:r>
          </w:p>
        </w:tc>
      </w:tr>
      <w:tr w:rsidR="008772FC" w:rsidRPr="004E50E7" w14:paraId="20346423" w14:textId="77777777" w:rsidTr="00615DA4">
        <w:trPr>
          <w:cantSplit/>
        </w:trPr>
        <w:tc>
          <w:tcPr>
            <w:tcW w:w="1080" w:type="pct"/>
            <w:shd w:val="clear" w:color="auto" w:fill="B6DDE8" w:themeFill="accent5" w:themeFillTint="66"/>
          </w:tcPr>
          <w:p w14:paraId="43813334" w14:textId="77777777" w:rsidR="008772FC" w:rsidRPr="004E50E7" w:rsidRDefault="008772FC" w:rsidP="008F2513">
            <w:pPr>
              <w:pStyle w:val="BodyTextIndent"/>
              <w:spacing w:after="0"/>
              <w:ind w:left="0" w:right="-720"/>
              <w:rPr>
                <w:rFonts w:ascii="Calibri" w:hAnsi="Calibri"/>
                <w:b/>
                <w:bCs/>
                <w:sz w:val="20"/>
              </w:rPr>
            </w:pPr>
          </w:p>
        </w:tc>
        <w:tc>
          <w:tcPr>
            <w:tcW w:w="1035" w:type="pct"/>
            <w:shd w:val="clear" w:color="auto" w:fill="B6DDE8" w:themeFill="accent5" w:themeFillTint="66"/>
          </w:tcPr>
          <w:p w14:paraId="4E96219D"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Estimated Market</w:t>
            </w:r>
          </w:p>
          <w:p w14:paraId="70946810"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Monthly Rental</w:t>
            </w:r>
          </w:p>
          <w:p w14:paraId="08691A76" w14:textId="77777777" w:rsidR="008772FC" w:rsidRPr="00876ECA" w:rsidRDefault="008772FC" w:rsidP="008F2513">
            <w:pPr>
              <w:pStyle w:val="BodyTextIndent"/>
              <w:spacing w:after="0"/>
              <w:ind w:left="0" w:right="-720"/>
              <w:rPr>
                <w:rFonts w:ascii="Calibri" w:hAnsi="Calibri"/>
              </w:rPr>
            </w:pPr>
            <w:r w:rsidRPr="00876ECA">
              <w:rPr>
                <w:rFonts w:ascii="Calibri" w:hAnsi="Calibri"/>
                <w:b/>
                <w:bCs/>
                <w:sz w:val="22"/>
                <w:szCs w:val="22"/>
              </w:rPr>
              <w:t>****</w:t>
            </w:r>
          </w:p>
        </w:tc>
        <w:tc>
          <w:tcPr>
            <w:tcW w:w="770" w:type="pct"/>
            <w:shd w:val="clear" w:color="auto" w:fill="B6DDE8" w:themeFill="accent5" w:themeFillTint="66"/>
          </w:tcPr>
          <w:p w14:paraId="4328E307"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 xml:space="preserve">Estimated </w:t>
            </w:r>
          </w:p>
          <w:p w14:paraId="129A6C4C" w14:textId="77777777" w:rsidR="008772FC" w:rsidRPr="00876ECA" w:rsidRDefault="008772FC" w:rsidP="008F2513">
            <w:pPr>
              <w:pStyle w:val="BodyTextIndent"/>
              <w:spacing w:after="0"/>
              <w:ind w:left="0" w:right="-720"/>
              <w:rPr>
                <w:rFonts w:ascii="Calibri" w:hAnsi="Calibri"/>
                <w:b/>
                <w:bCs/>
              </w:rPr>
            </w:pPr>
            <w:r w:rsidRPr="00876ECA">
              <w:rPr>
                <w:rFonts w:ascii="Calibri" w:hAnsi="Calibri"/>
                <w:b/>
                <w:bCs/>
                <w:sz w:val="22"/>
                <w:szCs w:val="22"/>
              </w:rPr>
              <w:t>Monthly</w:t>
            </w:r>
          </w:p>
          <w:p w14:paraId="4939508A" w14:textId="77777777" w:rsidR="008772FC" w:rsidRPr="00876ECA" w:rsidRDefault="008772FC" w:rsidP="008F2513">
            <w:pPr>
              <w:pStyle w:val="BodyTextIndent"/>
              <w:spacing w:after="0"/>
              <w:ind w:left="0" w:right="-720"/>
              <w:rPr>
                <w:rFonts w:ascii="Calibri" w:hAnsi="Calibri"/>
              </w:rPr>
            </w:pPr>
            <w:r w:rsidRPr="00876ECA">
              <w:rPr>
                <w:rFonts w:ascii="Calibri" w:hAnsi="Calibri"/>
                <w:b/>
                <w:bCs/>
                <w:sz w:val="22"/>
                <w:szCs w:val="22"/>
              </w:rPr>
              <w:t>Utility Costs</w:t>
            </w:r>
          </w:p>
        </w:tc>
        <w:tc>
          <w:tcPr>
            <w:tcW w:w="2115" w:type="pct"/>
            <w:gridSpan w:val="3"/>
            <w:shd w:val="clear" w:color="auto" w:fill="B6DDE8" w:themeFill="accent5" w:themeFillTint="66"/>
          </w:tcPr>
          <w:p w14:paraId="36D38910" w14:textId="77777777" w:rsidR="008772FC" w:rsidRPr="00876ECA" w:rsidRDefault="008772FC" w:rsidP="008F2513">
            <w:pPr>
              <w:pStyle w:val="BodyTextIndent"/>
              <w:spacing w:after="0"/>
              <w:ind w:left="0" w:right="-720"/>
              <w:jc w:val="center"/>
              <w:rPr>
                <w:rFonts w:ascii="Calibri" w:hAnsi="Calibri"/>
                <w:b/>
                <w:bCs/>
              </w:rPr>
            </w:pPr>
          </w:p>
          <w:p w14:paraId="6C3DF6DD" w14:textId="77777777" w:rsidR="008772FC" w:rsidRPr="00876ECA" w:rsidRDefault="008772FC" w:rsidP="008F2513">
            <w:pPr>
              <w:pStyle w:val="BodyTextIndent"/>
              <w:spacing w:after="0"/>
              <w:ind w:left="0" w:right="-720"/>
              <w:jc w:val="center"/>
              <w:rPr>
                <w:rFonts w:ascii="Calibri" w:hAnsi="Calibri"/>
                <w:b/>
                <w:bCs/>
              </w:rPr>
            </w:pPr>
            <w:r w:rsidRPr="00876ECA">
              <w:rPr>
                <w:rFonts w:ascii="Calibri" w:hAnsi="Calibri"/>
                <w:b/>
                <w:bCs/>
                <w:sz w:val="22"/>
                <w:szCs w:val="22"/>
              </w:rPr>
              <w:t>Income Required</w:t>
            </w:r>
          </w:p>
        </w:tc>
      </w:tr>
      <w:tr w:rsidR="008772FC" w:rsidRPr="004E50E7" w14:paraId="36C3BEDF" w14:textId="77777777" w:rsidTr="008F2513">
        <w:trPr>
          <w:cantSplit/>
        </w:trPr>
        <w:tc>
          <w:tcPr>
            <w:tcW w:w="1080" w:type="pct"/>
          </w:tcPr>
          <w:p w14:paraId="14F26344" w14:textId="77777777" w:rsidR="008772FC" w:rsidRPr="004E50E7" w:rsidRDefault="008772FC" w:rsidP="008F2513">
            <w:pPr>
              <w:pStyle w:val="BodyTextIndent"/>
              <w:spacing w:after="0"/>
              <w:ind w:left="0" w:right="-720"/>
              <w:rPr>
                <w:rFonts w:ascii="Calibri" w:hAnsi="Calibri"/>
                <w:b/>
                <w:bCs/>
                <w:sz w:val="20"/>
              </w:rPr>
            </w:pPr>
            <w:r w:rsidRPr="004E50E7">
              <w:rPr>
                <w:rFonts w:ascii="Calibri" w:hAnsi="Calibri"/>
                <w:b/>
                <w:bCs/>
                <w:sz w:val="20"/>
              </w:rPr>
              <w:t>Rental</w:t>
            </w:r>
          </w:p>
        </w:tc>
        <w:tc>
          <w:tcPr>
            <w:tcW w:w="1035" w:type="pct"/>
          </w:tcPr>
          <w:p w14:paraId="31D6E54C" w14:textId="77777777" w:rsidR="008772FC" w:rsidRPr="004E50E7" w:rsidRDefault="008772FC" w:rsidP="008F2513">
            <w:pPr>
              <w:pStyle w:val="BodyTextIndent"/>
              <w:spacing w:after="0"/>
              <w:ind w:left="0" w:right="-720"/>
              <w:rPr>
                <w:rFonts w:ascii="Calibri" w:hAnsi="Calibri"/>
                <w:sz w:val="20"/>
              </w:rPr>
            </w:pPr>
          </w:p>
        </w:tc>
        <w:tc>
          <w:tcPr>
            <w:tcW w:w="770" w:type="pct"/>
          </w:tcPr>
          <w:p w14:paraId="1C2753ED" w14:textId="77777777" w:rsidR="008772FC" w:rsidRPr="004E50E7" w:rsidRDefault="008772FC" w:rsidP="008F2513">
            <w:pPr>
              <w:pStyle w:val="BodyTextIndent"/>
              <w:spacing w:after="0"/>
              <w:ind w:left="0" w:right="-720"/>
              <w:rPr>
                <w:rFonts w:ascii="Calibri" w:hAnsi="Calibri"/>
                <w:sz w:val="20"/>
              </w:rPr>
            </w:pPr>
          </w:p>
        </w:tc>
        <w:tc>
          <w:tcPr>
            <w:tcW w:w="2115" w:type="pct"/>
            <w:gridSpan w:val="3"/>
          </w:tcPr>
          <w:p w14:paraId="2BCB713B" w14:textId="77777777" w:rsidR="008772FC" w:rsidRPr="004E50E7" w:rsidRDefault="008772FC" w:rsidP="008F2513">
            <w:pPr>
              <w:pStyle w:val="BodyTextIndent"/>
              <w:spacing w:after="0"/>
              <w:ind w:left="0" w:right="-720"/>
              <w:rPr>
                <w:rFonts w:ascii="Calibri" w:hAnsi="Calibri"/>
                <w:sz w:val="20"/>
              </w:rPr>
            </w:pPr>
          </w:p>
        </w:tc>
      </w:tr>
      <w:tr w:rsidR="008772FC" w:rsidRPr="004E50E7" w14:paraId="2D149B10" w14:textId="77777777" w:rsidTr="008F2513">
        <w:trPr>
          <w:cantSplit/>
        </w:trPr>
        <w:tc>
          <w:tcPr>
            <w:tcW w:w="1080" w:type="pct"/>
          </w:tcPr>
          <w:p w14:paraId="0E7E5412" w14:textId="77777777"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One-bedroom</w:t>
            </w:r>
          </w:p>
        </w:tc>
        <w:tc>
          <w:tcPr>
            <w:tcW w:w="1035" w:type="pct"/>
          </w:tcPr>
          <w:p w14:paraId="1F6BEEF6" w14:textId="3F5EB8DB" w:rsidR="008772FC" w:rsidRPr="004E50E7" w:rsidRDefault="008772FC" w:rsidP="00D07857">
            <w:pPr>
              <w:pStyle w:val="BodyTextIndent"/>
              <w:spacing w:after="0"/>
              <w:ind w:left="0" w:right="-720"/>
              <w:rPr>
                <w:rFonts w:ascii="Calibri" w:hAnsi="Calibri"/>
                <w:sz w:val="20"/>
              </w:rPr>
            </w:pPr>
            <w:r w:rsidRPr="004E50E7">
              <w:rPr>
                <w:rFonts w:ascii="Calibri" w:hAnsi="Calibri"/>
                <w:sz w:val="20"/>
              </w:rPr>
              <w:t>$1,</w:t>
            </w:r>
            <w:r w:rsidR="000F4EFD">
              <w:rPr>
                <w:rFonts w:ascii="Calibri" w:hAnsi="Calibri"/>
                <w:sz w:val="20"/>
              </w:rPr>
              <w:t>8</w:t>
            </w:r>
            <w:r w:rsidR="00D07857">
              <w:rPr>
                <w:rFonts w:ascii="Calibri" w:hAnsi="Calibri"/>
                <w:sz w:val="20"/>
              </w:rPr>
              <w:t>0</w:t>
            </w:r>
            <w:r w:rsidRPr="004E50E7">
              <w:rPr>
                <w:rFonts w:ascii="Calibri" w:hAnsi="Calibri"/>
                <w:sz w:val="20"/>
              </w:rPr>
              <w:t>0</w:t>
            </w:r>
          </w:p>
        </w:tc>
        <w:tc>
          <w:tcPr>
            <w:tcW w:w="770" w:type="pct"/>
          </w:tcPr>
          <w:p w14:paraId="0ABB2498" w14:textId="702B1D54"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w:t>
            </w:r>
            <w:r w:rsidR="00675477">
              <w:rPr>
                <w:rFonts w:ascii="Calibri" w:hAnsi="Calibri"/>
                <w:sz w:val="20"/>
              </w:rPr>
              <w:t>15</w:t>
            </w:r>
            <w:r w:rsidR="00756487">
              <w:rPr>
                <w:rFonts w:ascii="Calibri" w:hAnsi="Calibri"/>
                <w:sz w:val="20"/>
              </w:rPr>
              <w:t>0</w:t>
            </w:r>
          </w:p>
        </w:tc>
        <w:tc>
          <w:tcPr>
            <w:tcW w:w="2115" w:type="pct"/>
            <w:gridSpan w:val="3"/>
          </w:tcPr>
          <w:p w14:paraId="48778ACC" w14:textId="490906DE" w:rsidR="008772FC" w:rsidRPr="004E50E7" w:rsidRDefault="008772FC" w:rsidP="00D07857">
            <w:pPr>
              <w:pStyle w:val="BodyTextIndent"/>
              <w:spacing w:after="0"/>
              <w:ind w:left="0" w:right="-720"/>
              <w:jc w:val="center"/>
              <w:rPr>
                <w:rFonts w:ascii="Calibri" w:hAnsi="Calibri"/>
                <w:sz w:val="20"/>
              </w:rPr>
            </w:pPr>
            <w:r w:rsidRPr="004E50E7">
              <w:rPr>
                <w:rFonts w:ascii="Calibri" w:hAnsi="Calibri"/>
                <w:sz w:val="20"/>
              </w:rPr>
              <w:t>$</w:t>
            </w:r>
            <w:r w:rsidR="000F4EFD">
              <w:rPr>
                <w:rFonts w:ascii="Calibri" w:hAnsi="Calibri"/>
                <w:sz w:val="20"/>
              </w:rPr>
              <w:t>7</w:t>
            </w:r>
            <w:r w:rsidR="00756487">
              <w:rPr>
                <w:rFonts w:ascii="Calibri" w:hAnsi="Calibri"/>
                <w:sz w:val="20"/>
              </w:rPr>
              <w:t>8</w:t>
            </w:r>
            <w:r>
              <w:rPr>
                <w:rFonts w:ascii="Calibri" w:hAnsi="Calibri"/>
                <w:sz w:val="20"/>
              </w:rPr>
              <w:t>,000</w:t>
            </w:r>
          </w:p>
        </w:tc>
      </w:tr>
      <w:tr w:rsidR="008772FC" w:rsidRPr="004E50E7" w14:paraId="5DB66F8A" w14:textId="77777777" w:rsidTr="008F2513">
        <w:trPr>
          <w:cantSplit/>
        </w:trPr>
        <w:tc>
          <w:tcPr>
            <w:tcW w:w="1080" w:type="pct"/>
          </w:tcPr>
          <w:p w14:paraId="0A8D7E52" w14:textId="77777777"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Two-bedroom</w:t>
            </w:r>
          </w:p>
        </w:tc>
        <w:tc>
          <w:tcPr>
            <w:tcW w:w="1035" w:type="pct"/>
          </w:tcPr>
          <w:p w14:paraId="7133CA88" w14:textId="0FBC3678" w:rsidR="008772FC" w:rsidRPr="004E50E7" w:rsidRDefault="008772FC" w:rsidP="00D07857">
            <w:pPr>
              <w:pStyle w:val="BodyTextIndent"/>
              <w:spacing w:after="0"/>
              <w:ind w:left="0" w:right="-720"/>
              <w:rPr>
                <w:rFonts w:ascii="Calibri" w:hAnsi="Calibri"/>
                <w:sz w:val="20"/>
              </w:rPr>
            </w:pPr>
            <w:r w:rsidRPr="004E50E7">
              <w:rPr>
                <w:rFonts w:ascii="Calibri" w:hAnsi="Calibri"/>
                <w:sz w:val="20"/>
              </w:rPr>
              <w:t>$</w:t>
            </w:r>
            <w:r w:rsidR="00D07857">
              <w:rPr>
                <w:rFonts w:ascii="Calibri" w:hAnsi="Calibri"/>
                <w:sz w:val="20"/>
              </w:rPr>
              <w:t>2</w:t>
            </w:r>
            <w:r w:rsidR="000F4EFD">
              <w:rPr>
                <w:rFonts w:ascii="Calibri" w:hAnsi="Calibri"/>
                <w:sz w:val="20"/>
              </w:rPr>
              <w:t>,5</w:t>
            </w:r>
            <w:r w:rsidR="00D07857">
              <w:rPr>
                <w:rFonts w:ascii="Calibri" w:hAnsi="Calibri"/>
                <w:sz w:val="20"/>
              </w:rPr>
              <w:t>00</w:t>
            </w:r>
          </w:p>
        </w:tc>
        <w:tc>
          <w:tcPr>
            <w:tcW w:w="770" w:type="pct"/>
          </w:tcPr>
          <w:p w14:paraId="6AEDACD4" w14:textId="5E93A0C0" w:rsidR="008772FC" w:rsidRPr="004E50E7" w:rsidRDefault="008772FC" w:rsidP="00D07857">
            <w:pPr>
              <w:pStyle w:val="BodyTextIndent"/>
              <w:spacing w:after="0"/>
              <w:ind w:left="0" w:right="-720"/>
              <w:rPr>
                <w:rFonts w:ascii="Calibri" w:hAnsi="Calibri"/>
                <w:sz w:val="20"/>
              </w:rPr>
            </w:pPr>
            <w:r w:rsidRPr="004E50E7">
              <w:rPr>
                <w:rFonts w:ascii="Calibri" w:hAnsi="Calibri"/>
                <w:sz w:val="20"/>
              </w:rPr>
              <w:t>$</w:t>
            </w:r>
            <w:r w:rsidR="00756487">
              <w:rPr>
                <w:rFonts w:ascii="Calibri" w:hAnsi="Calibri"/>
                <w:sz w:val="20"/>
              </w:rPr>
              <w:t>175</w:t>
            </w:r>
          </w:p>
        </w:tc>
        <w:tc>
          <w:tcPr>
            <w:tcW w:w="2115" w:type="pct"/>
            <w:gridSpan w:val="3"/>
          </w:tcPr>
          <w:p w14:paraId="3B0C30BC" w14:textId="47BC4051" w:rsidR="008772FC" w:rsidRPr="004E50E7" w:rsidRDefault="008772FC" w:rsidP="00D07857">
            <w:pPr>
              <w:pStyle w:val="BodyTextIndent"/>
              <w:spacing w:after="0"/>
              <w:ind w:left="0" w:right="-720"/>
              <w:jc w:val="center"/>
              <w:rPr>
                <w:rFonts w:ascii="Calibri" w:hAnsi="Calibri"/>
                <w:sz w:val="20"/>
              </w:rPr>
            </w:pPr>
            <w:r w:rsidRPr="004E50E7">
              <w:rPr>
                <w:rFonts w:ascii="Calibri" w:hAnsi="Calibri"/>
                <w:sz w:val="20"/>
              </w:rPr>
              <w:t>$</w:t>
            </w:r>
            <w:r w:rsidR="00675477">
              <w:rPr>
                <w:rFonts w:ascii="Calibri" w:hAnsi="Calibri"/>
                <w:sz w:val="20"/>
              </w:rPr>
              <w:t>10</w:t>
            </w:r>
            <w:r w:rsidR="00756487">
              <w:rPr>
                <w:rFonts w:ascii="Calibri" w:hAnsi="Calibri"/>
                <w:sz w:val="20"/>
              </w:rPr>
              <w:t>7</w:t>
            </w:r>
            <w:r w:rsidR="00675477">
              <w:rPr>
                <w:rFonts w:ascii="Calibri" w:hAnsi="Calibri"/>
                <w:sz w:val="20"/>
              </w:rPr>
              <w:t>,000</w:t>
            </w:r>
          </w:p>
        </w:tc>
      </w:tr>
      <w:tr w:rsidR="008772FC" w:rsidRPr="004E50E7" w14:paraId="69AC07A3" w14:textId="77777777" w:rsidTr="008F2513">
        <w:trPr>
          <w:cantSplit/>
        </w:trPr>
        <w:tc>
          <w:tcPr>
            <w:tcW w:w="1080" w:type="pct"/>
          </w:tcPr>
          <w:p w14:paraId="3AE1F9C5" w14:textId="77777777" w:rsidR="008772FC" w:rsidRPr="004E50E7" w:rsidRDefault="008772FC" w:rsidP="008F2513">
            <w:pPr>
              <w:pStyle w:val="BodyTextIndent"/>
              <w:spacing w:after="0"/>
              <w:ind w:left="0" w:right="-720"/>
              <w:rPr>
                <w:rFonts w:ascii="Calibri" w:hAnsi="Calibri"/>
                <w:sz w:val="20"/>
              </w:rPr>
            </w:pPr>
            <w:r w:rsidRPr="004E50E7">
              <w:rPr>
                <w:rFonts w:ascii="Calibri" w:hAnsi="Calibri"/>
                <w:sz w:val="20"/>
              </w:rPr>
              <w:t>Three-bedroom</w:t>
            </w:r>
          </w:p>
        </w:tc>
        <w:tc>
          <w:tcPr>
            <w:tcW w:w="1035" w:type="pct"/>
          </w:tcPr>
          <w:p w14:paraId="0A37BEFB" w14:textId="1A74CCFE" w:rsidR="008772FC" w:rsidRPr="004E50E7" w:rsidRDefault="008772FC" w:rsidP="00D07857">
            <w:pPr>
              <w:pStyle w:val="BodyTextIndent"/>
              <w:spacing w:after="0"/>
              <w:ind w:left="0" w:right="-720"/>
              <w:rPr>
                <w:rFonts w:ascii="Calibri" w:hAnsi="Calibri"/>
                <w:sz w:val="20"/>
              </w:rPr>
            </w:pPr>
            <w:r w:rsidRPr="004E50E7">
              <w:rPr>
                <w:rFonts w:ascii="Calibri" w:hAnsi="Calibri"/>
                <w:sz w:val="20"/>
              </w:rPr>
              <w:t>$</w:t>
            </w:r>
            <w:r w:rsidR="00D07857">
              <w:rPr>
                <w:rFonts w:ascii="Calibri" w:hAnsi="Calibri"/>
                <w:sz w:val="20"/>
              </w:rPr>
              <w:t>2,</w:t>
            </w:r>
            <w:r w:rsidR="000F4EFD">
              <w:rPr>
                <w:rFonts w:ascii="Calibri" w:hAnsi="Calibri"/>
                <w:sz w:val="20"/>
              </w:rPr>
              <w:t>8</w:t>
            </w:r>
            <w:r w:rsidR="00D07857">
              <w:rPr>
                <w:rFonts w:ascii="Calibri" w:hAnsi="Calibri"/>
                <w:sz w:val="20"/>
              </w:rPr>
              <w:t>00</w:t>
            </w:r>
          </w:p>
        </w:tc>
        <w:tc>
          <w:tcPr>
            <w:tcW w:w="770" w:type="pct"/>
          </w:tcPr>
          <w:p w14:paraId="17A65071" w14:textId="13A71475" w:rsidR="008772FC" w:rsidRPr="004E50E7" w:rsidRDefault="008772FC" w:rsidP="00D07857">
            <w:pPr>
              <w:pStyle w:val="BodyTextIndent"/>
              <w:spacing w:after="0"/>
              <w:ind w:left="0" w:right="-720"/>
              <w:rPr>
                <w:rFonts w:ascii="Calibri" w:hAnsi="Calibri"/>
                <w:sz w:val="20"/>
              </w:rPr>
            </w:pPr>
            <w:r w:rsidRPr="004E50E7">
              <w:rPr>
                <w:rFonts w:ascii="Calibri" w:hAnsi="Calibri"/>
                <w:sz w:val="20"/>
              </w:rPr>
              <w:t>$</w:t>
            </w:r>
            <w:r w:rsidR="00756487">
              <w:rPr>
                <w:rFonts w:ascii="Calibri" w:hAnsi="Calibri"/>
                <w:sz w:val="20"/>
              </w:rPr>
              <w:t>200</w:t>
            </w:r>
          </w:p>
        </w:tc>
        <w:tc>
          <w:tcPr>
            <w:tcW w:w="2115" w:type="pct"/>
            <w:gridSpan w:val="3"/>
          </w:tcPr>
          <w:p w14:paraId="6268CDCC" w14:textId="26FC452F" w:rsidR="008772FC" w:rsidRPr="004E50E7" w:rsidRDefault="008772FC" w:rsidP="00D07857">
            <w:pPr>
              <w:pStyle w:val="BodyTextIndent"/>
              <w:spacing w:after="0"/>
              <w:ind w:left="0" w:right="-720"/>
              <w:jc w:val="center"/>
              <w:rPr>
                <w:rFonts w:ascii="Calibri" w:hAnsi="Calibri"/>
                <w:sz w:val="20"/>
              </w:rPr>
            </w:pPr>
            <w:r w:rsidRPr="004E50E7">
              <w:rPr>
                <w:rFonts w:ascii="Calibri" w:hAnsi="Calibri"/>
                <w:sz w:val="20"/>
              </w:rPr>
              <w:t>$</w:t>
            </w:r>
            <w:r w:rsidR="00675477">
              <w:rPr>
                <w:rFonts w:ascii="Calibri" w:hAnsi="Calibri"/>
                <w:sz w:val="20"/>
              </w:rPr>
              <w:t>12</w:t>
            </w:r>
            <w:r w:rsidR="00756487">
              <w:rPr>
                <w:rFonts w:ascii="Calibri" w:hAnsi="Calibri"/>
                <w:sz w:val="20"/>
              </w:rPr>
              <w:t>0</w:t>
            </w:r>
            <w:r w:rsidR="00675477">
              <w:rPr>
                <w:rFonts w:ascii="Calibri" w:hAnsi="Calibri"/>
                <w:sz w:val="20"/>
              </w:rPr>
              <w:t>,000</w:t>
            </w:r>
          </w:p>
        </w:tc>
      </w:tr>
    </w:tbl>
    <w:p w14:paraId="07ADF413" w14:textId="77777777" w:rsidR="008772FC" w:rsidRPr="004E50E7" w:rsidRDefault="008772FC" w:rsidP="00615DA4">
      <w:pPr>
        <w:pStyle w:val="BodyTextIndent"/>
        <w:spacing w:after="0"/>
        <w:ind w:left="0"/>
        <w:jc w:val="both"/>
        <w:rPr>
          <w:rFonts w:ascii="Calibri" w:hAnsi="Calibri"/>
          <w:sz w:val="20"/>
        </w:rPr>
      </w:pPr>
      <w:r w:rsidRPr="004E50E7">
        <w:rPr>
          <w:rFonts w:ascii="Calibri" w:hAnsi="Calibri"/>
          <w:sz w:val="20"/>
        </w:rPr>
        <w:t xml:space="preserve">Source:  Calculations provided by </w:t>
      </w:r>
      <w:r>
        <w:rPr>
          <w:rFonts w:ascii="Calibri" w:hAnsi="Calibri"/>
          <w:sz w:val="20"/>
        </w:rPr>
        <w:t>Town’s Community Housing Specialist</w:t>
      </w:r>
      <w:r w:rsidRPr="004E50E7">
        <w:rPr>
          <w:rFonts w:ascii="Calibri" w:hAnsi="Calibri"/>
          <w:sz w:val="20"/>
        </w:rPr>
        <w:t>.</w:t>
      </w:r>
    </w:p>
    <w:p w14:paraId="6AF9F997" w14:textId="77777777" w:rsidR="00E905B3" w:rsidRDefault="008772FC" w:rsidP="00A44B85">
      <w:pPr>
        <w:pStyle w:val="BodyTextIndent"/>
        <w:spacing w:after="0"/>
        <w:ind w:left="0"/>
        <w:jc w:val="both"/>
        <w:rPr>
          <w:rFonts w:ascii="Calibri" w:hAnsi="Calibri"/>
          <w:sz w:val="20"/>
          <w:szCs w:val="20"/>
        </w:rPr>
      </w:pPr>
      <w:r w:rsidRPr="004E50E7">
        <w:rPr>
          <w:rFonts w:ascii="Calibri" w:hAnsi="Calibri"/>
          <w:sz w:val="20"/>
        </w:rPr>
        <w:t>* From The Warren Group Town Stats data</w:t>
      </w:r>
      <w:r w:rsidR="00A44B85">
        <w:rPr>
          <w:rFonts w:ascii="Calibri" w:hAnsi="Calibri"/>
          <w:sz w:val="20"/>
        </w:rPr>
        <w:t xml:space="preserve"> 2021</w:t>
      </w:r>
      <w:r w:rsidR="00E905B3">
        <w:rPr>
          <w:rFonts w:ascii="Calibri" w:hAnsi="Calibri"/>
          <w:sz w:val="20"/>
        </w:rPr>
        <w:t xml:space="preserve"> for median prices</w:t>
      </w:r>
      <w:r w:rsidRPr="00A44B85">
        <w:rPr>
          <w:rFonts w:ascii="Calibri" w:hAnsi="Calibri"/>
          <w:sz w:val="20"/>
          <w:szCs w:val="20"/>
        </w:rPr>
        <w:t xml:space="preserve">. </w:t>
      </w:r>
    </w:p>
    <w:p w14:paraId="40B49A3A" w14:textId="61D5C0C0" w:rsidR="0059390E" w:rsidRPr="00A44B85" w:rsidRDefault="00E905B3" w:rsidP="00A44B85">
      <w:pPr>
        <w:pStyle w:val="BodyTextIndent"/>
        <w:spacing w:after="0"/>
        <w:ind w:left="0"/>
        <w:jc w:val="both"/>
        <w:rPr>
          <w:rFonts w:ascii="Calibri" w:hAnsi="Calibri"/>
          <w:sz w:val="20"/>
          <w:szCs w:val="20"/>
        </w:rPr>
      </w:pPr>
      <w:r w:rsidRPr="00E905B3">
        <w:rPr>
          <w:rFonts w:ascii="Calibri" w:hAnsi="Calibri"/>
          <w:sz w:val="20"/>
          <w:szCs w:val="20"/>
        </w:rPr>
        <w:t xml:space="preserve">** Figures based on interest rate of 4.0%, 30-year term, annual property tax rate of </w:t>
      </w:r>
      <w:r w:rsidR="00DE7559" w:rsidRPr="00E905B3">
        <w:rPr>
          <w:rFonts w:ascii="Calibri" w:hAnsi="Calibri"/>
          <w:sz w:val="20"/>
          <w:szCs w:val="20"/>
        </w:rPr>
        <w:t>$</w:t>
      </w:r>
      <w:r w:rsidR="00A44B85" w:rsidRPr="00E905B3">
        <w:rPr>
          <w:rFonts w:ascii="Calibri" w:hAnsi="Calibri"/>
          <w:sz w:val="20"/>
          <w:szCs w:val="20"/>
        </w:rPr>
        <w:t>13.03</w:t>
      </w:r>
      <w:r w:rsidR="0059390E" w:rsidRPr="00E905B3">
        <w:rPr>
          <w:rFonts w:ascii="Calibri" w:hAnsi="Calibri"/>
          <w:sz w:val="20"/>
          <w:szCs w:val="20"/>
        </w:rPr>
        <w:t xml:space="preserve"> per thousand, insurance costs of $6 per thousand for single and two-family homes and $4 per thousand for condo</w:t>
      </w:r>
      <w:r w:rsidR="00E47620" w:rsidRPr="00E905B3">
        <w:rPr>
          <w:rFonts w:ascii="Calibri" w:hAnsi="Calibri"/>
          <w:sz w:val="20"/>
          <w:szCs w:val="20"/>
        </w:rPr>
        <w:t xml:space="preserve"> unit</w:t>
      </w:r>
      <w:r w:rsidR="0059390E" w:rsidRPr="00E905B3">
        <w:rPr>
          <w:rFonts w:ascii="Calibri" w:hAnsi="Calibri"/>
          <w:sz w:val="20"/>
          <w:szCs w:val="20"/>
        </w:rPr>
        <w:t>s, and private mortgage insurance (PMI) estimated at 0.3125% of loan</w:t>
      </w:r>
      <w:r w:rsidR="0059390E" w:rsidRPr="00A44B85">
        <w:rPr>
          <w:rFonts w:ascii="Calibri" w:hAnsi="Calibri"/>
          <w:sz w:val="20"/>
          <w:szCs w:val="20"/>
        </w:rPr>
        <w:t xml:space="preserve"> amount for 95% financing, </w:t>
      </w:r>
      <w:r w:rsidR="00756487">
        <w:rPr>
          <w:rFonts w:ascii="Calibri" w:hAnsi="Calibri"/>
          <w:sz w:val="20"/>
          <w:szCs w:val="20"/>
        </w:rPr>
        <w:t xml:space="preserve">and </w:t>
      </w:r>
      <w:r w:rsidR="0059390E" w:rsidRPr="00A44B85">
        <w:rPr>
          <w:rFonts w:ascii="Calibri" w:hAnsi="Calibri"/>
          <w:sz w:val="20"/>
          <w:szCs w:val="20"/>
        </w:rPr>
        <w:t>estimated monthly condo fees of $300</w:t>
      </w:r>
      <w:r w:rsidR="00756487">
        <w:rPr>
          <w:rFonts w:ascii="Calibri" w:hAnsi="Calibri"/>
          <w:sz w:val="20"/>
          <w:szCs w:val="20"/>
        </w:rPr>
        <w:t>.</w:t>
      </w:r>
      <w:r w:rsidR="0059390E" w:rsidRPr="00A44B85">
        <w:rPr>
          <w:rFonts w:ascii="Calibri" w:hAnsi="Calibri"/>
          <w:sz w:val="20"/>
          <w:szCs w:val="20"/>
        </w:rPr>
        <w:t xml:space="preserve">  Figures do not include underwriting for PMI in calculations with a 20% down payment.  Assumptions also include the purchaser spending no more than 30% of income on housing costs.</w:t>
      </w:r>
    </w:p>
    <w:p w14:paraId="0A8D3FB6" w14:textId="77777777" w:rsidR="004E1F11" w:rsidRDefault="004E1F11" w:rsidP="00615DA4">
      <w:pPr>
        <w:pStyle w:val="BodyTextIndent"/>
        <w:spacing w:after="0"/>
        <w:ind w:left="0"/>
        <w:jc w:val="both"/>
        <w:rPr>
          <w:rFonts w:ascii="Calibri" w:hAnsi="Calibri"/>
          <w:sz w:val="22"/>
          <w:szCs w:val="22"/>
        </w:rPr>
      </w:pPr>
    </w:p>
    <w:p w14:paraId="5C8187A5" w14:textId="6D52200D" w:rsidR="008772FC" w:rsidRPr="00876ECA" w:rsidRDefault="008772FC" w:rsidP="00615DA4">
      <w:pPr>
        <w:pStyle w:val="BodyTextIndent"/>
        <w:spacing w:after="0"/>
        <w:ind w:left="0"/>
        <w:jc w:val="both"/>
        <w:rPr>
          <w:rFonts w:ascii="Calibri" w:hAnsi="Calibri"/>
          <w:sz w:val="22"/>
          <w:szCs w:val="22"/>
        </w:rPr>
      </w:pPr>
      <w:r w:rsidRPr="00876ECA">
        <w:rPr>
          <w:rFonts w:ascii="Calibri" w:hAnsi="Calibri"/>
          <w:sz w:val="22"/>
          <w:szCs w:val="22"/>
        </w:rPr>
        <w:t xml:space="preserve">Through the combination of information in Tables </w:t>
      </w:r>
      <w:r w:rsidR="005576DD">
        <w:rPr>
          <w:rFonts w:ascii="Calibri" w:hAnsi="Calibri"/>
          <w:sz w:val="22"/>
          <w:szCs w:val="22"/>
        </w:rPr>
        <w:t>III-36 and III-37</w:t>
      </w:r>
      <w:r w:rsidRPr="00876ECA">
        <w:rPr>
          <w:rFonts w:ascii="Calibri" w:hAnsi="Calibri"/>
          <w:sz w:val="22"/>
          <w:szCs w:val="22"/>
        </w:rPr>
        <w:t>, it is possible to compute the affordability gap, typically defined as the difference between what a median income household can afford and the median priced unit on the market.  The affordability gap would then be</w:t>
      </w:r>
      <w:r w:rsidR="00691031">
        <w:rPr>
          <w:rFonts w:ascii="Calibri" w:hAnsi="Calibri"/>
          <w:sz w:val="22"/>
          <w:szCs w:val="22"/>
        </w:rPr>
        <w:t xml:space="preserve"> $</w:t>
      </w:r>
      <w:r w:rsidR="004F6A9C">
        <w:rPr>
          <w:rFonts w:ascii="Calibri" w:hAnsi="Calibri"/>
          <w:sz w:val="22"/>
          <w:szCs w:val="22"/>
        </w:rPr>
        <w:t>482</w:t>
      </w:r>
      <w:r w:rsidR="005576DD">
        <w:rPr>
          <w:rFonts w:ascii="Calibri" w:hAnsi="Calibri"/>
          <w:sz w:val="22"/>
          <w:szCs w:val="22"/>
        </w:rPr>
        <w:t>,000</w:t>
      </w:r>
      <w:r w:rsidR="00691031">
        <w:rPr>
          <w:rFonts w:ascii="Calibri" w:hAnsi="Calibri"/>
          <w:sz w:val="22"/>
          <w:szCs w:val="22"/>
        </w:rPr>
        <w:t xml:space="preserve"> as of </w:t>
      </w:r>
      <w:r w:rsidR="006770FA">
        <w:rPr>
          <w:rFonts w:ascii="Calibri" w:hAnsi="Calibri"/>
          <w:sz w:val="22"/>
          <w:szCs w:val="22"/>
        </w:rPr>
        <w:t>the end of</w:t>
      </w:r>
      <w:r w:rsidR="005576DD">
        <w:rPr>
          <w:rFonts w:ascii="Calibri" w:hAnsi="Calibri"/>
          <w:sz w:val="22"/>
          <w:szCs w:val="22"/>
        </w:rPr>
        <w:t xml:space="preserve"> 2021</w:t>
      </w:r>
      <w:r w:rsidRPr="00876ECA">
        <w:rPr>
          <w:rFonts w:ascii="Calibri" w:hAnsi="Calibri"/>
          <w:sz w:val="22"/>
          <w:szCs w:val="22"/>
        </w:rPr>
        <w:t xml:space="preserve"> for single-family homes, the difference between $</w:t>
      </w:r>
      <w:r w:rsidR="006770FA">
        <w:rPr>
          <w:rFonts w:ascii="Calibri" w:hAnsi="Calibri"/>
          <w:sz w:val="22"/>
          <w:szCs w:val="22"/>
        </w:rPr>
        <w:t>808,000</w:t>
      </w:r>
      <w:r w:rsidRPr="00876ECA">
        <w:rPr>
          <w:rFonts w:ascii="Calibri" w:hAnsi="Calibri"/>
          <w:sz w:val="22"/>
          <w:szCs w:val="22"/>
        </w:rPr>
        <w:t>, based on what a median income household could afford (for an average household of three and 80% financing) and the median house price of $</w:t>
      </w:r>
      <w:r w:rsidR="005576DD">
        <w:rPr>
          <w:rFonts w:ascii="Calibri" w:hAnsi="Calibri"/>
          <w:sz w:val="22"/>
          <w:szCs w:val="22"/>
        </w:rPr>
        <w:t>1.</w:t>
      </w:r>
      <w:r w:rsidR="006770FA">
        <w:rPr>
          <w:rFonts w:ascii="Calibri" w:hAnsi="Calibri"/>
          <w:sz w:val="22"/>
          <w:szCs w:val="22"/>
        </w:rPr>
        <w:t>29</w:t>
      </w:r>
      <w:r w:rsidR="005576DD">
        <w:rPr>
          <w:rFonts w:ascii="Calibri" w:hAnsi="Calibri"/>
          <w:sz w:val="22"/>
          <w:szCs w:val="22"/>
        </w:rPr>
        <w:t xml:space="preserve"> million</w:t>
      </w:r>
      <w:r w:rsidRPr="00876ECA">
        <w:rPr>
          <w:rFonts w:ascii="Calibri" w:hAnsi="Calibri"/>
          <w:sz w:val="22"/>
          <w:szCs w:val="22"/>
        </w:rPr>
        <w:t xml:space="preserve">. </w:t>
      </w:r>
      <w:r w:rsidR="00691031">
        <w:rPr>
          <w:rFonts w:ascii="Calibri" w:hAnsi="Calibri"/>
          <w:sz w:val="22"/>
          <w:szCs w:val="22"/>
        </w:rPr>
        <w:t>This gap is up considerably from</w:t>
      </w:r>
      <w:r w:rsidRPr="00876ECA">
        <w:rPr>
          <w:rFonts w:ascii="Calibri" w:hAnsi="Calibri"/>
          <w:sz w:val="22"/>
          <w:szCs w:val="22"/>
        </w:rPr>
        <w:t xml:space="preserve"> </w:t>
      </w:r>
      <w:r w:rsidR="00691031" w:rsidRPr="00876ECA">
        <w:rPr>
          <w:rFonts w:ascii="Calibri" w:hAnsi="Calibri"/>
          <w:sz w:val="22"/>
          <w:szCs w:val="22"/>
        </w:rPr>
        <w:t>$211,500 as of April 2014</w:t>
      </w:r>
      <w:r w:rsidR="00691031">
        <w:rPr>
          <w:rFonts w:ascii="Calibri" w:hAnsi="Calibri"/>
          <w:sz w:val="22"/>
          <w:szCs w:val="22"/>
        </w:rPr>
        <w:t xml:space="preserve">.  </w:t>
      </w:r>
      <w:r w:rsidRPr="00876ECA">
        <w:rPr>
          <w:rFonts w:ascii="Calibri" w:hAnsi="Calibri"/>
          <w:sz w:val="22"/>
          <w:szCs w:val="22"/>
        </w:rPr>
        <w:t xml:space="preserve">The upfront cash requirements for the down payment and closing costs in effect </w:t>
      </w:r>
      <w:r w:rsidR="00574AED">
        <w:rPr>
          <w:rFonts w:ascii="Calibri" w:hAnsi="Calibri"/>
          <w:sz w:val="22"/>
          <w:szCs w:val="22"/>
        </w:rPr>
        <w:t xml:space="preserve">can </w:t>
      </w:r>
      <w:r w:rsidRPr="00876ECA">
        <w:rPr>
          <w:rFonts w:ascii="Calibri" w:hAnsi="Calibri"/>
          <w:sz w:val="22"/>
          <w:szCs w:val="22"/>
        </w:rPr>
        <w:t xml:space="preserve">add </w:t>
      </w:r>
      <w:r w:rsidR="00691031">
        <w:rPr>
          <w:rFonts w:ascii="Calibri" w:hAnsi="Calibri"/>
          <w:sz w:val="22"/>
          <w:szCs w:val="22"/>
        </w:rPr>
        <w:t>more than</w:t>
      </w:r>
      <w:r w:rsidRPr="00876ECA">
        <w:rPr>
          <w:rFonts w:ascii="Calibri" w:hAnsi="Calibri"/>
          <w:sz w:val="22"/>
          <w:szCs w:val="22"/>
        </w:rPr>
        <w:t xml:space="preserve"> another $</w:t>
      </w:r>
      <w:r w:rsidR="00691031">
        <w:rPr>
          <w:rFonts w:ascii="Calibri" w:hAnsi="Calibri"/>
          <w:sz w:val="22"/>
          <w:szCs w:val="22"/>
        </w:rPr>
        <w:t>2</w:t>
      </w:r>
      <w:r w:rsidR="005576DD">
        <w:rPr>
          <w:rFonts w:ascii="Calibri" w:hAnsi="Calibri"/>
          <w:sz w:val="22"/>
          <w:szCs w:val="22"/>
        </w:rPr>
        <w:t>6</w:t>
      </w:r>
      <w:r w:rsidR="004F6A9C">
        <w:rPr>
          <w:rFonts w:ascii="Calibri" w:hAnsi="Calibri"/>
          <w:sz w:val="22"/>
          <w:szCs w:val="22"/>
        </w:rPr>
        <w:t>5</w:t>
      </w:r>
      <w:r w:rsidRPr="00876ECA">
        <w:rPr>
          <w:rFonts w:ascii="Calibri" w:hAnsi="Calibri"/>
          <w:sz w:val="22"/>
          <w:szCs w:val="22"/>
        </w:rPr>
        <w:t>,000 to this affordability gap in the case of 80% financing.  The gap widens to $</w:t>
      </w:r>
      <w:r w:rsidR="005576DD">
        <w:rPr>
          <w:rFonts w:ascii="Calibri" w:hAnsi="Calibri"/>
          <w:sz w:val="22"/>
          <w:szCs w:val="22"/>
        </w:rPr>
        <w:t>60</w:t>
      </w:r>
      <w:r w:rsidR="004F6A9C">
        <w:rPr>
          <w:rFonts w:ascii="Calibri" w:hAnsi="Calibri"/>
          <w:sz w:val="22"/>
          <w:szCs w:val="22"/>
        </w:rPr>
        <w:t>4</w:t>
      </w:r>
      <w:r w:rsidR="005576DD">
        <w:rPr>
          <w:rFonts w:ascii="Calibri" w:hAnsi="Calibri"/>
          <w:sz w:val="22"/>
          <w:szCs w:val="22"/>
        </w:rPr>
        <w:t>,000</w:t>
      </w:r>
      <w:r w:rsidRPr="00876ECA">
        <w:rPr>
          <w:rFonts w:ascii="Calibri" w:hAnsi="Calibri"/>
          <w:sz w:val="22"/>
          <w:szCs w:val="22"/>
        </w:rPr>
        <w:t xml:space="preserve"> plus some upfront cash requirements for 95% financing.  </w:t>
      </w:r>
    </w:p>
    <w:p w14:paraId="703DACDD" w14:textId="77777777" w:rsidR="00317F76" w:rsidRPr="00876ECA" w:rsidRDefault="00317F76" w:rsidP="008772FC">
      <w:pPr>
        <w:pStyle w:val="BodyTextIndent"/>
        <w:spacing w:after="0"/>
        <w:ind w:left="0" w:right="-720"/>
        <w:rPr>
          <w:rFonts w:ascii="Calibri" w:hAnsi="Calibri"/>
          <w:sz w:val="22"/>
          <w:szCs w:val="22"/>
        </w:rPr>
      </w:pPr>
    </w:p>
    <w:p w14:paraId="091D9805" w14:textId="23AC8B01" w:rsidR="008772FC" w:rsidRPr="004E50E7" w:rsidRDefault="008772FC" w:rsidP="00615DA4">
      <w:pPr>
        <w:pStyle w:val="BodyTextIndent"/>
        <w:pBdr>
          <w:top w:val="single" w:sz="4" w:space="1" w:color="auto"/>
          <w:left w:val="single" w:sz="4" w:space="4" w:color="auto"/>
          <w:bottom w:val="single" w:sz="4" w:space="1" w:color="auto"/>
          <w:right w:val="single" w:sz="4" w:space="4" w:color="auto"/>
        </w:pBdr>
        <w:shd w:val="clear" w:color="auto" w:fill="B6DDE8" w:themeFill="accent5" w:themeFillTint="66"/>
        <w:spacing w:after="0"/>
        <w:ind w:left="0"/>
        <w:jc w:val="center"/>
        <w:rPr>
          <w:rFonts w:ascii="Calibri" w:hAnsi="Calibri"/>
        </w:rPr>
      </w:pPr>
      <w:r w:rsidRPr="004E50E7">
        <w:rPr>
          <w:rFonts w:ascii="Calibri" w:hAnsi="Calibri"/>
        </w:rPr>
        <w:t xml:space="preserve">When looking at the affordability gap for </w:t>
      </w:r>
      <w:r w:rsidR="005576DD">
        <w:rPr>
          <w:rFonts w:ascii="Calibri" w:hAnsi="Calibri"/>
        </w:rPr>
        <w:t>those with incomes</w:t>
      </w:r>
      <w:r w:rsidRPr="004E50E7">
        <w:rPr>
          <w:rFonts w:ascii="Calibri" w:hAnsi="Calibri"/>
        </w:rPr>
        <w:t xml:space="preserve"> at </w:t>
      </w:r>
      <w:r w:rsidR="005576DD">
        <w:rPr>
          <w:rFonts w:ascii="Calibri" w:hAnsi="Calibri"/>
        </w:rPr>
        <w:t xml:space="preserve">the HUD </w:t>
      </w:r>
      <w:r w:rsidRPr="004E50E7">
        <w:rPr>
          <w:rFonts w:ascii="Calibri" w:hAnsi="Calibri"/>
        </w:rPr>
        <w:t>80% of area median income</w:t>
      </w:r>
      <w:r w:rsidR="005576DD">
        <w:rPr>
          <w:rFonts w:ascii="Calibri" w:hAnsi="Calibri"/>
        </w:rPr>
        <w:t xml:space="preserve"> limit</w:t>
      </w:r>
      <w:r w:rsidRPr="004E50E7">
        <w:rPr>
          <w:rFonts w:ascii="Calibri" w:hAnsi="Calibri"/>
        </w:rPr>
        <w:t xml:space="preserve">, the gap </w:t>
      </w:r>
      <w:r>
        <w:rPr>
          <w:rFonts w:ascii="Calibri" w:hAnsi="Calibri"/>
        </w:rPr>
        <w:t>is an estimated</w:t>
      </w:r>
      <w:r w:rsidRPr="004E50E7">
        <w:rPr>
          <w:rFonts w:ascii="Calibri" w:hAnsi="Calibri"/>
        </w:rPr>
        <w:t xml:space="preserve"> </w:t>
      </w:r>
      <w:r w:rsidR="00691031">
        <w:rPr>
          <w:rFonts w:ascii="Calibri" w:hAnsi="Calibri"/>
        </w:rPr>
        <w:t>$</w:t>
      </w:r>
      <w:r w:rsidR="005576DD">
        <w:rPr>
          <w:rFonts w:ascii="Calibri" w:hAnsi="Calibri"/>
        </w:rPr>
        <w:t>9</w:t>
      </w:r>
      <w:r w:rsidR="004F6A9C">
        <w:rPr>
          <w:rFonts w:ascii="Calibri" w:hAnsi="Calibri"/>
        </w:rPr>
        <w:t>1</w:t>
      </w:r>
      <w:r w:rsidR="005576DD">
        <w:rPr>
          <w:rFonts w:ascii="Calibri" w:hAnsi="Calibri"/>
        </w:rPr>
        <w:t>8,500</w:t>
      </w:r>
      <w:r w:rsidR="00691031">
        <w:rPr>
          <w:rFonts w:ascii="Calibri" w:hAnsi="Calibri"/>
        </w:rPr>
        <w:t xml:space="preserve">, </w:t>
      </w:r>
      <w:r w:rsidRPr="004E50E7">
        <w:rPr>
          <w:rFonts w:ascii="Calibri" w:hAnsi="Calibri"/>
        </w:rPr>
        <w:t>the difference between the median priced single-family home and what a three-person household earning at this income level can afford, or $</w:t>
      </w:r>
      <w:r w:rsidR="005576DD">
        <w:rPr>
          <w:rFonts w:ascii="Calibri" w:hAnsi="Calibri"/>
        </w:rPr>
        <w:t>371,500</w:t>
      </w:r>
      <w:r w:rsidRPr="004E50E7">
        <w:rPr>
          <w:rFonts w:ascii="Calibri" w:hAnsi="Calibri"/>
        </w:rPr>
        <w:t xml:space="preserve"> based on 95% financing.</w:t>
      </w:r>
      <w:r w:rsidR="00691031" w:rsidRPr="00691031">
        <w:rPr>
          <w:rFonts w:ascii="Calibri" w:hAnsi="Calibri"/>
        </w:rPr>
        <w:t xml:space="preserve"> </w:t>
      </w:r>
      <w:r w:rsidR="00691031">
        <w:rPr>
          <w:rFonts w:ascii="Calibri" w:hAnsi="Calibri"/>
        </w:rPr>
        <w:t xml:space="preserve">This gap is up substantially from </w:t>
      </w:r>
      <w:r w:rsidR="00691031" w:rsidRPr="004E50E7">
        <w:rPr>
          <w:rFonts w:ascii="Calibri" w:hAnsi="Calibri"/>
        </w:rPr>
        <w:t>$</w:t>
      </w:r>
      <w:r w:rsidR="00691031">
        <w:rPr>
          <w:rFonts w:ascii="Calibri" w:hAnsi="Calibri"/>
        </w:rPr>
        <w:t>556,500 in 2014.</w:t>
      </w:r>
      <w:r w:rsidR="00EC04DF">
        <w:rPr>
          <w:rFonts w:ascii="Calibri" w:hAnsi="Calibri"/>
        </w:rPr>
        <w:t xml:space="preserve"> In the case of 80% financing, the gap would </w:t>
      </w:r>
      <w:r w:rsidR="004F6A9C">
        <w:rPr>
          <w:rFonts w:ascii="Calibri" w:hAnsi="Calibri"/>
        </w:rPr>
        <w:t>de</w:t>
      </w:r>
      <w:r w:rsidR="00EC04DF">
        <w:rPr>
          <w:rFonts w:ascii="Calibri" w:hAnsi="Calibri"/>
        </w:rPr>
        <w:t>crease to $</w:t>
      </w:r>
      <w:r w:rsidR="004F6A9C">
        <w:rPr>
          <w:rFonts w:ascii="Calibri" w:hAnsi="Calibri"/>
        </w:rPr>
        <w:t>869,500</w:t>
      </w:r>
      <w:r w:rsidR="00B3545A">
        <w:rPr>
          <w:rFonts w:ascii="Calibri" w:hAnsi="Calibri"/>
        </w:rPr>
        <w:t>.</w:t>
      </w:r>
    </w:p>
    <w:p w14:paraId="4F5DA380" w14:textId="77777777" w:rsidR="008772FC" w:rsidRPr="00876ECA" w:rsidRDefault="008772FC" w:rsidP="008772FC">
      <w:pPr>
        <w:pStyle w:val="BodyTextIndent"/>
        <w:spacing w:after="0"/>
        <w:ind w:left="0" w:right="-720"/>
        <w:rPr>
          <w:rFonts w:ascii="Calibri" w:hAnsi="Calibri"/>
          <w:sz w:val="22"/>
          <w:szCs w:val="22"/>
        </w:rPr>
      </w:pPr>
    </w:p>
    <w:p w14:paraId="56563B5E" w14:textId="15A320E9" w:rsidR="00F040F6" w:rsidRDefault="00691031" w:rsidP="00615DA4">
      <w:pPr>
        <w:pStyle w:val="BodyTextIndent"/>
        <w:spacing w:after="0"/>
        <w:ind w:left="0"/>
        <w:jc w:val="both"/>
        <w:rPr>
          <w:rFonts w:ascii="Calibri" w:hAnsi="Calibri"/>
          <w:sz w:val="22"/>
          <w:szCs w:val="22"/>
        </w:rPr>
      </w:pPr>
      <w:r>
        <w:rPr>
          <w:rFonts w:ascii="Calibri" w:hAnsi="Calibri"/>
          <w:sz w:val="22"/>
          <w:szCs w:val="22"/>
        </w:rPr>
        <w:t>As to condo</w:t>
      </w:r>
      <w:r w:rsidR="00E47620">
        <w:rPr>
          <w:rFonts w:ascii="Calibri" w:hAnsi="Calibri"/>
          <w:sz w:val="22"/>
          <w:szCs w:val="22"/>
        </w:rPr>
        <w:t>minium unit</w:t>
      </w:r>
      <w:r>
        <w:rPr>
          <w:rFonts w:ascii="Calibri" w:hAnsi="Calibri"/>
          <w:sz w:val="22"/>
          <w:szCs w:val="22"/>
        </w:rPr>
        <w:t>s, the affordability gap is about $</w:t>
      </w:r>
      <w:r w:rsidR="00E25F50">
        <w:rPr>
          <w:rFonts w:ascii="Calibri" w:hAnsi="Calibri"/>
          <w:sz w:val="22"/>
          <w:szCs w:val="22"/>
        </w:rPr>
        <w:t>229,000</w:t>
      </w:r>
      <w:r>
        <w:rPr>
          <w:rFonts w:ascii="Calibri" w:hAnsi="Calibri"/>
          <w:sz w:val="22"/>
          <w:szCs w:val="22"/>
        </w:rPr>
        <w:t xml:space="preserve">, the difference </w:t>
      </w:r>
      <w:r w:rsidR="00F040F6">
        <w:rPr>
          <w:rFonts w:ascii="Calibri" w:hAnsi="Calibri"/>
          <w:sz w:val="22"/>
          <w:szCs w:val="22"/>
        </w:rPr>
        <w:t>between</w:t>
      </w:r>
      <w:r>
        <w:rPr>
          <w:rFonts w:ascii="Calibri" w:hAnsi="Calibri"/>
          <w:sz w:val="22"/>
          <w:szCs w:val="22"/>
        </w:rPr>
        <w:t xml:space="preserve"> the median priced condo of $</w:t>
      </w:r>
      <w:r w:rsidR="00224FB1">
        <w:rPr>
          <w:rFonts w:ascii="Calibri" w:hAnsi="Calibri"/>
          <w:sz w:val="22"/>
          <w:szCs w:val="22"/>
        </w:rPr>
        <w:t>885,000</w:t>
      </w:r>
      <w:r>
        <w:rPr>
          <w:rFonts w:ascii="Calibri" w:hAnsi="Calibri"/>
          <w:sz w:val="22"/>
          <w:szCs w:val="22"/>
        </w:rPr>
        <w:t xml:space="preserve"> and what a median income earning household can afford or $</w:t>
      </w:r>
      <w:r w:rsidR="005576DD">
        <w:rPr>
          <w:rFonts w:ascii="Calibri" w:hAnsi="Calibri"/>
          <w:sz w:val="22"/>
          <w:szCs w:val="22"/>
        </w:rPr>
        <w:t>6</w:t>
      </w:r>
      <w:r w:rsidR="00E25F50">
        <w:rPr>
          <w:rFonts w:ascii="Calibri" w:hAnsi="Calibri"/>
          <w:sz w:val="22"/>
          <w:szCs w:val="22"/>
        </w:rPr>
        <w:t>56</w:t>
      </w:r>
      <w:r w:rsidR="005576DD">
        <w:rPr>
          <w:rFonts w:ascii="Calibri" w:hAnsi="Calibri"/>
          <w:sz w:val="22"/>
          <w:szCs w:val="22"/>
        </w:rPr>
        <w:t>,000 with 95% financing</w:t>
      </w:r>
      <w:r>
        <w:rPr>
          <w:rFonts w:ascii="Calibri" w:hAnsi="Calibri"/>
          <w:sz w:val="22"/>
          <w:szCs w:val="22"/>
        </w:rPr>
        <w:t xml:space="preserve">.  </w:t>
      </w:r>
      <w:r w:rsidR="0059779A">
        <w:rPr>
          <w:rFonts w:ascii="Calibri" w:hAnsi="Calibri"/>
          <w:sz w:val="22"/>
          <w:szCs w:val="22"/>
        </w:rPr>
        <w:t>The gap drops somewhat to $</w:t>
      </w:r>
      <w:r w:rsidR="00E25F50">
        <w:rPr>
          <w:rFonts w:ascii="Calibri" w:hAnsi="Calibri"/>
          <w:sz w:val="22"/>
          <w:szCs w:val="22"/>
        </w:rPr>
        <w:t>108</w:t>
      </w:r>
      <w:r w:rsidR="0059779A">
        <w:rPr>
          <w:rFonts w:ascii="Calibri" w:hAnsi="Calibri"/>
          <w:sz w:val="22"/>
          <w:szCs w:val="22"/>
        </w:rPr>
        <w:t>,500 based on 80% financing</w:t>
      </w:r>
      <w:r w:rsidR="00E25F50">
        <w:rPr>
          <w:rFonts w:ascii="Calibri" w:hAnsi="Calibri"/>
          <w:sz w:val="22"/>
          <w:szCs w:val="22"/>
        </w:rPr>
        <w:t>, assuming</w:t>
      </w:r>
      <w:r w:rsidR="0059779A">
        <w:rPr>
          <w:rFonts w:ascii="Calibri" w:hAnsi="Calibri"/>
          <w:sz w:val="22"/>
          <w:szCs w:val="22"/>
        </w:rPr>
        <w:t xml:space="preserve"> the purchaser can afford the upfront cash requirements </w:t>
      </w:r>
      <w:r w:rsidR="00E47620">
        <w:rPr>
          <w:rFonts w:ascii="Calibri" w:hAnsi="Calibri"/>
          <w:sz w:val="22"/>
          <w:szCs w:val="22"/>
        </w:rPr>
        <w:t xml:space="preserve">of </w:t>
      </w:r>
      <w:r w:rsidR="0059779A">
        <w:rPr>
          <w:rFonts w:ascii="Calibri" w:hAnsi="Calibri"/>
          <w:sz w:val="22"/>
          <w:szCs w:val="22"/>
        </w:rPr>
        <w:t>close to $18</w:t>
      </w:r>
      <w:r w:rsidR="00E25F50">
        <w:rPr>
          <w:rFonts w:ascii="Calibri" w:hAnsi="Calibri"/>
          <w:sz w:val="22"/>
          <w:szCs w:val="22"/>
        </w:rPr>
        <w:t>5</w:t>
      </w:r>
      <w:r w:rsidR="0059779A">
        <w:rPr>
          <w:rFonts w:ascii="Calibri" w:hAnsi="Calibri"/>
          <w:sz w:val="22"/>
          <w:szCs w:val="22"/>
        </w:rPr>
        <w:t xml:space="preserve">,000. </w:t>
      </w:r>
      <w:r w:rsidR="008772FC" w:rsidRPr="00876ECA">
        <w:rPr>
          <w:rFonts w:ascii="Calibri" w:hAnsi="Calibri"/>
          <w:sz w:val="22"/>
          <w:szCs w:val="22"/>
        </w:rPr>
        <w:t xml:space="preserve">There </w:t>
      </w:r>
      <w:r>
        <w:rPr>
          <w:rFonts w:ascii="Calibri" w:hAnsi="Calibri"/>
          <w:sz w:val="22"/>
          <w:szCs w:val="22"/>
        </w:rPr>
        <w:t>was no</w:t>
      </w:r>
      <w:r w:rsidR="008772FC" w:rsidRPr="00876ECA">
        <w:rPr>
          <w:rFonts w:ascii="Calibri" w:hAnsi="Calibri"/>
          <w:sz w:val="22"/>
          <w:szCs w:val="22"/>
        </w:rPr>
        <w:t xml:space="preserve"> affordability gap</w:t>
      </w:r>
      <w:r>
        <w:rPr>
          <w:rFonts w:ascii="Calibri" w:hAnsi="Calibri"/>
          <w:sz w:val="22"/>
          <w:szCs w:val="22"/>
        </w:rPr>
        <w:t xml:space="preserve"> in 2014 as</w:t>
      </w:r>
      <w:r w:rsidR="008772FC" w:rsidRPr="00876ECA">
        <w:rPr>
          <w:rFonts w:ascii="Calibri" w:hAnsi="Calibri"/>
          <w:sz w:val="22"/>
          <w:szCs w:val="22"/>
        </w:rPr>
        <w:t xml:space="preserve"> a household earning at </w:t>
      </w:r>
      <w:r w:rsidR="000C4991">
        <w:rPr>
          <w:rFonts w:ascii="Calibri" w:hAnsi="Calibri"/>
          <w:sz w:val="22"/>
          <w:szCs w:val="22"/>
        </w:rPr>
        <w:t xml:space="preserve">the </w:t>
      </w:r>
      <w:r w:rsidR="008772FC" w:rsidRPr="00876ECA">
        <w:rPr>
          <w:rFonts w:ascii="Calibri" w:hAnsi="Calibri"/>
          <w:sz w:val="22"/>
          <w:szCs w:val="22"/>
        </w:rPr>
        <w:t xml:space="preserve">median income </w:t>
      </w:r>
      <w:r w:rsidR="000C4991">
        <w:rPr>
          <w:rFonts w:ascii="Calibri" w:hAnsi="Calibri"/>
          <w:sz w:val="22"/>
          <w:szCs w:val="22"/>
        </w:rPr>
        <w:t xml:space="preserve">level </w:t>
      </w:r>
      <w:r w:rsidR="008772FC" w:rsidRPr="00876ECA">
        <w:rPr>
          <w:rFonts w:ascii="Calibri" w:hAnsi="Calibri"/>
          <w:sz w:val="22"/>
          <w:szCs w:val="22"/>
        </w:rPr>
        <w:t>c</w:t>
      </w:r>
      <w:r w:rsidR="008704AD">
        <w:rPr>
          <w:rFonts w:ascii="Calibri" w:hAnsi="Calibri"/>
          <w:sz w:val="22"/>
          <w:szCs w:val="22"/>
        </w:rPr>
        <w:t>ould</w:t>
      </w:r>
      <w:r w:rsidR="008772FC" w:rsidRPr="00876ECA">
        <w:rPr>
          <w:rFonts w:ascii="Calibri" w:hAnsi="Calibri"/>
          <w:sz w:val="22"/>
          <w:szCs w:val="22"/>
        </w:rPr>
        <w:t xml:space="preserve"> afford the median priced condo</w:t>
      </w:r>
      <w:r w:rsidR="008704AD">
        <w:rPr>
          <w:rFonts w:ascii="Calibri" w:hAnsi="Calibri"/>
          <w:sz w:val="22"/>
          <w:szCs w:val="22"/>
        </w:rPr>
        <w:t xml:space="preserve"> at the time</w:t>
      </w:r>
      <w:r w:rsidR="008772FC" w:rsidRPr="00876ECA">
        <w:rPr>
          <w:rFonts w:ascii="Calibri" w:hAnsi="Calibri"/>
          <w:sz w:val="22"/>
          <w:szCs w:val="22"/>
        </w:rPr>
        <w:t xml:space="preserve">.  </w:t>
      </w:r>
    </w:p>
    <w:p w14:paraId="45306522" w14:textId="77777777" w:rsidR="00F040F6" w:rsidRDefault="00F040F6" w:rsidP="00615DA4">
      <w:pPr>
        <w:pStyle w:val="BodyTextIndent"/>
        <w:spacing w:after="0"/>
        <w:ind w:left="0"/>
        <w:jc w:val="both"/>
        <w:rPr>
          <w:rFonts w:ascii="Calibri" w:hAnsi="Calibri"/>
          <w:sz w:val="22"/>
          <w:szCs w:val="22"/>
        </w:rPr>
      </w:pPr>
    </w:p>
    <w:p w14:paraId="6CA496FA" w14:textId="32F5CE28" w:rsidR="008772FC" w:rsidRDefault="008772FC" w:rsidP="00615DA4">
      <w:pPr>
        <w:pStyle w:val="BodyTextIndent"/>
        <w:spacing w:after="0"/>
        <w:ind w:left="0"/>
        <w:jc w:val="both"/>
        <w:rPr>
          <w:rFonts w:ascii="Calibri" w:hAnsi="Calibri"/>
          <w:sz w:val="22"/>
          <w:szCs w:val="22"/>
        </w:rPr>
      </w:pPr>
      <w:r w:rsidRPr="00876ECA">
        <w:rPr>
          <w:rFonts w:ascii="Calibri" w:hAnsi="Calibri"/>
          <w:sz w:val="22"/>
          <w:szCs w:val="22"/>
        </w:rPr>
        <w:lastRenderedPageBreak/>
        <w:t xml:space="preserve">For those </w:t>
      </w:r>
      <w:r w:rsidR="000C4991">
        <w:rPr>
          <w:rFonts w:ascii="Calibri" w:hAnsi="Calibri"/>
          <w:sz w:val="22"/>
          <w:szCs w:val="22"/>
        </w:rPr>
        <w:t>with incomes</w:t>
      </w:r>
      <w:r w:rsidRPr="00876ECA">
        <w:rPr>
          <w:rFonts w:ascii="Calibri" w:hAnsi="Calibri"/>
          <w:sz w:val="22"/>
          <w:szCs w:val="22"/>
        </w:rPr>
        <w:t xml:space="preserve"> at the 80% AMI l</w:t>
      </w:r>
      <w:r w:rsidR="00224FB1">
        <w:rPr>
          <w:rFonts w:ascii="Calibri" w:hAnsi="Calibri"/>
          <w:sz w:val="22"/>
          <w:szCs w:val="22"/>
        </w:rPr>
        <w:t>imit</w:t>
      </w:r>
      <w:r w:rsidRPr="00876ECA">
        <w:rPr>
          <w:rFonts w:ascii="Calibri" w:hAnsi="Calibri"/>
          <w:sz w:val="22"/>
          <w:szCs w:val="22"/>
        </w:rPr>
        <w:t xml:space="preserve">, the </w:t>
      </w:r>
      <w:r w:rsidR="0059779A">
        <w:rPr>
          <w:rFonts w:ascii="Calibri" w:hAnsi="Calibri"/>
          <w:sz w:val="22"/>
          <w:szCs w:val="22"/>
        </w:rPr>
        <w:t>condo</w:t>
      </w:r>
      <w:r w:rsidR="00E47620">
        <w:rPr>
          <w:rFonts w:ascii="Calibri" w:hAnsi="Calibri"/>
          <w:sz w:val="22"/>
          <w:szCs w:val="22"/>
        </w:rPr>
        <w:t>minium unit</w:t>
      </w:r>
      <w:r w:rsidR="0059779A">
        <w:rPr>
          <w:rFonts w:ascii="Calibri" w:hAnsi="Calibri"/>
          <w:sz w:val="22"/>
          <w:szCs w:val="22"/>
        </w:rPr>
        <w:t xml:space="preserve"> </w:t>
      </w:r>
      <w:r w:rsidRPr="00876ECA">
        <w:rPr>
          <w:rFonts w:ascii="Calibri" w:hAnsi="Calibri"/>
          <w:sz w:val="22"/>
          <w:szCs w:val="22"/>
        </w:rPr>
        <w:t>affordability gap i</w:t>
      </w:r>
      <w:r w:rsidR="008704AD">
        <w:rPr>
          <w:rFonts w:ascii="Calibri" w:hAnsi="Calibri"/>
          <w:sz w:val="22"/>
          <w:szCs w:val="22"/>
        </w:rPr>
        <w:t>ncreases to $</w:t>
      </w:r>
      <w:r w:rsidR="0059779A">
        <w:rPr>
          <w:rFonts w:ascii="Calibri" w:hAnsi="Calibri"/>
          <w:sz w:val="22"/>
          <w:szCs w:val="22"/>
        </w:rPr>
        <w:t>5</w:t>
      </w:r>
      <w:r w:rsidR="00E25F50">
        <w:rPr>
          <w:rFonts w:ascii="Calibri" w:hAnsi="Calibri"/>
          <w:sz w:val="22"/>
          <w:szCs w:val="22"/>
        </w:rPr>
        <w:t>5</w:t>
      </w:r>
      <w:r w:rsidR="0059779A">
        <w:rPr>
          <w:rFonts w:ascii="Calibri" w:hAnsi="Calibri"/>
          <w:sz w:val="22"/>
          <w:szCs w:val="22"/>
        </w:rPr>
        <w:t>3,</w:t>
      </w:r>
      <w:r w:rsidR="00E25F50">
        <w:rPr>
          <w:rFonts w:ascii="Calibri" w:hAnsi="Calibri"/>
          <w:sz w:val="22"/>
          <w:szCs w:val="22"/>
        </w:rPr>
        <w:t>5</w:t>
      </w:r>
      <w:r w:rsidR="0059779A">
        <w:rPr>
          <w:rFonts w:ascii="Calibri" w:hAnsi="Calibri"/>
          <w:sz w:val="22"/>
          <w:szCs w:val="22"/>
        </w:rPr>
        <w:t>00</w:t>
      </w:r>
      <w:r w:rsidR="008704AD">
        <w:rPr>
          <w:rFonts w:ascii="Calibri" w:hAnsi="Calibri"/>
          <w:sz w:val="22"/>
          <w:szCs w:val="22"/>
        </w:rPr>
        <w:t xml:space="preserve">, up from </w:t>
      </w:r>
      <w:r w:rsidRPr="00876ECA">
        <w:rPr>
          <w:rFonts w:ascii="Calibri" w:hAnsi="Calibri"/>
          <w:sz w:val="22"/>
          <w:szCs w:val="22"/>
        </w:rPr>
        <w:t>$281,750</w:t>
      </w:r>
      <w:r w:rsidR="008704AD">
        <w:rPr>
          <w:rFonts w:ascii="Calibri" w:hAnsi="Calibri"/>
          <w:sz w:val="22"/>
          <w:szCs w:val="22"/>
        </w:rPr>
        <w:t xml:space="preserve"> in 2014</w:t>
      </w:r>
      <w:r w:rsidR="0059779A">
        <w:rPr>
          <w:rFonts w:ascii="Calibri" w:hAnsi="Calibri"/>
          <w:sz w:val="22"/>
          <w:szCs w:val="22"/>
        </w:rPr>
        <w:t>.  This is</w:t>
      </w:r>
      <w:r w:rsidRPr="00876ECA">
        <w:rPr>
          <w:rFonts w:ascii="Calibri" w:hAnsi="Calibri"/>
          <w:sz w:val="22"/>
          <w:szCs w:val="22"/>
        </w:rPr>
        <w:t xml:space="preserve"> based on 95% financing</w:t>
      </w:r>
      <w:r w:rsidR="0059779A">
        <w:rPr>
          <w:rFonts w:ascii="Calibri" w:hAnsi="Calibri"/>
          <w:sz w:val="22"/>
          <w:szCs w:val="22"/>
        </w:rPr>
        <w:t xml:space="preserve"> and</w:t>
      </w:r>
      <w:r w:rsidRPr="00876ECA">
        <w:rPr>
          <w:rFonts w:ascii="Calibri" w:hAnsi="Calibri"/>
          <w:sz w:val="22"/>
          <w:szCs w:val="22"/>
        </w:rPr>
        <w:t xml:space="preserve"> assum</w:t>
      </w:r>
      <w:r w:rsidR="0059779A">
        <w:rPr>
          <w:rFonts w:ascii="Calibri" w:hAnsi="Calibri"/>
          <w:sz w:val="22"/>
          <w:szCs w:val="22"/>
        </w:rPr>
        <w:t>es</w:t>
      </w:r>
      <w:r w:rsidRPr="00876ECA">
        <w:rPr>
          <w:rFonts w:ascii="Calibri" w:hAnsi="Calibri"/>
          <w:sz w:val="22"/>
          <w:szCs w:val="22"/>
        </w:rPr>
        <w:t xml:space="preserve"> the purchaser </w:t>
      </w:r>
      <w:r w:rsidR="008704AD">
        <w:rPr>
          <w:rFonts w:ascii="Calibri" w:hAnsi="Calibri"/>
          <w:sz w:val="22"/>
          <w:szCs w:val="22"/>
        </w:rPr>
        <w:t>would</w:t>
      </w:r>
      <w:r w:rsidRPr="00876ECA">
        <w:rPr>
          <w:rFonts w:ascii="Calibri" w:hAnsi="Calibri"/>
          <w:sz w:val="22"/>
          <w:szCs w:val="22"/>
        </w:rPr>
        <w:t xml:space="preserve"> qualify for the state’s ONE Mortgage Loan Program</w:t>
      </w:r>
      <w:r w:rsidR="0059779A">
        <w:rPr>
          <w:rFonts w:ascii="Calibri" w:hAnsi="Calibri"/>
          <w:sz w:val="22"/>
          <w:szCs w:val="22"/>
        </w:rPr>
        <w:t>,</w:t>
      </w:r>
      <w:r w:rsidRPr="00876ECA">
        <w:rPr>
          <w:rFonts w:ascii="Calibri" w:hAnsi="Calibri"/>
          <w:sz w:val="22"/>
          <w:szCs w:val="22"/>
        </w:rPr>
        <w:t xml:space="preserve"> MassHousing mortgage</w:t>
      </w:r>
      <w:r w:rsidR="0059779A">
        <w:rPr>
          <w:rFonts w:ascii="Calibri" w:hAnsi="Calibri"/>
          <w:sz w:val="22"/>
          <w:szCs w:val="22"/>
        </w:rPr>
        <w:t>, or other government assisted financing</w:t>
      </w:r>
      <w:r w:rsidRPr="00876ECA">
        <w:rPr>
          <w:rFonts w:ascii="Calibri" w:hAnsi="Calibri"/>
          <w:sz w:val="22"/>
          <w:szCs w:val="22"/>
        </w:rPr>
        <w:t xml:space="preserve">.  </w:t>
      </w:r>
      <w:r w:rsidR="00F040F6">
        <w:rPr>
          <w:rFonts w:ascii="Calibri" w:hAnsi="Calibri"/>
          <w:sz w:val="22"/>
          <w:szCs w:val="22"/>
        </w:rPr>
        <w:t>M</w:t>
      </w:r>
      <w:r w:rsidRPr="00876ECA">
        <w:rPr>
          <w:rFonts w:ascii="Calibri" w:hAnsi="Calibri"/>
          <w:sz w:val="22"/>
          <w:szCs w:val="22"/>
        </w:rPr>
        <w:t xml:space="preserve">ore rigorous underwriting criteria, including more stringent credit requirements, </w:t>
      </w:r>
      <w:r w:rsidR="00F040F6">
        <w:rPr>
          <w:rFonts w:ascii="Calibri" w:hAnsi="Calibri"/>
          <w:sz w:val="22"/>
          <w:szCs w:val="22"/>
        </w:rPr>
        <w:t>remain</w:t>
      </w:r>
      <w:r w:rsidRPr="00876ECA">
        <w:rPr>
          <w:rFonts w:ascii="Calibri" w:hAnsi="Calibri"/>
          <w:sz w:val="22"/>
          <w:szCs w:val="22"/>
        </w:rPr>
        <w:t xml:space="preserve"> significant challenges in obtaining mortgage </w:t>
      </w:r>
      <w:r w:rsidR="0059779A">
        <w:rPr>
          <w:rFonts w:ascii="Calibri" w:hAnsi="Calibri"/>
          <w:sz w:val="22"/>
          <w:szCs w:val="22"/>
        </w:rPr>
        <w:t>financing however</w:t>
      </w:r>
      <w:r w:rsidRPr="00876ECA">
        <w:rPr>
          <w:rFonts w:ascii="Calibri" w:hAnsi="Calibri"/>
          <w:sz w:val="22"/>
          <w:szCs w:val="22"/>
        </w:rPr>
        <w:t>.</w:t>
      </w:r>
    </w:p>
    <w:p w14:paraId="2EEE8E9B" w14:textId="10E1ABA6" w:rsidR="00174CEE" w:rsidRDefault="00174CEE" w:rsidP="00615DA4">
      <w:pPr>
        <w:pStyle w:val="BodyTextIndent"/>
        <w:spacing w:after="0"/>
        <w:ind w:left="0"/>
        <w:jc w:val="both"/>
        <w:rPr>
          <w:rFonts w:ascii="Calibri" w:hAnsi="Calibri"/>
          <w:sz w:val="22"/>
          <w:szCs w:val="22"/>
        </w:rPr>
      </w:pPr>
    </w:p>
    <w:p w14:paraId="3C82C2E4" w14:textId="0877E701" w:rsidR="00174CEE" w:rsidRPr="00876ECA" w:rsidRDefault="00174CEE" w:rsidP="00615DA4">
      <w:pPr>
        <w:pStyle w:val="BodyTextIndent"/>
        <w:spacing w:after="0"/>
        <w:ind w:left="0"/>
        <w:jc w:val="both"/>
        <w:rPr>
          <w:rFonts w:ascii="Calibri" w:hAnsi="Calibri"/>
          <w:sz w:val="22"/>
          <w:szCs w:val="22"/>
        </w:rPr>
      </w:pPr>
      <w:r>
        <w:rPr>
          <w:rFonts w:ascii="Calibri" w:hAnsi="Calibri"/>
          <w:sz w:val="22"/>
          <w:szCs w:val="22"/>
        </w:rPr>
        <w:t>In regard to rentals, because the median household income for Needham is so high, the</w:t>
      </w:r>
      <w:r w:rsidR="00A853C5">
        <w:rPr>
          <w:rFonts w:ascii="Calibri" w:hAnsi="Calibri"/>
          <w:sz w:val="22"/>
          <w:szCs w:val="22"/>
        </w:rPr>
        <w:t>re</w:t>
      </w:r>
      <w:r>
        <w:rPr>
          <w:rFonts w:ascii="Calibri" w:hAnsi="Calibri"/>
          <w:sz w:val="22"/>
          <w:szCs w:val="22"/>
        </w:rPr>
        <w:t xml:space="preserve"> is no affordability gap for households earning at </w:t>
      </w:r>
      <w:r w:rsidR="00A853C5">
        <w:rPr>
          <w:rFonts w:ascii="Calibri" w:hAnsi="Calibri"/>
          <w:sz w:val="22"/>
          <w:szCs w:val="22"/>
        </w:rPr>
        <w:t>the</w:t>
      </w:r>
      <w:r>
        <w:rPr>
          <w:rFonts w:ascii="Calibri" w:hAnsi="Calibri"/>
          <w:sz w:val="22"/>
          <w:szCs w:val="22"/>
        </w:rPr>
        <w:t xml:space="preserve"> median income</w:t>
      </w:r>
      <w:r w:rsidR="00A853C5">
        <w:rPr>
          <w:rFonts w:ascii="Calibri" w:hAnsi="Calibri"/>
          <w:sz w:val="22"/>
          <w:szCs w:val="22"/>
        </w:rPr>
        <w:t xml:space="preserve"> level who could likely afford a monthly rent of almost $4,000</w:t>
      </w:r>
      <w:r>
        <w:rPr>
          <w:rFonts w:ascii="Calibri" w:hAnsi="Calibri"/>
          <w:sz w:val="22"/>
          <w:szCs w:val="22"/>
        </w:rPr>
        <w:t xml:space="preserve">.  However, </w:t>
      </w:r>
      <w:r w:rsidR="00A853C5">
        <w:rPr>
          <w:rFonts w:ascii="Calibri" w:hAnsi="Calibri"/>
          <w:sz w:val="22"/>
          <w:szCs w:val="22"/>
        </w:rPr>
        <w:t>a household with income at the 80% AMI l</w:t>
      </w:r>
      <w:r w:rsidR="000C4991">
        <w:rPr>
          <w:rFonts w:ascii="Calibri" w:hAnsi="Calibri"/>
          <w:sz w:val="22"/>
          <w:szCs w:val="22"/>
        </w:rPr>
        <w:t>imit</w:t>
      </w:r>
      <w:r w:rsidR="00A853C5">
        <w:rPr>
          <w:rFonts w:ascii="Calibri" w:hAnsi="Calibri"/>
          <w:sz w:val="22"/>
          <w:szCs w:val="22"/>
        </w:rPr>
        <w:t xml:space="preserve"> would encounter</w:t>
      </w:r>
      <w:r>
        <w:rPr>
          <w:rFonts w:ascii="Calibri" w:hAnsi="Calibri"/>
          <w:sz w:val="22"/>
          <w:szCs w:val="22"/>
        </w:rPr>
        <w:t xml:space="preserve"> </w:t>
      </w:r>
      <w:r w:rsidR="00A853C5">
        <w:rPr>
          <w:rFonts w:ascii="Calibri" w:hAnsi="Calibri"/>
          <w:sz w:val="22"/>
          <w:szCs w:val="22"/>
        </w:rPr>
        <w:t>an affordability gap of about $650</w:t>
      </w:r>
      <w:r w:rsidR="001D00D6">
        <w:rPr>
          <w:rFonts w:ascii="Calibri" w:hAnsi="Calibri"/>
          <w:sz w:val="22"/>
          <w:szCs w:val="22"/>
        </w:rPr>
        <w:t xml:space="preserve"> per month</w:t>
      </w:r>
      <w:r w:rsidR="00A853C5">
        <w:rPr>
          <w:rFonts w:ascii="Calibri" w:hAnsi="Calibri"/>
          <w:sz w:val="22"/>
          <w:szCs w:val="22"/>
        </w:rPr>
        <w:t>, the difference between an estimated median rent of $2,500 and what such as household could afford of about $1,846.</w:t>
      </w:r>
    </w:p>
    <w:p w14:paraId="41514626" w14:textId="52197546" w:rsidR="00A9234D" w:rsidRDefault="00A9234D" w:rsidP="00615DA4">
      <w:pPr>
        <w:pStyle w:val="BodyTextIndent"/>
        <w:spacing w:after="0"/>
        <w:ind w:left="0"/>
        <w:jc w:val="both"/>
        <w:rPr>
          <w:rFonts w:ascii="Calibri" w:hAnsi="Calibri"/>
          <w:sz w:val="22"/>
          <w:szCs w:val="22"/>
        </w:rPr>
      </w:pPr>
    </w:p>
    <w:p w14:paraId="2F4D6F3F" w14:textId="77777777" w:rsidR="00F040F6" w:rsidRPr="00F040F6" w:rsidRDefault="00F040F6" w:rsidP="00615DA4">
      <w:pPr>
        <w:pStyle w:val="BodyTextIndent"/>
        <w:spacing w:after="0"/>
        <w:ind w:left="0"/>
        <w:jc w:val="both"/>
        <w:rPr>
          <w:rFonts w:ascii="Calibri" w:hAnsi="Calibri"/>
          <w:b/>
          <w:sz w:val="22"/>
          <w:szCs w:val="22"/>
        </w:rPr>
      </w:pPr>
      <w:r>
        <w:rPr>
          <w:rFonts w:ascii="Calibri" w:hAnsi="Calibri"/>
          <w:b/>
          <w:sz w:val="22"/>
          <w:szCs w:val="22"/>
        </w:rPr>
        <w:t>Housing Demand and Supply Analysis</w:t>
      </w:r>
    </w:p>
    <w:p w14:paraId="48B18261" w14:textId="4F226894" w:rsidR="008772FC" w:rsidRDefault="008772FC" w:rsidP="00615DA4">
      <w:pPr>
        <w:pStyle w:val="BodyTextIndent"/>
        <w:spacing w:after="0"/>
        <w:ind w:left="0"/>
        <w:jc w:val="both"/>
        <w:rPr>
          <w:rFonts w:ascii="Calibri" w:hAnsi="Calibri"/>
          <w:sz w:val="22"/>
          <w:szCs w:val="22"/>
        </w:rPr>
      </w:pPr>
      <w:r w:rsidRPr="00876ECA">
        <w:rPr>
          <w:rFonts w:ascii="Calibri" w:hAnsi="Calibri"/>
          <w:sz w:val="22"/>
          <w:szCs w:val="22"/>
        </w:rPr>
        <w:t xml:space="preserve">Table </w:t>
      </w:r>
      <w:r w:rsidR="0059779A">
        <w:rPr>
          <w:rFonts w:ascii="Calibri" w:hAnsi="Calibri"/>
          <w:sz w:val="22"/>
          <w:szCs w:val="22"/>
        </w:rPr>
        <w:t>III-38</w:t>
      </w:r>
      <w:r w:rsidRPr="00876ECA">
        <w:rPr>
          <w:rFonts w:ascii="Calibri" w:hAnsi="Calibri"/>
          <w:sz w:val="22"/>
          <w:szCs w:val="22"/>
        </w:rPr>
        <w:t xml:space="preserve"> identifies how many single-family homes and condo</w:t>
      </w:r>
      <w:r w:rsidR="00E47620">
        <w:rPr>
          <w:rFonts w:ascii="Calibri" w:hAnsi="Calibri"/>
          <w:sz w:val="22"/>
          <w:szCs w:val="22"/>
        </w:rPr>
        <w:t>minium unit</w:t>
      </w:r>
      <w:r w:rsidRPr="00876ECA">
        <w:rPr>
          <w:rFonts w:ascii="Calibri" w:hAnsi="Calibri"/>
          <w:sz w:val="22"/>
          <w:szCs w:val="22"/>
        </w:rPr>
        <w:t xml:space="preserve">s exist in Needham that were </w:t>
      </w:r>
      <w:r w:rsidR="00E1091F">
        <w:rPr>
          <w:rFonts w:ascii="Calibri" w:hAnsi="Calibri"/>
          <w:sz w:val="22"/>
          <w:szCs w:val="22"/>
        </w:rPr>
        <w:t xml:space="preserve">potentially </w:t>
      </w:r>
      <w:r w:rsidRPr="00876ECA">
        <w:rPr>
          <w:rFonts w:ascii="Calibri" w:hAnsi="Calibri"/>
          <w:sz w:val="22"/>
          <w:szCs w:val="22"/>
        </w:rPr>
        <w:t>affordable within various income categories</w:t>
      </w:r>
      <w:r w:rsidR="00E47620">
        <w:rPr>
          <w:rFonts w:ascii="Calibri" w:hAnsi="Calibri"/>
          <w:sz w:val="22"/>
          <w:szCs w:val="22"/>
        </w:rPr>
        <w:t xml:space="preserve"> based on Town Assessor records</w:t>
      </w:r>
      <w:r w:rsidRPr="00876ECA">
        <w:rPr>
          <w:rFonts w:ascii="Calibri" w:hAnsi="Calibri"/>
          <w:sz w:val="22"/>
          <w:szCs w:val="22"/>
        </w:rPr>
        <w:t xml:space="preserve">. Only </w:t>
      </w:r>
      <w:r w:rsidR="00F85008">
        <w:rPr>
          <w:rFonts w:ascii="Calibri" w:hAnsi="Calibri"/>
          <w:sz w:val="22"/>
          <w:szCs w:val="22"/>
        </w:rPr>
        <w:t>eight</w:t>
      </w:r>
      <w:r w:rsidR="001A506B">
        <w:rPr>
          <w:rFonts w:ascii="Calibri" w:hAnsi="Calibri"/>
          <w:sz w:val="22"/>
          <w:szCs w:val="22"/>
        </w:rPr>
        <w:t xml:space="preserve"> </w:t>
      </w:r>
      <w:r w:rsidRPr="00876ECA">
        <w:rPr>
          <w:rFonts w:ascii="Calibri" w:hAnsi="Calibri"/>
          <w:sz w:val="22"/>
          <w:szCs w:val="22"/>
        </w:rPr>
        <w:t>single-family homes</w:t>
      </w:r>
      <w:r w:rsidR="004A6BCF">
        <w:rPr>
          <w:rFonts w:ascii="Calibri" w:hAnsi="Calibri"/>
          <w:sz w:val="22"/>
          <w:szCs w:val="22"/>
        </w:rPr>
        <w:t>,</w:t>
      </w:r>
      <w:r w:rsidRPr="00876ECA">
        <w:rPr>
          <w:rFonts w:ascii="Calibri" w:hAnsi="Calibri"/>
          <w:sz w:val="22"/>
          <w:szCs w:val="22"/>
        </w:rPr>
        <w:t xml:space="preserve"> </w:t>
      </w:r>
      <w:r w:rsidR="00446CEB">
        <w:rPr>
          <w:rFonts w:ascii="Calibri" w:hAnsi="Calibri"/>
          <w:sz w:val="22"/>
          <w:szCs w:val="22"/>
        </w:rPr>
        <w:t>which includes</w:t>
      </w:r>
      <w:r w:rsidR="00E1091F">
        <w:rPr>
          <w:rFonts w:ascii="Calibri" w:hAnsi="Calibri"/>
          <w:sz w:val="22"/>
          <w:szCs w:val="22"/>
        </w:rPr>
        <w:t xml:space="preserve"> a</w:t>
      </w:r>
      <w:r w:rsidRPr="00876ECA">
        <w:rPr>
          <w:rFonts w:ascii="Calibri" w:hAnsi="Calibri"/>
          <w:sz w:val="22"/>
          <w:szCs w:val="22"/>
        </w:rPr>
        <w:t xml:space="preserve"> Habitat for Humanity house, were affordable to households earning at or below 80% AMI as were </w:t>
      </w:r>
      <w:r w:rsidR="002067EB">
        <w:rPr>
          <w:rFonts w:ascii="Calibri" w:hAnsi="Calibri"/>
          <w:sz w:val="22"/>
          <w:szCs w:val="22"/>
        </w:rPr>
        <w:t>1</w:t>
      </w:r>
      <w:r w:rsidR="00F85008">
        <w:rPr>
          <w:rFonts w:ascii="Calibri" w:hAnsi="Calibri"/>
          <w:sz w:val="22"/>
          <w:szCs w:val="22"/>
        </w:rPr>
        <w:t>47</w:t>
      </w:r>
      <w:r w:rsidRPr="00876ECA">
        <w:rPr>
          <w:rFonts w:ascii="Calibri" w:hAnsi="Calibri"/>
          <w:sz w:val="22"/>
          <w:szCs w:val="22"/>
        </w:rPr>
        <w:t xml:space="preserve"> condo</w:t>
      </w:r>
      <w:r w:rsidR="00E47620">
        <w:rPr>
          <w:rFonts w:ascii="Calibri" w:hAnsi="Calibri"/>
          <w:sz w:val="22"/>
          <w:szCs w:val="22"/>
        </w:rPr>
        <w:t>minium</w:t>
      </w:r>
      <w:r w:rsidRPr="00876ECA">
        <w:rPr>
          <w:rFonts w:ascii="Calibri" w:hAnsi="Calibri"/>
          <w:sz w:val="22"/>
          <w:szCs w:val="22"/>
        </w:rPr>
        <w:t>s</w:t>
      </w:r>
      <w:r w:rsidR="002067EB">
        <w:rPr>
          <w:rFonts w:ascii="Calibri" w:hAnsi="Calibri"/>
          <w:sz w:val="22"/>
          <w:szCs w:val="22"/>
        </w:rPr>
        <w:t xml:space="preserve"> </w:t>
      </w:r>
      <w:r w:rsidR="004A6BCF">
        <w:rPr>
          <w:rFonts w:ascii="Calibri" w:hAnsi="Calibri"/>
          <w:sz w:val="22"/>
          <w:szCs w:val="22"/>
        </w:rPr>
        <w:t xml:space="preserve">that </w:t>
      </w:r>
      <w:r w:rsidR="002067EB">
        <w:rPr>
          <w:rFonts w:ascii="Calibri" w:hAnsi="Calibri"/>
          <w:sz w:val="22"/>
          <w:szCs w:val="22"/>
        </w:rPr>
        <w:t>includ</w:t>
      </w:r>
      <w:r w:rsidR="004A6BCF">
        <w:rPr>
          <w:rFonts w:ascii="Calibri" w:hAnsi="Calibri"/>
          <w:sz w:val="22"/>
          <w:szCs w:val="22"/>
        </w:rPr>
        <w:t>ed</w:t>
      </w:r>
      <w:r w:rsidR="002067EB">
        <w:rPr>
          <w:rFonts w:ascii="Calibri" w:hAnsi="Calibri"/>
          <w:sz w:val="22"/>
          <w:szCs w:val="22"/>
        </w:rPr>
        <w:t xml:space="preserve"> </w:t>
      </w:r>
      <w:r w:rsidR="00FD2AFC">
        <w:rPr>
          <w:rFonts w:ascii="Calibri" w:hAnsi="Calibri"/>
          <w:sz w:val="22"/>
          <w:szCs w:val="22"/>
        </w:rPr>
        <w:t>17 affordable</w:t>
      </w:r>
      <w:r w:rsidR="002067EB">
        <w:rPr>
          <w:rFonts w:ascii="Calibri" w:hAnsi="Calibri"/>
          <w:sz w:val="22"/>
          <w:szCs w:val="22"/>
        </w:rPr>
        <w:t xml:space="preserve"> condo</w:t>
      </w:r>
      <w:r w:rsidR="00446CEB">
        <w:rPr>
          <w:rFonts w:ascii="Calibri" w:hAnsi="Calibri"/>
          <w:sz w:val="22"/>
          <w:szCs w:val="22"/>
        </w:rPr>
        <w:t>minium</w:t>
      </w:r>
      <w:r w:rsidR="002067EB">
        <w:rPr>
          <w:rFonts w:ascii="Calibri" w:hAnsi="Calibri"/>
          <w:sz w:val="22"/>
          <w:szCs w:val="22"/>
        </w:rPr>
        <w:t xml:space="preserve">s </w:t>
      </w:r>
      <w:r w:rsidR="004A6BCF">
        <w:rPr>
          <w:rFonts w:ascii="Calibri" w:hAnsi="Calibri"/>
          <w:sz w:val="22"/>
          <w:szCs w:val="22"/>
        </w:rPr>
        <w:t>as</w:t>
      </w:r>
      <w:r w:rsidR="002067EB">
        <w:rPr>
          <w:rFonts w:ascii="Calibri" w:hAnsi="Calibri"/>
          <w:sz w:val="22"/>
          <w:szCs w:val="22"/>
        </w:rPr>
        <w:t xml:space="preserve"> part of Chapter 40B developments</w:t>
      </w:r>
      <w:r w:rsidRPr="00876ECA">
        <w:rPr>
          <w:rFonts w:ascii="Calibri" w:hAnsi="Calibri"/>
          <w:sz w:val="22"/>
          <w:szCs w:val="22"/>
        </w:rPr>
        <w:t xml:space="preserve">. </w:t>
      </w:r>
      <w:r w:rsidR="00D1026C">
        <w:rPr>
          <w:rFonts w:ascii="Calibri" w:hAnsi="Calibri"/>
          <w:sz w:val="22"/>
          <w:szCs w:val="22"/>
        </w:rPr>
        <w:t xml:space="preserve"> An additional </w:t>
      </w:r>
      <w:r w:rsidR="00740749">
        <w:rPr>
          <w:rFonts w:ascii="Calibri" w:hAnsi="Calibri"/>
          <w:sz w:val="22"/>
          <w:szCs w:val="22"/>
        </w:rPr>
        <w:t>five</w:t>
      </w:r>
      <w:r w:rsidR="00D1026C">
        <w:rPr>
          <w:rFonts w:ascii="Calibri" w:hAnsi="Calibri"/>
          <w:sz w:val="22"/>
          <w:szCs w:val="22"/>
        </w:rPr>
        <w:t xml:space="preserve"> single-family homes and </w:t>
      </w:r>
      <w:r w:rsidR="00F85008">
        <w:rPr>
          <w:rFonts w:ascii="Calibri" w:hAnsi="Calibri"/>
          <w:sz w:val="22"/>
          <w:szCs w:val="22"/>
        </w:rPr>
        <w:t>92</w:t>
      </w:r>
      <w:r w:rsidR="00D1026C">
        <w:rPr>
          <w:rFonts w:ascii="Calibri" w:hAnsi="Calibri"/>
          <w:sz w:val="22"/>
          <w:szCs w:val="22"/>
        </w:rPr>
        <w:t xml:space="preserve"> condo</w:t>
      </w:r>
      <w:r w:rsidR="00446CEB">
        <w:rPr>
          <w:rFonts w:ascii="Calibri" w:hAnsi="Calibri"/>
          <w:sz w:val="22"/>
          <w:szCs w:val="22"/>
        </w:rPr>
        <w:t>minium</w:t>
      </w:r>
      <w:r w:rsidR="00D1026C">
        <w:rPr>
          <w:rFonts w:ascii="Calibri" w:hAnsi="Calibri"/>
          <w:sz w:val="22"/>
          <w:szCs w:val="22"/>
        </w:rPr>
        <w:t>s would be potentially affordable to those with incomes in the 80% to 100% AMI range.</w:t>
      </w:r>
      <w:r w:rsidR="00461FE0" w:rsidRPr="00461FE0">
        <w:rPr>
          <w:rFonts w:ascii="Calibri" w:hAnsi="Calibri"/>
          <w:sz w:val="22"/>
          <w:szCs w:val="22"/>
        </w:rPr>
        <w:t xml:space="preserve"> </w:t>
      </w:r>
      <w:r w:rsidR="00461FE0" w:rsidRPr="00876ECA">
        <w:rPr>
          <w:rFonts w:ascii="Calibri" w:hAnsi="Calibri"/>
          <w:sz w:val="22"/>
          <w:szCs w:val="22"/>
        </w:rPr>
        <w:t xml:space="preserve">This represents limited affordability in the housing stock.  </w:t>
      </w:r>
      <w:r w:rsidR="00446CEB">
        <w:rPr>
          <w:rFonts w:ascii="Calibri" w:hAnsi="Calibri"/>
          <w:sz w:val="22"/>
          <w:szCs w:val="22"/>
        </w:rPr>
        <w:t>Moreover, assessments typically lag sales prices by a year or two and thus it is likely that there has been a further erosion of affordability in the housing inventory.</w:t>
      </w:r>
    </w:p>
    <w:p w14:paraId="63481F15" w14:textId="60DD4BC2" w:rsidR="00D1026C" w:rsidRDefault="00D1026C" w:rsidP="00615DA4">
      <w:pPr>
        <w:pStyle w:val="BodyTextIndent"/>
        <w:spacing w:after="0"/>
        <w:ind w:left="0"/>
        <w:jc w:val="both"/>
        <w:rPr>
          <w:rFonts w:ascii="Calibri" w:hAnsi="Calibri"/>
          <w:sz w:val="22"/>
          <w:szCs w:val="22"/>
        </w:rPr>
      </w:pPr>
    </w:p>
    <w:p w14:paraId="17439F8A" w14:textId="7FDC2027" w:rsidR="00D1026C" w:rsidRPr="00876ECA" w:rsidRDefault="00D1026C" w:rsidP="00D1026C">
      <w:pPr>
        <w:pStyle w:val="BodyTextIndent"/>
        <w:spacing w:after="0"/>
        <w:ind w:left="0"/>
        <w:jc w:val="both"/>
        <w:rPr>
          <w:rFonts w:ascii="Calibri" w:hAnsi="Calibri"/>
          <w:sz w:val="22"/>
          <w:szCs w:val="22"/>
        </w:rPr>
      </w:pPr>
      <w:r w:rsidRPr="00876ECA">
        <w:rPr>
          <w:rFonts w:ascii="Calibri" w:hAnsi="Calibri"/>
          <w:sz w:val="22"/>
          <w:szCs w:val="22"/>
        </w:rPr>
        <w:t xml:space="preserve">About </w:t>
      </w:r>
      <w:r w:rsidR="00F6119D">
        <w:rPr>
          <w:rFonts w:ascii="Calibri" w:hAnsi="Calibri"/>
          <w:sz w:val="22"/>
          <w:szCs w:val="22"/>
        </w:rPr>
        <w:t>38%</w:t>
      </w:r>
      <w:r w:rsidRPr="00876ECA">
        <w:rPr>
          <w:rFonts w:ascii="Calibri" w:hAnsi="Calibri"/>
          <w:sz w:val="22"/>
          <w:szCs w:val="22"/>
        </w:rPr>
        <w:t xml:space="preserve"> of the single-family units a</w:t>
      </w:r>
      <w:r w:rsidR="00461FE0">
        <w:rPr>
          <w:rFonts w:ascii="Calibri" w:hAnsi="Calibri"/>
          <w:sz w:val="22"/>
          <w:szCs w:val="22"/>
        </w:rPr>
        <w:t>s well as condos</w:t>
      </w:r>
      <w:r w:rsidRPr="00876ECA">
        <w:rPr>
          <w:rFonts w:ascii="Calibri" w:hAnsi="Calibri"/>
          <w:sz w:val="22"/>
          <w:szCs w:val="22"/>
        </w:rPr>
        <w:t xml:space="preserve"> were </w:t>
      </w:r>
      <w:r w:rsidR="00461FE0">
        <w:rPr>
          <w:rFonts w:ascii="Calibri" w:hAnsi="Calibri"/>
          <w:sz w:val="22"/>
          <w:szCs w:val="22"/>
        </w:rPr>
        <w:t xml:space="preserve">potentially </w:t>
      </w:r>
      <w:r w:rsidRPr="00876ECA">
        <w:rPr>
          <w:rFonts w:ascii="Calibri" w:hAnsi="Calibri"/>
          <w:sz w:val="22"/>
          <w:szCs w:val="22"/>
        </w:rPr>
        <w:t xml:space="preserve">affordable to those earning </w:t>
      </w:r>
      <w:r w:rsidR="00461FE0">
        <w:rPr>
          <w:rFonts w:ascii="Calibri" w:hAnsi="Calibri"/>
          <w:sz w:val="22"/>
          <w:szCs w:val="22"/>
        </w:rPr>
        <w:t>between 100% AMI and N</w:t>
      </w:r>
      <w:r w:rsidRPr="00876ECA">
        <w:rPr>
          <w:rFonts w:ascii="Calibri" w:hAnsi="Calibri"/>
          <w:sz w:val="22"/>
          <w:szCs w:val="22"/>
        </w:rPr>
        <w:t>eedham’s median</w:t>
      </w:r>
      <w:r>
        <w:rPr>
          <w:rFonts w:ascii="Calibri" w:hAnsi="Calibri"/>
          <w:sz w:val="22"/>
          <w:szCs w:val="22"/>
        </w:rPr>
        <w:t xml:space="preserve"> household</w:t>
      </w:r>
      <w:r w:rsidRPr="00876ECA">
        <w:rPr>
          <w:rFonts w:ascii="Calibri" w:hAnsi="Calibri"/>
          <w:sz w:val="22"/>
          <w:szCs w:val="22"/>
        </w:rPr>
        <w:t xml:space="preserve"> income level, largely because Needham’s median household income level was so high in comparison to the area-wide income levels for the Boston region.  </w:t>
      </w:r>
    </w:p>
    <w:p w14:paraId="24B0373B" w14:textId="77777777" w:rsidR="00D1026C" w:rsidRPr="00876ECA" w:rsidRDefault="00D1026C" w:rsidP="00615DA4">
      <w:pPr>
        <w:pStyle w:val="BodyTextIndent"/>
        <w:spacing w:after="0"/>
        <w:ind w:left="0"/>
        <w:jc w:val="both"/>
        <w:rPr>
          <w:rFonts w:ascii="Calibri" w:hAnsi="Calibri"/>
          <w:sz w:val="22"/>
          <w:szCs w:val="22"/>
        </w:rPr>
      </w:pPr>
    </w:p>
    <w:p w14:paraId="5CE394F2" w14:textId="7E391BDF" w:rsidR="008772FC" w:rsidRPr="004E50E7" w:rsidRDefault="008772FC" w:rsidP="008772FC">
      <w:pPr>
        <w:keepNext/>
        <w:jc w:val="center"/>
        <w:rPr>
          <w:rFonts w:ascii="Calibri" w:hAnsi="Calibri"/>
          <w:b/>
          <w:bCs/>
          <w:sz w:val="22"/>
          <w:szCs w:val="22"/>
        </w:rPr>
      </w:pPr>
      <w:r w:rsidRPr="004E50E7">
        <w:rPr>
          <w:rFonts w:ascii="Calibri" w:hAnsi="Calibri"/>
          <w:b/>
          <w:bCs/>
          <w:sz w:val="22"/>
          <w:szCs w:val="22"/>
        </w:rPr>
        <w:lastRenderedPageBreak/>
        <w:t xml:space="preserve">Table </w:t>
      </w:r>
      <w:r w:rsidR="0059779A">
        <w:rPr>
          <w:rFonts w:ascii="Calibri" w:hAnsi="Calibri"/>
          <w:b/>
          <w:bCs/>
          <w:sz w:val="22"/>
          <w:szCs w:val="22"/>
        </w:rPr>
        <w:t>III-38</w:t>
      </w:r>
      <w:r>
        <w:rPr>
          <w:rFonts w:ascii="Calibri" w:hAnsi="Calibri"/>
          <w:b/>
          <w:bCs/>
          <w:sz w:val="22"/>
          <w:szCs w:val="22"/>
        </w:rPr>
        <w:t>: A</w:t>
      </w:r>
      <w:r w:rsidRPr="004E50E7">
        <w:rPr>
          <w:rFonts w:ascii="Calibri" w:hAnsi="Calibri"/>
          <w:b/>
          <w:bCs/>
          <w:sz w:val="22"/>
          <w:szCs w:val="22"/>
        </w:rPr>
        <w:t>ffordability Analysis III</w:t>
      </w:r>
    </w:p>
    <w:p w14:paraId="21D5F802" w14:textId="23C2D93C" w:rsidR="008772FC" w:rsidRPr="004E50E7" w:rsidRDefault="008772FC" w:rsidP="008772FC">
      <w:pPr>
        <w:keepNext/>
        <w:jc w:val="center"/>
        <w:rPr>
          <w:rFonts w:ascii="Calibri" w:hAnsi="Calibri"/>
          <w:b/>
          <w:bCs/>
          <w:sz w:val="22"/>
          <w:szCs w:val="22"/>
        </w:rPr>
      </w:pPr>
      <w:r w:rsidRPr="004E50E7">
        <w:rPr>
          <w:rFonts w:ascii="Calibri" w:hAnsi="Calibri"/>
          <w:b/>
          <w:bCs/>
          <w:sz w:val="22"/>
          <w:szCs w:val="22"/>
        </w:rPr>
        <w:t xml:space="preserve">Relative Affordability of Single-family and Condo Units in Needham, </w:t>
      </w:r>
      <w:r w:rsidR="00572FE1">
        <w:rPr>
          <w:rFonts w:ascii="Calibri" w:hAnsi="Calibri"/>
          <w:b/>
          <w:bCs/>
          <w:sz w:val="22"/>
          <w:szCs w:val="22"/>
        </w:rPr>
        <w:t>FY22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183"/>
        <w:gridCol w:w="1201"/>
        <w:gridCol w:w="982"/>
        <w:gridCol w:w="1092"/>
        <w:gridCol w:w="1076"/>
        <w:gridCol w:w="15"/>
      </w:tblGrid>
      <w:tr w:rsidR="008772FC" w:rsidRPr="004E50E7" w14:paraId="330D162B" w14:textId="77777777" w:rsidTr="008F2513">
        <w:trPr>
          <w:cantSplit/>
        </w:trPr>
        <w:tc>
          <w:tcPr>
            <w:tcW w:w="2016" w:type="dxa"/>
            <w:vMerge w:val="restart"/>
          </w:tcPr>
          <w:p w14:paraId="28983461" w14:textId="77777777" w:rsidR="008772FC" w:rsidRPr="004E50E7" w:rsidRDefault="008772FC" w:rsidP="008F2513">
            <w:pPr>
              <w:keepNext/>
              <w:rPr>
                <w:rFonts w:ascii="Calibri" w:hAnsi="Calibri"/>
                <w:b/>
                <w:bCs/>
              </w:rPr>
            </w:pPr>
          </w:p>
          <w:p w14:paraId="721E23EF" w14:textId="77777777" w:rsidR="008772FC" w:rsidRPr="004E50E7" w:rsidRDefault="008772FC" w:rsidP="008F2513">
            <w:pPr>
              <w:keepNext/>
              <w:rPr>
                <w:rFonts w:ascii="Calibri" w:hAnsi="Calibri"/>
                <w:b/>
                <w:bCs/>
              </w:rPr>
            </w:pPr>
            <w:r w:rsidRPr="004E50E7">
              <w:rPr>
                <w:rFonts w:ascii="Calibri" w:hAnsi="Calibri"/>
                <w:b/>
                <w:bCs/>
                <w:sz w:val="22"/>
                <w:szCs w:val="22"/>
              </w:rPr>
              <w:t>Price Range</w:t>
            </w:r>
          </w:p>
          <w:p w14:paraId="09557898" w14:textId="77777777" w:rsidR="008772FC" w:rsidRPr="004E50E7" w:rsidRDefault="008772FC" w:rsidP="008704AD">
            <w:pPr>
              <w:keepNext/>
              <w:rPr>
                <w:rFonts w:ascii="Calibri" w:hAnsi="Calibri"/>
                <w:b/>
                <w:bCs/>
              </w:rPr>
            </w:pPr>
            <w:r w:rsidRPr="004E50E7">
              <w:rPr>
                <w:rFonts w:ascii="Calibri" w:hAnsi="Calibri"/>
                <w:b/>
                <w:bCs/>
                <w:sz w:val="22"/>
                <w:szCs w:val="22"/>
              </w:rPr>
              <w:t>Single-</w:t>
            </w:r>
            <w:r w:rsidR="008704AD">
              <w:rPr>
                <w:rFonts w:ascii="Calibri" w:hAnsi="Calibri"/>
                <w:b/>
                <w:bCs/>
                <w:sz w:val="22"/>
                <w:szCs w:val="22"/>
              </w:rPr>
              <w:t>f</w:t>
            </w:r>
            <w:r w:rsidRPr="004E50E7">
              <w:rPr>
                <w:rFonts w:ascii="Calibri" w:hAnsi="Calibri"/>
                <w:b/>
                <w:bCs/>
                <w:sz w:val="22"/>
                <w:szCs w:val="22"/>
              </w:rPr>
              <w:t>amily/</w:t>
            </w:r>
            <w:r w:rsidR="008704AD">
              <w:rPr>
                <w:rFonts w:ascii="Calibri" w:hAnsi="Calibri"/>
                <w:b/>
                <w:bCs/>
                <w:sz w:val="22"/>
                <w:szCs w:val="22"/>
              </w:rPr>
              <w:t xml:space="preserve"> </w:t>
            </w:r>
            <w:r w:rsidRPr="004E50E7">
              <w:rPr>
                <w:rFonts w:ascii="Calibri" w:hAnsi="Calibri"/>
                <w:b/>
                <w:bCs/>
                <w:sz w:val="22"/>
                <w:szCs w:val="22"/>
              </w:rPr>
              <w:t>Condo*</w:t>
            </w:r>
          </w:p>
        </w:tc>
        <w:tc>
          <w:tcPr>
            <w:tcW w:w="2183" w:type="dxa"/>
            <w:vMerge w:val="restart"/>
          </w:tcPr>
          <w:p w14:paraId="2F0020EF" w14:textId="77777777" w:rsidR="008772FC" w:rsidRPr="004E50E7" w:rsidRDefault="008772FC" w:rsidP="008F2513">
            <w:pPr>
              <w:keepNext/>
              <w:rPr>
                <w:rFonts w:ascii="Calibri" w:hAnsi="Calibri"/>
                <w:b/>
                <w:bCs/>
              </w:rPr>
            </w:pPr>
          </w:p>
          <w:p w14:paraId="32FC2FC4" w14:textId="77777777" w:rsidR="008772FC" w:rsidRPr="004E50E7" w:rsidRDefault="008772FC" w:rsidP="008F2513">
            <w:pPr>
              <w:keepNext/>
              <w:rPr>
                <w:rFonts w:ascii="Calibri" w:hAnsi="Calibri"/>
                <w:b/>
                <w:bCs/>
              </w:rPr>
            </w:pPr>
          </w:p>
          <w:p w14:paraId="0FC13BDC" w14:textId="77777777" w:rsidR="008772FC" w:rsidRPr="004E50E7" w:rsidRDefault="008772FC" w:rsidP="008F2513">
            <w:pPr>
              <w:keepNext/>
              <w:rPr>
                <w:rFonts w:ascii="Calibri" w:hAnsi="Calibri"/>
                <w:b/>
                <w:bCs/>
              </w:rPr>
            </w:pPr>
            <w:r w:rsidRPr="004E50E7">
              <w:rPr>
                <w:rFonts w:ascii="Calibri" w:hAnsi="Calibri"/>
                <w:b/>
                <w:bCs/>
                <w:sz w:val="22"/>
                <w:szCs w:val="22"/>
              </w:rPr>
              <w:t>Income Range</w:t>
            </w:r>
          </w:p>
          <w:p w14:paraId="03222F9B" w14:textId="77777777" w:rsidR="008772FC" w:rsidRPr="004E50E7" w:rsidRDefault="008772FC" w:rsidP="008F2513">
            <w:pPr>
              <w:keepNext/>
              <w:rPr>
                <w:rFonts w:ascii="Calibri" w:hAnsi="Calibri"/>
                <w:b/>
                <w:bCs/>
              </w:rPr>
            </w:pPr>
          </w:p>
        </w:tc>
        <w:tc>
          <w:tcPr>
            <w:tcW w:w="2183" w:type="dxa"/>
            <w:gridSpan w:val="2"/>
          </w:tcPr>
          <w:p w14:paraId="51890820" w14:textId="77777777" w:rsidR="008772FC" w:rsidRPr="004E50E7" w:rsidRDefault="008772FC" w:rsidP="008F2513">
            <w:pPr>
              <w:keepNext/>
              <w:jc w:val="center"/>
              <w:rPr>
                <w:rFonts w:ascii="Calibri" w:hAnsi="Calibri"/>
                <w:b/>
                <w:bCs/>
              </w:rPr>
            </w:pPr>
            <w:r w:rsidRPr="004E50E7">
              <w:rPr>
                <w:rFonts w:ascii="Calibri" w:hAnsi="Calibri"/>
                <w:b/>
                <w:bCs/>
                <w:sz w:val="22"/>
                <w:szCs w:val="22"/>
              </w:rPr>
              <w:t>Single-family Homes</w:t>
            </w:r>
          </w:p>
          <w:p w14:paraId="1109A406" w14:textId="77777777" w:rsidR="008772FC" w:rsidRPr="004E50E7" w:rsidRDefault="008772FC" w:rsidP="008F2513">
            <w:pPr>
              <w:keepNext/>
              <w:jc w:val="center"/>
              <w:rPr>
                <w:rFonts w:ascii="Calibri" w:hAnsi="Calibri"/>
                <w:b/>
                <w:bCs/>
              </w:rPr>
            </w:pPr>
            <w:r w:rsidRPr="004E50E7">
              <w:rPr>
                <w:rFonts w:ascii="Calibri" w:hAnsi="Calibri"/>
                <w:b/>
                <w:bCs/>
                <w:sz w:val="22"/>
                <w:szCs w:val="22"/>
              </w:rPr>
              <w:t>Available in Price Range</w:t>
            </w:r>
          </w:p>
        </w:tc>
        <w:tc>
          <w:tcPr>
            <w:tcW w:w="2183" w:type="dxa"/>
            <w:gridSpan w:val="3"/>
          </w:tcPr>
          <w:p w14:paraId="39E62FFB" w14:textId="4AC27BFB" w:rsidR="008772FC" w:rsidRPr="004E50E7" w:rsidRDefault="008772FC" w:rsidP="008F2513">
            <w:pPr>
              <w:keepNext/>
              <w:jc w:val="center"/>
              <w:rPr>
                <w:rFonts w:ascii="Calibri" w:hAnsi="Calibri"/>
                <w:b/>
                <w:bCs/>
              </w:rPr>
            </w:pPr>
            <w:r w:rsidRPr="004E50E7">
              <w:rPr>
                <w:rFonts w:ascii="Calibri" w:hAnsi="Calibri"/>
                <w:b/>
                <w:bCs/>
                <w:sz w:val="22"/>
                <w:szCs w:val="22"/>
              </w:rPr>
              <w:t>Condominium</w:t>
            </w:r>
            <w:r w:rsidR="00446CEB">
              <w:rPr>
                <w:rFonts w:ascii="Calibri" w:hAnsi="Calibri"/>
                <w:b/>
                <w:bCs/>
                <w:sz w:val="22"/>
                <w:szCs w:val="22"/>
              </w:rPr>
              <w:t xml:space="preserve"> Unit</w:t>
            </w:r>
            <w:r w:rsidRPr="004E50E7">
              <w:rPr>
                <w:rFonts w:ascii="Calibri" w:hAnsi="Calibri"/>
                <w:b/>
                <w:bCs/>
                <w:sz w:val="22"/>
                <w:szCs w:val="22"/>
              </w:rPr>
              <w:t>s</w:t>
            </w:r>
          </w:p>
          <w:p w14:paraId="4ECB73B2" w14:textId="77777777" w:rsidR="008772FC" w:rsidRPr="004E50E7" w:rsidRDefault="008772FC" w:rsidP="008F2513">
            <w:pPr>
              <w:keepNext/>
              <w:jc w:val="center"/>
              <w:rPr>
                <w:rFonts w:ascii="Calibri" w:hAnsi="Calibri"/>
                <w:b/>
                <w:bCs/>
              </w:rPr>
            </w:pPr>
            <w:r w:rsidRPr="004E50E7">
              <w:rPr>
                <w:rFonts w:ascii="Calibri" w:hAnsi="Calibri"/>
                <w:b/>
                <w:bCs/>
                <w:sz w:val="22"/>
                <w:szCs w:val="22"/>
              </w:rPr>
              <w:t>Available in Price</w:t>
            </w:r>
          </w:p>
          <w:p w14:paraId="6E224063" w14:textId="77777777" w:rsidR="008772FC" w:rsidRPr="004E50E7" w:rsidRDefault="008772FC" w:rsidP="008F2513">
            <w:pPr>
              <w:keepNext/>
              <w:jc w:val="center"/>
              <w:rPr>
                <w:rFonts w:ascii="Calibri" w:hAnsi="Calibri"/>
                <w:b/>
                <w:bCs/>
              </w:rPr>
            </w:pPr>
            <w:r w:rsidRPr="004E50E7">
              <w:rPr>
                <w:rFonts w:ascii="Calibri" w:hAnsi="Calibri"/>
                <w:b/>
                <w:bCs/>
                <w:sz w:val="22"/>
                <w:szCs w:val="22"/>
              </w:rPr>
              <w:t>Range</w:t>
            </w:r>
          </w:p>
        </w:tc>
      </w:tr>
      <w:tr w:rsidR="008772FC" w:rsidRPr="004E50E7" w14:paraId="0ABB544B" w14:textId="77777777" w:rsidTr="008F2513">
        <w:trPr>
          <w:gridAfter w:val="1"/>
          <w:wAfter w:w="15" w:type="dxa"/>
          <w:cantSplit/>
        </w:trPr>
        <w:tc>
          <w:tcPr>
            <w:tcW w:w="2016" w:type="dxa"/>
            <w:vMerge/>
          </w:tcPr>
          <w:p w14:paraId="1818415F" w14:textId="77777777" w:rsidR="008772FC" w:rsidRPr="004E50E7" w:rsidRDefault="008772FC" w:rsidP="008F2513">
            <w:pPr>
              <w:keepNext/>
              <w:rPr>
                <w:rFonts w:ascii="Calibri" w:hAnsi="Calibri"/>
                <w:b/>
                <w:bCs/>
              </w:rPr>
            </w:pPr>
          </w:p>
        </w:tc>
        <w:tc>
          <w:tcPr>
            <w:tcW w:w="2183" w:type="dxa"/>
            <w:vMerge/>
          </w:tcPr>
          <w:p w14:paraId="75909381" w14:textId="77777777" w:rsidR="008772FC" w:rsidRPr="004E50E7" w:rsidRDefault="008772FC" w:rsidP="008F2513">
            <w:pPr>
              <w:keepNext/>
              <w:rPr>
                <w:rFonts w:ascii="Calibri" w:hAnsi="Calibri"/>
                <w:b/>
                <w:bCs/>
              </w:rPr>
            </w:pPr>
          </w:p>
        </w:tc>
        <w:tc>
          <w:tcPr>
            <w:tcW w:w="1201" w:type="dxa"/>
          </w:tcPr>
          <w:p w14:paraId="4677AC55" w14:textId="77777777" w:rsidR="008772FC" w:rsidRPr="004E50E7" w:rsidRDefault="008772FC" w:rsidP="008F2513">
            <w:pPr>
              <w:keepNext/>
              <w:rPr>
                <w:rFonts w:ascii="Calibri" w:hAnsi="Calibri"/>
                <w:b/>
                <w:bCs/>
              </w:rPr>
            </w:pPr>
            <w:r w:rsidRPr="004E50E7">
              <w:rPr>
                <w:rFonts w:ascii="Calibri" w:hAnsi="Calibri"/>
                <w:b/>
                <w:bCs/>
                <w:sz w:val="22"/>
                <w:szCs w:val="22"/>
              </w:rPr>
              <w:t>Number</w:t>
            </w:r>
          </w:p>
        </w:tc>
        <w:tc>
          <w:tcPr>
            <w:tcW w:w="982" w:type="dxa"/>
          </w:tcPr>
          <w:p w14:paraId="781B0514" w14:textId="77777777" w:rsidR="008772FC" w:rsidRPr="004E50E7" w:rsidRDefault="008772FC" w:rsidP="008F2513">
            <w:pPr>
              <w:keepNext/>
              <w:jc w:val="center"/>
              <w:rPr>
                <w:rFonts w:ascii="Calibri" w:hAnsi="Calibri"/>
                <w:b/>
                <w:bCs/>
              </w:rPr>
            </w:pPr>
            <w:r w:rsidRPr="004E50E7">
              <w:rPr>
                <w:rFonts w:ascii="Calibri" w:hAnsi="Calibri"/>
                <w:b/>
                <w:bCs/>
                <w:sz w:val="22"/>
                <w:szCs w:val="22"/>
              </w:rPr>
              <w:t>%</w:t>
            </w:r>
          </w:p>
        </w:tc>
        <w:tc>
          <w:tcPr>
            <w:tcW w:w="1092" w:type="dxa"/>
          </w:tcPr>
          <w:p w14:paraId="3F9EC60E" w14:textId="77777777" w:rsidR="008772FC" w:rsidRPr="004E50E7" w:rsidRDefault="008772FC" w:rsidP="008F2513">
            <w:pPr>
              <w:keepNext/>
              <w:rPr>
                <w:rFonts w:ascii="Calibri" w:hAnsi="Calibri"/>
                <w:b/>
                <w:bCs/>
              </w:rPr>
            </w:pPr>
            <w:r w:rsidRPr="004E50E7">
              <w:rPr>
                <w:rFonts w:ascii="Calibri" w:hAnsi="Calibri"/>
                <w:b/>
                <w:bCs/>
                <w:sz w:val="22"/>
                <w:szCs w:val="22"/>
              </w:rPr>
              <w:t>Number</w:t>
            </w:r>
          </w:p>
        </w:tc>
        <w:tc>
          <w:tcPr>
            <w:tcW w:w="1076" w:type="dxa"/>
          </w:tcPr>
          <w:p w14:paraId="4920CF3E" w14:textId="77777777" w:rsidR="008772FC" w:rsidRPr="004E50E7" w:rsidRDefault="008772FC" w:rsidP="008F2513">
            <w:pPr>
              <w:keepNext/>
              <w:jc w:val="center"/>
              <w:rPr>
                <w:rFonts w:ascii="Calibri" w:hAnsi="Calibri"/>
                <w:b/>
                <w:bCs/>
              </w:rPr>
            </w:pPr>
            <w:r w:rsidRPr="004E50E7">
              <w:rPr>
                <w:rFonts w:ascii="Calibri" w:hAnsi="Calibri"/>
                <w:b/>
                <w:bCs/>
                <w:sz w:val="22"/>
                <w:szCs w:val="22"/>
              </w:rPr>
              <w:t>%</w:t>
            </w:r>
          </w:p>
        </w:tc>
      </w:tr>
      <w:tr w:rsidR="008772FC" w:rsidRPr="004E50E7" w14:paraId="65027598" w14:textId="77777777" w:rsidTr="008F2513">
        <w:trPr>
          <w:gridAfter w:val="1"/>
          <w:wAfter w:w="15" w:type="dxa"/>
        </w:trPr>
        <w:tc>
          <w:tcPr>
            <w:tcW w:w="2016" w:type="dxa"/>
          </w:tcPr>
          <w:p w14:paraId="4F9D81C2" w14:textId="353DC434" w:rsidR="008772FC" w:rsidRPr="004E50E7" w:rsidRDefault="008772FC" w:rsidP="008F2513">
            <w:pPr>
              <w:keepNext/>
              <w:rPr>
                <w:rFonts w:ascii="Calibri" w:hAnsi="Calibri"/>
                <w:sz w:val="20"/>
              </w:rPr>
            </w:pPr>
            <w:r w:rsidRPr="004E50E7">
              <w:rPr>
                <w:rFonts w:ascii="Calibri" w:hAnsi="Calibri"/>
                <w:sz w:val="20"/>
                <w:szCs w:val="22"/>
              </w:rPr>
              <w:t>Less than $</w:t>
            </w:r>
            <w:r w:rsidR="0059779A">
              <w:rPr>
                <w:rFonts w:ascii="Calibri" w:hAnsi="Calibri"/>
                <w:sz w:val="20"/>
                <w:szCs w:val="22"/>
              </w:rPr>
              <w:t>371</w:t>
            </w:r>
            <w:r w:rsidRPr="004E50E7">
              <w:rPr>
                <w:rFonts w:ascii="Calibri" w:hAnsi="Calibri"/>
                <w:sz w:val="20"/>
                <w:szCs w:val="22"/>
              </w:rPr>
              <w:t>,</w:t>
            </w:r>
            <w:r w:rsidR="0059779A">
              <w:rPr>
                <w:rFonts w:ascii="Calibri" w:hAnsi="Calibri"/>
                <w:sz w:val="20"/>
                <w:szCs w:val="22"/>
              </w:rPr>
              <w:t>5</w:t>
            </w:r>
            <w:r w:rsidRPr="004E50E7">
              <w:rPr>
                <w:rFonts w:ascii="Calibri" w:hAnsi="Calibri"/>
                <w:sz w:val="20"/>
                <w:szCs w:val="22"/>
              </w:rPr>
              <w:t>00/</w:t>
            </w:r>
          </w:p>
          <w:p w14:paraId="6887D860" w14:textId="593B9002" w:rsidR="008772FC" w:rsidRPr="004E50E7" w:rsidRDefault="008772FC" w:rsidP="008704AD">
            <w:pPr>
              <w:keepNext/>
              <w:rPr>
                <w:rFonts w:ascii="Calibri" w:hAnsi="Calibri"/>
                <w:sz w:val="20"/>
              </w:rPr>
            </w:pPr>
            <w:r w:rsidRPr="004E50E7">
              <w:rPr>
                <w:rFonts w:ascii="Calibri" w:hAnsi="Calibri"/>
                <w:sz w:val="20"/>
                <w:szCs w:val="22"/>
              </w:rPr>
              <w:t>Less than $</w:t>
            </w:r>
            <w:r w:rsidR="0059779A">
              <w:rPr>
                <w:rFonts w:ascii="Calibri" w:hAnsi="Calibri"/>
                <w:sz w:val="20"/>
                <w:szCs w:val="22"/>
              </w:rPr>
              <w:t>331</w:t>
            </w:r>
            <w:r w:rsidR="008704AD">
              <w:rPr>
                <w:rFonts w:ascii="Calibri" w:hAnsi="Calibri"/>
                <w:sz w:val="20"/>
                <w:szCs w:val="22"/>
              </w:rPr>
              <w:t>,500</w:t>
            </w:r>
          </w:p>
        </w:tc>
        <w:tc>
          <w:tcPr>
            <w:tcW w:w="2183" w:type="dxa"/>
          </w:tcPr>
          <w:p w14:paraId="3E84C01B" w14:textId="77777777" w:rsidR="008772FC" w:rsidRPr="004E50E7" w:rsidRDefault="008772FC" w:rsidP="008F2513">
            <w:pPr>
              <w:keepNext/>
              <w:rPr>
                <w:rFonts w:ascii="Calibri" w:hAnsi="Calibri"/>
                <w:sz w:val="20"/>
              </w:rPr>
            </w:pPr>
            <w:r w:rsidRPr="004E50E7">
              <w:rPr>
                <w:rFonts w:ascii="Calibri" w:hAnsi="Calibri"/>
                <w:sz w:val="20"/>
                <w:szCs w:val="22"/>
              </w:rPr>
              <w:t>Less than 80% AMI</w:t>
            </w:r>
          </w:p>
          <w:p w14:paraId="05CA8E80" w14:textId="77777777" w:rsidR="008772FC" w:rsidRPr="004E50E7" w:rsidRDefault="008772FC" w:rsidP="008F2513">
            <w:pPr>
              <w:keepNext/>
              <w:rPr>
                <w:rFonts w:ascii="Calibri" w:hAnsi="Calibri"/>
                <w:sz w:val="20"/>
              </w:rPr>
            </w:pPr>
          </w:p>
        </w:tc>
        <w:tc>
          <w:tcPr>
            <w:tcW w:w="1201" w:type="dxa"/>
          </w:tcPr>
          <w:p w14:paraId="46C96AF0" w14:textId="7900F754" w:rsidR="008772FC" w:rsidRPr="004E50E7" w:rsidRDefault="00D1026C" w:rsidP="008F2513">
            <w:pPr>
              <w:keepNext/>
              <w:jc w:val="center"/>
              <w:rPr>
                <w:rFonts w:ascii="Calibri" w:hAnsi="Calibri"/>
                <w:sz w:val="20"/>
              </w:rPr>
            </w:pPr>
            <w:r>
              <w:rPr>
                <w:rFonts w:ascii="Calibri" w:hAnsi="Calibri"/>
                <w:sz w:val="20"/>
                <w:szCs w:val="22"/>
              </w:rPr>
              <w:t>8</w:t>
            </w:r>
          </w:p>
        </w:tc>
        <w:tc>
          <w:tcPr>
            <w:tcW w:w="982" w:type="dxa"/>
          </w:tcPr>
          <w:p w14:paraId="381859FF" w14:textId="3742A3E6" w:rsidR="008772FC" w:rsidRPr="004E50E7" w:rsidRDefault="00EF2F38" w:rsidP="008F2513">
            <w:pPr>
              <w:keepNext/>
              <w:jc w:val="center"/>
              <w:rPr>
                <w:rFonts w:ascii="Calibri" w:hAnsi="Calibri"/>
                <w:sz w:val="20"/>
              </w:rPr>
            </w:pPr>
            <w:r>
              <w:rPr>
                <w:rFonts w:ascii="Calibri" w:hAnsi="Calibri"/>
                <w:sz w:val="20"/>
                <w:szCs w:val="22"/>
              </w:rPr>
              <w:t>0.1</w:t>
            </w:r>
          </w:p>
        </w:tc>
        <w:tc>
          <w:tcPr>
            <w:tcW w:w="1092" w:type="dxa"/>
          </w:tcPr>
          <w:p w14:paraId="19415931" w14:textId="2CD30A58" w:rsidR="008772FC" w:rsidRPr="004E50E7" w:rsidRDefault="00F85008" w:rsidP="008F2513">
            <w:pPr>
              <w:keepNext/>
              <w:jc w:val="center"/>
              <w:rPr>
                <w:rFonts w:ascii="Calibri" w:hAnsi="Calibri"/>
                <w:sz w:val="20"/>
              </w:rPr>
            </w:pPr>
            <w:r>
              <w:rPr>
                <w:rFonts w:ascii="Calibri" w:hAnsi="Calibri"/>
                <w:sz w:val="20"/>
                <w:szCs w:val="22"/>
              </w:rPr>
              <w:t>147</w:t>
            </w:r>
          </w:p>
        </w:tc>
        <w:tc>
          <w:tcPr>
            <w:tcW w:w="1076" w:type="dxa"/>
          </w:tcPr>
          <w:p w14:paraId="7B076033" w14:textId="14F23CC4" w:rsidR="008772FC" w:rsidRPr="004E50E7" w:rsidRDefault="00F85008" w:rsidP="008F2513">
            <w:pPr>
              <w:keepNext/>
              <w:jc w:val="center"/>
              <w:rPr>
                <w:rFonts w:ascii="Calibri" w:hAnsi="Calibri"/>
                <w:sz w:val="20"/>
              </w:rPr>
            </w:pPr>
            <w:r>
              <w:rPr>
                <w:rFonts w:ascii="Calibri" w:hAnsi="Calibri"/>
                <w:sz w:val="20"/>
                <w:szCs w:val="22"/>
              </w:rPr>
              <w:t>14.9</w:t>
            </w:r>
          </w:p>
        </w:tc>
      </w:tr>
      <w:tr w:rsidR="00D1026C" w:rsidRPr="004E50E7" w14:paraId="417AD1E7" w14:textId="77777777" w:rsidTr="008F2513">
        <w:trPr>
          <w:gridAfter w:val="1"/>
          <w:wAfter w:w="15" w:type="dxa"/>
        </w:trPr>
        <w:tc>
          <w:tcPr>
            <w:tcW w:w="2016" w:type="dxa"/>
          </w:tcPr>
          <w:p w14:paraId="4A5A66D8" w14:textId="77B9E6ED" w:rsidR="00D1026C" w:rsidRDefault="00D1026C" w:rsidP="008F2513">
            <w:pPr>
              <w:keepNext/>
              <w:rPr>
                <w:rFonts w:ascii="Calibri" w:hAnsi="Calibri"/>
                <w:sz w:val="20"/>
              </w:rPr>
            </w:pPr>
            <w:r>
              <w:rPr>
                <w:rFonts w:ascii="Calibri" w:hAnsi="Calibri"/>
                <w:sz w:val="20"/>
                <w:szCs w:val="22"/>
              </w:rPr>
              <w:t>$371,500-$</w:t>
            </w:r>
            <w:r w:rsidR="006D3E42">
              <w:rPr>
                <w:rFonts w:ascii="Calibri" w:hAnsi="Calibri"/>
                <w:sz w:val="20"/>
                <w:szCs w:val="22"/>
              </w:rPr>
              <w:t>427,000</w:t>
            </w:r>
            <w:r>
              <w:rPr>
                <w:rFonts w:ascii="Calibri" w:hAnsi="Calibri"/>
                <w:sz w:val="20"/>
                <w:szCs w:val="22"/>
              </w:rPr>
              <w:t>/</w:t>
            </w:r>
          </w:p>
          <w:p w14:paraId="6B221A62" w14:textId="77FE0E25" w:rsidR="00D1026C" w:rsidRPr="004E50E7" w:rsidRDefault="00D1026C" w:rsidP="008F2513">
            <w:pPr>
              <w:keepNext/>
              <w:rPr>
                <w:rFonts w:ascii="Calibri" w:hAnsi="Calibri"/>
                <w:sz w:val="20"/>
              </w:rPr>
            </w:pPr>
            <w:r>
              <w:rPr>
                <w:rFonts w:ascii="Calibri" w:hAnsi="Calibri"/>
                <w:sz w:val="20"/>
                <w:szCs w:val="22"/>
              </w:rPr>
              <w:t>$331,500-$</w:t>
            </w:r>
            <w:r w:rsidR="006D3E42">
              <w:rPr>
                <w:rFonts w:ascii="Calibri" w:hAnsi="Calibri"/>
                <w:sz w:val="20"/>
                <w:szCs w:val="22"/>
              </w:rPr>
              <w:t>390,000</w:t>
            </w:r>
          </w:p>
        </w:tc>
        <w:tc>
          <w:tcPr>
            <w:tcW w:w="2183" w:type="dxa"/>
          </w:tcPr>
          <w:p w14:paraId="165B1A3D" w14:textId="612C3BDA" w:rsidR="00D1026C" w:rsidRPr="004E50E7" w:rsidRDefault="00D1026C" w:rsidP="008F2513">
            <w:pPr>
              <w:keepNext/>
              <w:rPr>
                <w:rFonts w:ascii="Calibri" w:hAnsi="Calibri"/>
                <w:sz w:val="20"/>
              </w:rPr>
            </w:pPr>
            <w:r>
              <w:rPr>
                <w:rFonts w:ascii="Calibri" w:hAnsi="Calibri"/>
                <w:sz w:val="20"/>
                <w:szCs w:val="22"/>
              </w:rPr>
              <w:t>80% to 100% AMI</w:t>
            </w:r>
          </w:p>
        </w:tc>
        <w:tc>
          <w:tcPr>
            <w:tcW w:w="1201" w:type="dxa"/>
          </w:tcPr>
          <w:p w14:paraId="400A5AB8" w14:textId="4E605DAF" w:rsidR="00D1026C" w:rsidRPr="004E50E7" w:rsidRDefault="009F3A07" w:rsidP="008F2513">
            <w:pPr>
              <w:keepNext/>
              <w:jc w:val="center"/>
              <w:rPr>
                <w:rFonts w:ascii="Calibri" w:hAnsi="Calibri"/>
                <w:sz w:val="20"/>
              </w:rPr>
            </w:pPr>
            <w:r>
              <w:rPr>
                <w:rFonts w:ascii="Calibri" w:hAnsi="Calibri"/>
                <w:sz w:val="20"/>
                <w:szCs w:val="22"/>
              </w:rPr>
              <w:t>5</w:t>
            </w:r>
          </w:p>
        </w:tc>
        <w:tc>
          <w:tcPr>
            <w:tcW w:w="982" w:type="dxa"/>
          </w:tcPr>
          <w:p w14:paraId="68472666" w14:textId="1C01978E" w:rsidR="00D1026C" w:rsidRPr="004E50E7" w:rsidRDefault="00EF2F38" w:rsidP="008F2513">
            <w:pPr>
              <w:keepNext/>
              <w:jc w:val="center"/>
              <w:rPr>
                <w:rFonts w:ascii="Calibri" w:hAnsi="Calibri"/>
                <w:sz w:val="20"/>
              </w:rPr>
            </w:pPr>
            <w:r>
              <w:rPr>
                <w:rFonts w:ascii="Calibri" w:hAnsi="Calibri"/>
                <w:sz w:val="20"/>
                <w:szCs w:val="22"/>
              </w:rPr>
              <w:t>0.6</w:t>
            </w:r>
          </w:p>
        </w:tc>
        <w:tc>
          <w:tcPr>
            <w:tcW w:w="1092" w:type="dxa"/>
          </w:tcPr>
          <w:p w14:paraId="0C9903EE" w14:textId="2BC830E6" w:rsidR="00D1026C" w:rsidRPr="004E50E7" w:rsidRDefault="00F85008" w:rsidP="008F2513">
            <w:pPr>
              <w:keepNext/>
              <w:jc w:val="center"/>
              <w:rPr>
                <w:rFonts w:ascii="Calibri" w:hAnsi="Calibri"/>
                <w:sz w:val="20"/>
              </w:rPr>
            </w:pPr>
            <w:r>
              <w:rPr>
                <w:rFonts w:ascii="Calibri" w:hAnsi="Calibri"/>
                <w:sz w:val="20"/>
                <w:szCs w:val="22"/>
              </w:rPr>
              <w:t>92</w:t>
            </w:r>
          </w:p>
        </w:tc>
        <w:tc>
          <w:tcPr>
            <w:tcW w:w="1076" w:type="dxa"/>
          </w:tcPr>
          <w:p w14:paraId="65387203" w14:textId="66911930" w:rsidR="00D1026C" w:rsidRPr="004E50E7" w:rsidRDefault="00F85008" w:rsidP="008F2513">
            <w:pPr>
              <w:keepNext/>
              <w:jc w:val="center"/>
              <w:rPr>
                <w:rFonts w:ascii="Calibri" w:hAnsi="Calibri"/>
                <w:sz w:val="20"/>
              </w:rPr>
            </w:pPr>
            <w:r>
              <w:rPr>
                <w:rFonts w:ascii="Calibri" w:hAnsi="Calibri"/>
                <w:sz w:val="20"/>
                <w:szCs w:val="22"/>
              </w:rPr>
              <w:t>9.3</w:t>
            </w:r>
          </w:p>
        </w:tc>
      </w:tr>
      <w:tr w:rsidR="008772FC" w:rsidRPr="004E50E7" w14:paraId="133758AE" w14:textId="77777777" w:rsidTr="008F2513">
        <w:trPr>
          <w:gridAfter w:val="1"/>
          <w:wAfter w:w="15" w:type="dxa"/>
        </w:trPr>
        <w:tc>
          <w:tcPr>
            <w:tcW w:w="2016" w:type="dxa"/>
          </w:tcPr>
          <w:p w14:paraId="2A6625CE" w14:textId="38E0D3AF" w:rsidR="008772FC" w:rsidRPr="004E50E7" w:rsidRDefault="008772FC" w:rsidP="008F2513">
            <w:pPr>
              <w:keepNext/>
              <w:rPr>
                <w:rFonts w:ascii="Calibri" w:hAnsi="Calibri"/>
                <w:sz w:val="20"/>
              </w:rPr>
            </w:pPr>
            <w:r w:rsidRPr="004E50E7">
              <w:rPr>
                <w:rFonts w:ascii="Calibri" w:hAnsi="Calibri"/>
                <w:sz w:val="20"/>
                <w:szCs w:val="22"/>
              </w:rPr>
              <w:t>$</w:t>
            </w:r>
            <w:r w:rsidR="006D3E42">
              <w:rPr>
                <w:rFonts w:ascii="Calibri" w:hAnsi="Calibri"/>
                <w:sz w:val="20"/>
                <w:szCs w:val="22"/>
              </w:rPr>
              <w:t>427,001</w:t>
            </w:r>
            <w:r w:rsidRPr="004E50E7">
              <w:rPr>
                <w:rFonts w:ascii="Calibri" w:hAnsi="Calibri"/>
                <w:sz w:val="20"/>
                <w:szCs w:val="22"/>
              </w:rPr>
              <w:t>-$</w:t>
            </w:r>
            <w:r w:rsidR="00D63DFA">
              <w:rPr>
                <w:rFonts w:ascii="Calibri" w:hAnsi="Calibri"/>
                <w:sz w:val="20"/>
                <w:szCs w:val="22"/>
              </w:rPr>
              <w:t>766,000</w:t>
            </w:r>
            <w:r w:rsidRPr="004E50E7">
              <w:rPr>
                <w:rFonts w:ascii="Calibri" w:hAnsi="Calibri"/>
                <w:sz w:val="20"/>
                <w:szCs w:val="22"/>
              </w:rPr>
              <w:t>/</w:t>
            </w:r>
          </w:p>
          <w:p w14:paraId="2BC524A8" w14:textId="5BA61310" w:rsidR="008772FC" w:rsidRPr="004E50E7" w:rsidRDefault="008772FC" w:rsidP="008704AD">
            <w:pPr>
              <w:keepNext/>
              <w:rPr>
                <w:rFonts w:ascii="Calibri" w:hAnsi="Calibri"/>
                <w:sz w:val="20"/>
              </w:rPr>
            </w:pPr>
            <w:r w:rsidRPr="004E50E7">
              <w:rPr>
                <w:rFonts w:ascii="Calibri" w:hAnsi="Calibri"/>
                <w:sz w:val="20"/>
                <w:szCs w:val="22"/>
              </w:rPr>
              <w:t>$</w:t>
            </w:r>
            <w:r w:rsidR="006D3E42">
              <w:rPr>
                <w:rFonts w:ascii="Calibri" w:hAnsi="Calibri"/>
                <w:sz w:val="20"/>
                <w:szCs w:val="22"/>
              </w:rPr>
              <w:t>390,001</w:t>
            </w:r>
            <w:r w:rsidRPr="004E50E7">
              <w:rPr>
                <w:rFonts w:ascii="Calibri" w:hAnsi="Calibri"/>
                <w:sz w:val="20"/>
                <w:szCs w:val="22"/>
              </w:rPr>
              <w:t>-$</w:t>
            </w:r>
            <w:r w:rsidR="00D63DFA">
              <w:rPr>
                <w:rFonts w:ascii="Calibri" w:hAnsi="Calibri"/>
                <w:sz w:val="20"/>
                <w:szCs w:val="22"/>
              </w:rPr>
              <w:t>733</w:t>
            </w:r>
            <w:r w:rsidRPr="004E50E7">
              <w:rPr>
                <w:rFonts w:ascii="Calibri" w:hAnsi="Calibri"/>
                <w:sz w:val="20"/>
                <w:szCs w:val="22"/>
              </w:rPr>
              <w:t>,000</w:t>
            </w:r>
          </w:p>
        </w:tc>
        <w:tc>
          <w:tcPr>
            <w:tcW w:w="2183" w:type="dxa"/>
          </w:tcPr>
          <w:p w14:paraId="451C0C2F" w14:textId="56A0B296" w:rsidR="008772FC" w:rsidRPr="004E50E7" w:rsidRDefault="00D1026C" w:rsidP="008F2513">
            <w:pPr>
              <w:keepNext/>
              <w:rPr>
                <w:rFonts w:ascii="Calibri" w:hAnsi="Calibri"/>
                <w:sz w:val="20"/>
              </w:rPr>
            </w:pPr>
            <w:r>
              <w:rPr>
                <w:rFonts w:ascii="Calibri" w:hAnsi="Calibri"/>
                <w:sz w:val="20"/>
                <w:szCs w:val="22"/>
              </w:rPr>
              <w:t>10</w:t>
            </w:r>
            <w:r w:rsidR="008772FC" w:rsidRPr="004E50E7">
              <w:rPr>
                <w:rFonts w:ascii="Calibri" w:hAnsi="Calibri"/>
                <w:sz w:val="20"/>
                <w:szCs w:val="22"/>
              </w:rPr>
              <w:t>0%</w:t>
            </w:r>
            <w:r w:rsidR="008704AD">
              <w:rPr>
                <w:rFonts w:ascii="Calibri" w:hAnsi="Calibri"/>
                <w:sz w:val="20"/>
                <w:szCs w:val="22"/>
              </w:rPr>
              <w:t xml:space="preserve"> AMI</w:t>
            </w:r>
            <w:r w:rsidR="008772FC" w:rsidRPr="004E50E7">
              <w:rPr>
                <w:rFonts w:ascii="Calibri" w:hAnsi="Calibri"/>
                <w:sz w:val="20"/>
                <w:szCs w:val="22"/>
              </w:rPr>
              <w:t xml:space="preserve"> </w:t>
            </w:r>
            <w:r w:rsidR="008772FC">
              <w:rPr>
                <w:rFonts w:ascii="Calibri" w:hAnsi="Calibri"/>
                <w:sz w:val="20"/>
                <w:szCs w:val="22"/>
              </w:rPr>
              <w:t>to</w:t>
            </w:r>
            <w:r w:rsidR="008772FC" w:rsidRPr="004E50E7">
              <w:rPr>
                <w:rFonts w:ascii="Calibri" w:hAnsi="Calibri"/>
                <w:sz w:val="20"/>
                <w:szCs w:val="22"/>
              </w:rPr>
              <w:t xml:space="preserve"> </w:t>
            </w:r>
            <w:r w:rsidR="008704AD">
              <w:rPr>
                <w:rFonts w:ascii="Calibri" w:hAnsi="Calibri"/>
                <w:sz w:val="20"/>
                <w:szCs w:val="22"/>
              </w:rPr>
              <w:t xml:space="preserve">Needham’s </w:t>
            </w:r>
            <w:r w:rsidR="008772FC">
              <w:rPr>
                <w:rFonts w:ascii="Calibri" w:hAnsi="Calibri"/>
                <w:sz w:val="20"/>
                <w:szCs w:val="22"/>
              </w:rPr>
              <w:t>median household income</w:t>
            </w:r>
          </w:p>
        </w:tc>
        <w:tc>
          <w:tcPr>
            <w:tcW w:w="1201" w:type="dxa"/>
          </w:tcPr>
          <w:p w14:paraId="7821C98E" w14:textId="77777777" w:rsidR="008772FC" w:rsidRDefault="008772FC" w:rsidP="008F2513">
            <w:pPr>
              <w:keepNext/>
              <w:jc w:val="center"/>
              <w:rPr>
                <w:rFonts w:ascii="Calibri" w:hAnsi="Calibri"/>
                <w:sz w:val="20"/>
              </w:rPr>
            </w:pPr>
          </w:p>
          <w:p w14:paraId="52343665" w14:textId="4E2AA503" w:rsidR="00EF2F38" w:rsidRPr="004E50E7" w:rsidRDefault="00F6119D" w:rsidP="008F2513">
            <w:pPr>
              <w:keepNext/>
              <w:jc w:val="center"/>
              <w:rPr>
                <w:rFonts w:ascii="Calibri" w:hAnsi="Calibri"/>
                <w:sz w:val="20"/>
              </w:rPr>
            </w:pPr>
            <w:r>
              <w:rPr>
                <w:rFonts w:ascii="Calibri" w:hAnsi="Calibri"/>
                <w:sz w:val="20"/>
                <w:szCs w:val="22"/>
              </w:rPr>
              <w:t>3,230</w:t>
            </w:r>
          </w:p>
        </w:tc>
        <w:tc>
          <w:tcPr>
            <w:tcW w:w="982" w:type="dxa"/>
          </w:tcPr>
          <w:p w14:paraId="54FC4EA1" w14:textId="77777777" w:rsidR="002067EB" w:rsidRDefault="002067EB" w:rsidP="008F2513">
            <w:pPr>
              <w:keepNext/>
              <w:jc w:val="center"/>
              <w:rPr>
                <w:rFonts w:ascii="Calibri" w:hAnsi="Calibri"/>
                <w:sz w:val="20"/>
              </w:rPr>
            </w:pPr>
          </w:p>
          <w:p w14:paraId="7B51136E" w14:textId="05562759" w:rsidR="00EF2F38" w:rsidRPr="004E50E7" w:rsidRDefault="00F6119D" w:rsidP="008F2513">
            <w:pPr>
              <w:keepNext/>
              <w:jc w:val="center"/>
              <w:rPr>
                <w:rFonts w:ascii="Calibri" w:hAnsi="Calibri"/>
                <w:sz w:val="20"/>
              </w:rPr>
            </w:pPr>
            <w:r>
              <w:rPr>
                <w:rFonts w:ascii="Calibri" w:hAnsi="Calibri"/>
                <w:sz w:val="20"/>
                <w:szCs w:val="22"/>
              </w:rPr>
              <w:t>38.4</w:t>
            </w:r>
          </w:p>
        </w:tc>
        <w:tc>
          <w:tcPr>
            <w:tcW w:w="1092" w:type="dxa"/>
          </w:tcPr>
          <w:p w14:paraId="4F3306B8" w14:textId="77777777" w:rsidR="002067EB" w:rsidRDefault="002067EB" w:rsidP="008F2513">
            <w:pPr>
              <w:keepNext/>
              <w:jc w:val="center"/>
              <w:rPr>
                <w:rFonts w:ascii="Calibri" w:hAnsi="Calibri"/>
                <w:sz w:val="20"/>
              </w:rPr>
            </w:pPr>
          </w:p>
          <w:p w14:paraId="2F5EB9E7" w14:textId="2902080C" w:rsidR="00F85008" w:rsidRPr="004E50E7" w:rsidRDefault="00F6119D" w:rsidP="008F2513">
            <w:pPr>
              <w:keepNext/>
              <w:jc w:val="center"/>
              <w:rPr>
                <w:rFonts w:ascii="Calibri" w:hAnsi="Calibri"/>
                <w:sz w:val="20"/>
              </w:rPr>
            </w:pPr>
            <w:r>
              <w:rPr>
                <w:rFonts w:ascii="Calibri" w:hAnsi="Calibri"/>
                <w:sz w:val="20"/>
                <w:szCs w:val="22"/>
              </w:rPr>
              <w:t>376</w:t>
            </w:r>
          </w:p>
        </w:tc>
        <w:tc>
          <w:tcPr>
            <w:tcW w:w="1076" w:type="dxa"/>
          </w:tcPr>
          <w:p w14:paraId="7C960DB8" w14:textId="77777777" w:rsidR="002067EB" w:rsidRDefault="002067EB" w:rsidP="008F2513">
            <w:pPr>
              <w:keepNext/>
              <w:jc w:val="center"/>
              <w:rPr>
                <w:rFonts w:ascii="Calibri" w:hAnsi="Calibri"/>
                <w:sz w:val="20"/>
              </w:rPr>
            </w:pPr>
          </w:p>
          <w:p w14:paraId="295A95F3" w14:textId="241522F0" w:rsidR="00F85008" w:rsidRPr="004E50E7" w:rsidRDefault="00F6119D" w:rsidP="008F2513">
            <w:pPr>
              <w:keepNext/>
              <w:jc w:val="center"/>
              <w:rPr>
                <w:rFonts w:ascii="Calibri" w:hAnsi="Calibri"/>
                <w:sz w:val="20"/>
              </w:rPr>
            </w:pPr>
            <w:r>
              <w:rPr>
                <w:rFonts w:ascii="Calibri" w:hAnsi="Calibri"/>
                <w:sz w:val="20"/>
                <w:szCs w:val="22"/>
              </w:rPr>
              <w:t>38.0</w:t>
            </w:r>
          </w:p>
        </w:tc>
      </w:tr>
      <w:tr w:rsidR="008772FC" w:rsidRPr="004E50E7" w14:paraId="1949DABA" w14:textId="77777777" w:rsidTr="008F2513">
        <w:trPr>
          <w:gridAfter w:val="1"/>
          <w:wAfter w:w="15" w:type="dxa"/>
        </w:trPr>
        <w:tc>
          <w:tcPr>
            <w:tcW w:w="2016" w:type="dxa"/>
          </w:tcPr>
          <w:p w14:paraId="4D51D70A" w14:textId="2E809BF6" w:rsidR="008772FC" w:rsidRPr="004E50E7" w:rsidRDefault="008772FC" w:rsidP="008F2513">
            <w:pPr>
              <w:keepNext/>
              <w:rPr>
                <w:rFonts w:ascii="Calibri" w:hAnsi="Calibri"/>
                <w:sz w:val="20"/>
              </w:rPr>
            </w:pPr>
            <w:r w:rsidRPr="004E50E7">
              <w:rPr>
                <w:rFonts w:ascii="Calibri" w:hAnsi="Calibri"/>
                <w:sz w:val="20"/>
                <w:szCs w:val="22"/>
              </w:rPr>
              <w:t>More than $</w:t>
            </w:r>
            <w:r w:rsidR="00D63DFA">
              <w:rPr>
                <w:rFonts w:ascii="Calibri" w:hAnsi="Calibri"/>
                <w:sz w:val="20"/>
                <w:szCs w:val="22"/>
              </w:rPr>
              <w:t>766</w:t>
            </w:r>
            <w:r w:rsidRPr="004E50E7">
              <w:rPr>
                <w:rFonts w:ascii="Calibri" w:hAnsi="Calibri"/>
                <w:sz w:val="20"/>
                <w:szCs w:val="22"/>
              </w:rPr>
              <w:t>,000/</w:t>
            </w:r>
          </w:p>
          <w:p w14:paraId="57B36D94" w14:textId="641FFE56" w:rsidR="008772FC" w:rsidRPr="004E50E7" w:rsidRDefault="008772FC" w:rsidP="008704AD">
            <w:pPr>
              <w:keepNext/>
              <w:rPr>
                <w:rFonts w:ascii="Calibri" w:hAnsi="Calibri"/>
                <w:sz w:val="20"/>
              </w:rPr>
            </w:pPr>
            <w:r w:rsidRPr="004E50E7">
              <w:rPr>
                <w:rFonts w:ascii="Calibri" w:hAnsi="Calibri"/>
                <w:sz w:val="20"/>
                <w:szCs w:val="22"/>
              </w:rPr>
              <w:t>more than $</w:t>
            </w:r>
            <w:r w:rsidR="00D63DFA">
              <w:rPr>
                <w:rFonts w:ascii="Calibri" w:hAnsi="Calibri"/>
                <w:sz w:val="20"/>
                <w:szCs w:val="22"/>
              </w:rPr>
              <w:t>733</w:t>
            </w:r>
            <w:r w:rsidRPr="004E50E7">
              <w:rPr>
                <w:rFonts w:ascii="Calibri" w:hAnsi="Calibri"/>
                <w:sz w:val="20"/>
                <w:szCs w:val="22"/>
              </w:rPr>
              <w:t xml:space="preserve">,000 </w:t>
            </w:r>
          </w:p>
        </w:tc>
        <w:tc>
          <w:tcPr>
            <w:tcW w:w="2183" w:type="dxa"/>
          </w:tcPr>
          <w:p w14:paraId="50B146F0" w14:textId="393FEB8F" w:rsidR="008772FC" w:rsidRPr="004E50E7" w:rsidRDefault="008772FC" w:rsidP="008F2513">
            <w:pPr>
              <w:keepNext/>
              <w:rPr>
                <w:rFonts w:ascii="Calibri" w:hAnsi="Calibri"/>
                <w:sz w:val="20"/>
              </w:rPr>
            </w:pPr>
            <w:r w:rsidRPr="004E50E7">
              <w:rPr>
                <w:rFonts w:ascii="Calibri" w:hAnsi="Calibri"/>
                <w:sz w:val="20"/>
                <w:szCs w:val="22"/>
              </w:rPr>
              <w:t xml:space="preserve">More than </w:t>
            </w:r>
            <w:r w:rsidR="008704AD">
              <w:rPr>
                <w:rFonts w:ascii="Calibri" w:hAnsi="Calibri"/>
                <w:sz w:val="20"/>
                <w:szCs w:val="22"/>
              </w:rPr>
              <w:t xml:space="preserve">Needham’s </w:t>
            </w:r>
            <w:r>
              <w:rPr>
                <w:rFonts w:ascii="Calibri" w:hAnsi="Calibri"/>
                <w:sz w:val="20"/>
                <w:szCs w:val="22"/>
              </w:rPr>
              <w:t>median household income</w:t>
            </w:r>
            <w:r w:rsidRPr="004E50E7">
              <w:rPr>
                <w:rFonts w:ascii="Calibri" w:hAnsi="Calibri"/>
                <w:sz w:val="20"/>
                <w:szCs w:val="22"/>
              </w:rPr>
              <w:t xml:space="preserve"> </w:t>
            </w:r>
          </w:p>
        </w:tc>
        <w:tc>
          <w:tcPr>
            <w:tcW w:w="1201" w:type="dxa"/>
          </w:tcPr>
          <w:p w14:paraId="63C34A78" w14:textId="77777777" w:rsidR="002067EB" w:rsidRDefault="002067EB" w:rsidP="008F2513">
            <w:pPr>
              <w:keepNext/>
              <w:jc w:val="center"/>
              <w:rPr>
                <w:rFonts w:ascii="Calibri" w:hAnsi="Calibri"/>
                <w:sz w:val="20"/>
              </w:rPr>
            </w:pPr>
          </w:p>
          <w:p w14:paraId="2F85AE89" w14:textId="1C4F39CC" w:rsidR="00EF2F38" w:rsidRPr="004E50E7" w:rsidRDefault="00F6119D" w:rsidP="008F2513">
            <w:pPr>
              <w:keepNext/>
              <w:jc w:val="center"/>
              <w:rPr>
                <w:rFonts w:ascii="Calibri" w:hAnsi="Calibri"/>
                <w:sz w:val="20"/>
              </w:rPr>
            </w:pPr>
            <w:r>
              <w:rPr>
                <w:rFonts w:ascii="Calibri" w:hAnsi="Calibri"/>
                <w:sz w:val="20"/>
                <w:szCs w:val="22"/>
              </w:rPr>
              <w:t>5,170</w:t>
            </w:r>
          </w:p>
        </w:tc>
        <w:tc>
          <w:tcPr>
            <w:tcW w:w="982" w:type="dxa"/>
          </w:tcPr>
          <w:p w14:paraId="2926C9D9" w14:textId="77777777" w:rsidR="002067EB" w:rsidRDefault="002067EB" w:rsidP="008F2513">
            <w:pPr>
              <w:keepNext/>
              <w:jc w:val="center"/>
              <w:rPr>
                <w:rFonts w:ascii="Calibri" w:hAnsi="Calibri"/>
                <w:sz w:val="20"/>
              </w:rPr>
            </w:pPr>
          </w:p>
          <w:p w14:paraId="3E63A9DA" w14:textId="7A7DC343" w:rsidR="00EF2F38" w:rsidRPr="004E50E7" w:rsidRDefault="00F6119D" w:rsidP="008F2513">
            <w:pPr>
              <w:keepNext/>
              <w:jc w:val="center"/>
              <w:rPr>
                <w:rFonts w:ascii="Calibri" w:hAnsi="Calibri"/>
                <w:sz w:val="20"/>
              </w:rPr>
            </w:pPr>
            <w:r>
              <w:rPr>
                <w:rFonts w:ascii="Calibri" w:hAnsi="Calibri"/>
                <w:sz w:val="20"/>
                <w:szCs w:val="22"/>
              </w:rPr>
              <w:t>61.4</w:t>
            </w:r>
          </w:p>
        </w:tc>
        <w:tc>
          <w:tcPr>
            <w:tcW w:w="1092" w:type="dxa"/>
          </w:tcPr>
          <w:p w14:paraId="2434118D" w14:textId="77777777" w:rsidR="002067EB" w:rsidRDefault="002067EB" w:rsidP="008F2513">
            <w:pPr>
              <w:keepNext/>
              <w:jc w:val="center"/>
              <w:rPr>
                <w:rFonts w:ascii="Calibri" w:hAnsi="Calibri"/>
                <w:sz w:val="20"/>
              </w:rPr>
            </w:pPr>
          </w:p>
          <w:p w14:paraId="63DB871F" w14:textId="0691E704" w:rsidR="00F85008" w:rsidRPr="004E50E7" w:rsidRDefault="00F6119D" w:rsidP="008F2513">
            <w:pPr>
              <w:keepNext/>
              <w:jc w:val="center"/>
              <w:rPr>
                <w:rFonts w:ascii="Calibri" w:hAnsi="Calibri"/>
                <w:sz w:val="20"/>
              </w:rPr>
            </w:pPr>
            <w:r>
              <w:rPr>
                <w:rFonts w:ascii="Calibri" w:hAnsi="Calibri"/>
                <w:sz w:val="20"/>
                <w:szCs w:val="22"/>
              </w:rPr>
              <w:t>373</w:t>
            </w:r>
          </w:p>
        </w:tc>
        <w:tc>
          <w:tcPr>
            <w:tcW w:w="1076" w:type="dxa"/>
          </w:tcPr>
          <w:p w14:paraId="572EB38A" w14:textId="77777777" w:rsidR="002067EB" w:rsidRDefault="002067EB" w:rsidP="008F2513">
            <w:pPr>
              <w:keepNext/>
              <w:jc w:val="center"/>
              <w:rPr>
                <w:rFonts w:ascii="Calibri" w:hAnsi="Calibri"/>
                <w:sz w:val="20"/>
              </w:rPr>
            </w:pPr>
          </w:p>
          <w:p w14:paraId="3D30EEE7" w14:textId="6CB075A7" w:rsidR="00F85008" w:rsidRPr="004E50E7" w:rsidRDefault="00F6119D" w:rsidP="008F2513">
            <w:pPr>
              <w:keepNext/>
              <w:jc w:val="center"/>
              <w:rPr>
                <w:rFonts w:ascii="Calibri" w:hAnsi="Calibri"/>
                <w:sz w:val="20"/>
              </w:rPr>
            </w:pPr>
            <w:r>
              <w:rPr>
                <w:rFonts w:ascii="Calibri" w:hAnsi="Calibri"/>
                <w:sz w:val="20"/>
                <w:szCs w:val="22"/>
              </w:rPr>
              <w:t>37.8</w:t>
            </w:r>
          </w:p>
        </w:tc>
      </w:tr>
      <w:tr w:rsidR="008772FC" w:rsidRPr="004E50E7" w14:paraId="36D1F9DA" w14:textId="77777777" w:rsidTr="008F2513">
        <w:trPr>
          <w:gridAfter w:val="1"/>
          <w:wAfter w:w="15" w:type="dxa"/>
        </w:trPr>
        <w:tc>
          <w:tcPr>
            <w:tcW w:w="2016" w:type="dxa"/>
          </w:tcPr>
          <w:p w14:paraId="4158DDFF" w14:textId="77777777" w:rsidR="008772FC" w:rsidRPr="004E50E7" w:rsidRDefault="008772FC" w:rsidP="008F2513">
            <w:pPr>
              <w:keepNext/>
              <w:rPr>
                <w:rFonts w:ascii="Calibri" w:hAnsi="Calibri"/>
                <w:b/>
                <w:bCs/>
                <w:sz w:val="20"/>
              </w:rPr>
            </w:pPr>
            <w:r w:rsidRPr="004E50E7">
              <w:rPr>
                <w:rFonts w:ascii="Calibri" w:hAnsi="Calibri"/>
                <w:b/>
                <w:bCs/>
                <w:sz w:val="20"/>
                <w:szCs w:val="22"/>
              </w:rPr>
              <w:t>Total</w:t>
            </w:r>
          </w:p>
        </w:tc>
        <w:tc>
          <w:tcPr>
            <w:tcW w:w="2183" w:type="dxa"/>
          </w:tcPr>
          <w:p w14:paraId="094963F8" w14:textId="77777777" w:rsidR="008772FC" w:rsidRPr="004E50E7" w:rsidRDefault="008772FC" w:rsidP="008F2513">
            <w:pPr>
              <w:keepNext/>
              <w:rPr>
                <w:rFonts w:ascii="Calibri" w:hAnsi="Calibri"/>
                <w:b/>
                <w:bCs/>
                <w:sz w:val="20"/>
              </w:rPr>
            </w:pPr>
          </w:p>
        </w:tc>
        <w:tc>
          <w:tcPr>
            <w:tcW w:w="1201" w:type="dxa"/>
          </w:tcPr>
          <w:p w14:paraId="5F8CDCE3" w14:textId="35BE9DA0" w:rsidR="008772FC" w:rsidRPr="004E50E7" w:rsidRDefault="00D1026C" w:rsidP="008F2513">
            <w:pPr>
              <w:keepNext/>
              <w:jc w:val="center"/>
              <w:rPr>
                <w:rFonts w:ascii="Calibri" w:hAnsi="Calibri"/>
                <w:b/>
                <w:bCs/>
                <w:sz w:val="20"/>
              </w:rPr>
            </w:pPr>
            <w:r>
              <w:rPr>
                <w:rFonts w:ascii="Calibri" w:hAnsi="Calibri"/>
                <w:b/>
                <w:bCs/>
                <w:sz w:val="20"/>
                <w:szCs w:val="22"/>
              </w:rPr>
              <w:t>8,413</w:t>
            </w:r>
          </w:p>
        </w:tc>
        <w:tc>
          <w:tcPr>
            <w:tcW w:w="982" w:type="dxa"/>
          </w:tcPr>
          <w:p w14:paraId="3A02C85B" w14:textId="77777777" w:rsidR="008772FC" w:rsidRPr="004E50E7" w:rsidRDefault="002067EB" w:rsidP="008F2513">
            <w:pPr>
              <w:keepNext/>
              <w:jc w:val="center"/>
              <w:rPr>
                <w:rFonts w:ascii="Calibri" w:hAnsi="Calibri"/>
                <w:b/>
                <w:bCs/>
                <w:sz w:val="20"/>
              </w:rPr>
            </w:pPr>
            <w:r>
              <w:rPr>
                <w:rFonts w:ascii="Calibri" w:hAnsi="Calibri"/>
                <w:b/>
                <w:bCs/>
                <w:sz w:val="20"/>
                <w:szCs w:val="22"/>
              </w:rPr>
              <w:t>100.0</w:t>
            </w:r>
          </w:p>
        </w:tc>
        <w:tc>
          <w:tcPr>
            <w:tcW w:w="1092" w:type="dxa"/>
          </w:tcPr>
          <w:p w14:paraId="17CD275F" w14:textId="69CDD5A5" w:rsidR="008772FC" w:rsidRPr="004E50E7" w:rsidRDefault="00D1026C" w:rsidP="008F2513">
            <w:pPr>
              <w:keepNext/>
              <w:jc w:val="center"/>
              <w:rPr>
                <w:rFonts w:ascii="Calibri" w:hAnsi="Calibri"/>
                <w:b/>
                <w:bCs/>
                <w:sz w:val="20"/>
              </w:rPr>
            </w:pPr>
            <w:r>
              <w:rPr>
                <w:rFonts w:ascii="Calibri" w:hAnsi="Calibri"/>
                <w:b/>
                <w:bCs/>
                <w:sz w:val="20"/>
                <w:szCs w:val="22"/>
              </w:rPr>
              <w:t>988</w:t>
            </w:r>
          </w:p>
        </w:tc>
        <w:tc>
          <w:tcPr>
            <w:tcW w:w="1076" w:type="dxa"/>
          </w:tcPr>
          <w:p w14:paraId="346C38F6" w14:textId="77777777" w:rsidR="008772FC" w:rsidRPr="004E50E7" w:rsidRDefault="002067EB" w:rsidP="008F2513">
            <w:pPr>
              <w:keepNext/>
              <w:jc w:val="center"/>
              <w:rPr>
                <w:rFonts w:ascii="Calibri" w:hAnsi="Calibri"/>
                <w:b/>
                <w:bCs/>
                <w:sz w:val="20"/>
              </w:rPr>
            </w:pPr>
            <w:r>
              <w:rPr>
                <w:rFonts w:ascii="Calibri" w:hAnsi="Calibri"/>
                <w:b/>
                <w:bCs/>
                <w:sz w:val="20"/>
                <w:szCs w:val="22"/>
              </w:rPr>
              <w:t>100.0</w:t>
            </w:r>
          </w:p>
        </w:tc>
      </w:tr>
    </w:tbl>
    <w:p w14:paraId="306AFAC9" w14:textId="455D1B63" w:rsidR="008772FC" w:rsidRPr="004E50E7" w:rsidRDefault="008772FC" w:rsidP="00615DA4">
      <w:pPr>
        <w:pStyle w:val="TOCBase"/>
        <w:keepNext/>
        <w:tabs>
          <w:tab w:val="clear" w:pos="6480"/>
        </w:tabs>
        <w:spacing w:after="0" w:line="240" w:lineRule="auto"/>
        <w:jc w:val="both"/>
        <w:rPr>
          <w:rFonts w:ascii="Calibri" w:hAnsi="Calibri"/>
        </w:rPr>
      </w:pPr>
      <w:r w:rsidRPr="004E50E7">
        <w:rPr>
          <w:rFonts w:ascii="Calibri" w:hAnsi="Calibri"/>
        </w:rPr>
        <w:t xml:space="preserve"> Source: Needham Assessor’s Database for </w:t>
      </w:r>
      <w:r w:rsidR="004A6BCF">
        <w:rPr>
          <w:rFonts w:ascii="Calibri" w:hAnsi="Calibri"/>
        </w:rPr>
        <w:t>FY</w:t>
      </w:r>
      <w:r w:rsidR="00F625AE">
        <w:rPr>
          <w:rFonts w:ascii="Calibri" w:hAnsi="Calibri"/>
        </w:rPr>
        <w:t>2</w:t>
      </w:r>
      <w:r w:rsidR="0059779A">
        <w:rPr>
          <w:rFonts w:ascii="Calibri" w:hAnsi="Calibri"/>
        </w:rPr>
        <w:t>2</w:t>
      </w:r>
      <w:r>
        <w:rPr>
          <w:rFonts w:ascii="Calibri" w:hAnsi="Calibri"/>
        </w:rPr>
        <w:t xml:space="preserve">.  </w:t>
      </w:r>
      <w:r w:rsidRPr="004E50E7">
        <w:rPr>
          <w:rFonts w:ascii="Calibri" w:hAnsi="Calibri"/>
        </w:rPr>
        <w:t xml:space="preserve">Figures based on a three-person household. </w:t>
      </w:r>
    </w:p>
    <w:p w14:paraId="1323BBA7" w14:textId="77777777" w:rsidR="008772FC" w:rsidRPr="004E50E7" w:rsidRDefault="008772FC" w:rsidP="00615DA4">
      <w:pPr>
        <w:pStyle w:val="TOCBase"/>
        <w:keepNext/>
        <w:tabs>
          <w:tab w:val="clear" w:pos="6480"/>
        </w:tabs>
        <w:spacing w:after="0" w:line="240" w:lineRule="auto"/>
        <w:jc w:val="both"/>
        <w:rPr>
          <w:rFonts w:ascii="Calibri" w:hAnsi="Calibri"/>
          <w:szCs w:val="22"/>
        </w:rPr>
      </w:pPr>
      <w:r w:rsidRPr="004E50E7">
        <w:rPr>
          <w:rFonts w:ascii="Calibri" w:hAnsi="Calibri"/>
          <w:szCs w:val="22"/>
        </w:rPr>
        <w:t>* Includes estimated condo fee of $300 per month and figures are based on 80% financing with the exception of the less than 80% AMI category where households could possibly qualify for subsidized mortgage programs where 95%/97% financing is available.</w:t>
      </w:r>
    </w:p>
    <w:p w14:paraId="5CE2A5D8" w14:textId="77777777" w:rsidR="008772FC" w:rsidRPr="004E50E7" w:rsidRDefault="008772FC" w:rsidP="00615DA4">
      <w:pPr>
        <w:pStyle w:val="BodyTextIndent"/>
        <w:spacing w:after="0"/>
        <w:ind w:left="0" w:right="-720"/>
        <w:jc w:val="both"/>
        <w:rPr>
          <w:rFonts w:ascii="Calibri" w:hAnsi="Calibri"/>
        </w:rPr>
      </w:pPr>
    </w:p>
    <w:p w14:paraId="4F20A87A" w14:textId="25FE2549" w:rsidR="008772FC" w:rsidRDefault="008772FC" w:rsidP="00615DA4">
      <w:pPr>
        <w:pStyle w:val="BodyText2"/>
        <w:spacing w:after="0" w:line="240" w:lineRule="auto"/>
        <w:jc w:val="both"/>
        <w:rPr>
          <w:rFonts w:ascii="Calibri" w:hAnsi="Calibri"/>
          <w:sz w:val="22"/>
          <w:szCs w:val="22"/>
        </w:rPr>
      </w:pPr>
      <w:r w:rsidRPr="00876ECA">
        <w:rPr>
          <w:rFonts w:ascii="Calibri" w:hAnsi="Calibri"/>
          <w:sz w:val="22"/>
          <w:szCs w:val="22"/>
        </w:rPr>
        <w:t>Table</w:t>
      </w:r>
      <w:r w:rsidR="002D5C91">
        <w:rPr>
          <w:rFonts w:ascii="Calibri" w:hAnsi="Calibri"/>
          <w:sz w:val="22"/>
          <w:szCs w:val="22"/>
        </w:rPr>
        <w:t xml:space="preserve"> III-</w:t>
      </w:r>
      <w:r w:rsidR="001F43B8">
        <w:rPr>
          <w:rFonts w:ascii="Calibri" w:hAnsi="Calibri"/>
          <w:sz w:val="22"/>
          <w:szCs w:val="22"/>
        </w:rPr>
        <w:t>39</w:t>
      </w:r>
      <w:r w:rsidRPr="00876ECA">
        <w:rPr>
          <w:rFonts w:ascii="Calibri" w:hAnsi="Calibri"/>
          <w:sz w:val="22"/>
          <w:szCs w:val="22"/>
        </w:rPr>
        <w:t xml:space="preserve"> demonstrates a substantial need for more affordable homeownership opportunities in Needham for those earning at or below 80% AMI</w:t>
      </w:r>
      <w:r w:rsidR="002D5C91">
        <w:rPr>
          <w:rFonts w:ascii="Calibri" w:hAnsi="Calibri"/>
          <w:sz w:val="22"/>
          <w:szCs w:val="22"/>
        </w:rPr>
        <w:t xml:space="preserve"> with even a deficit in units for those with incomes in the 80</w:t>
      </w:r>
      <w:r w:rsidR="005A244C">
        <w:rPr>
          <w:rFonts w:ascii="Calibri" w:hAnsi="Calibri"/>
          <w:sz w:val="22"/>
          <w:szCs w:val="22"/>
        </w:rPr>
        <w:t>%</w:t>
      </w:r>
      <w:r w:rsidR="002D5C91">
        <w:rPr>
          <w:rFonts w:ascii="Calibri" w:hAnsi="Calibri"/>
          <w:sz w:val="22"/>
          <w:szCs w:val="22"/>
        </w:rPr>
        <w:t xml:space="preserve"> to 100% AMI range</w:t>
      </w:r>
      <w:r w:rsidRPr="00876ECA">
        <w:rPr>
          <w:rFonts w:ascii="Calibri" w:hAnsi="Calibri"/>
          <w:sz w:val="22"/>
          <w:szCs w:val="22"/>
        </w:rPr>
        <w:t>.  These calculations suggest that of the 1,0</w:t>
      </w:r>
      <w:r w:rsidR="002D5C91">
        <w:rPr>
          <w:rFonts w:ascii="Calibri" w:hAnsi="Calibri"/>
          <w:sz w:val="22"/>
          <w:szCs w:val="22"/>
        </w:rPr>
        <w:t>60</w:t>
      </w:r>
      <w:r w:rsidRPr="00876ECA">
        <w:rPr>
          <w:rFonts w:ascii="Calibri" w:hAnsi="Calibri"/>
          <w:sz w:val="22"/>
          <w:szCs w:val="22"/>
        </w:rPr>
        <w:t xml:space="preserve"> owner households who were estimated to have earned at or below 80% AMI in 201</w:t>
      </w:r>
      <w:r w:rsidR="002D5C91">
        <w:rPr>
          <w:rFonts w:ascii="Calibri" w:hAnsi="Calibri"/>
          <w:sz w:val="22"/>
          <w:szCs w:val="22"/>
        </w:rPr>
        <w:t>8</w:t>
      </w:r>
      <w:r w:rsidR="000C4991">
        <w:rPr>
          <w:rFonts w:ascii="Calibri" w:hAnsi="Calibri"/>
          <w:sz w:val="22"/>
          <w:szCs w:val="22"/>
        </w:rPr>
        <w:t xml:space="preserve"> (latest report available)</w:t>
      </w:r>
      <w:r w:rsidRPr="00876ECA">
        <w:rPr>
          <w:rFonts w:ascii="Calibri" w:hAnsi="Calibri"/>
          <w:sz w:val="22"/>
          <w:szCs w:val="22"/>
        </w:rPr>
        <w:t xml:space="preserve">, there were only </w:t>
      </w:r>
      <w:r w:rsidR="002D5C91">
        <w:rPr>
          <w:rFonts w:ascii="Calibri" w:hAnsi="Calibri"/>
          <w:sz w:val="22"/>
          <w:szCs w:val="22"/>
        </w:rPr>
        <w:t>eight</w:t>
      </w:r>
      <w:r w:rsidRPr="00876ECA">
        <w:rPr>
          <w:rFonts w:ascii="Calibri" w:hAnsi="Calibri"/>
          <w:sz w:val="22"/>
          <w:szCs w:val="22"/>
        </w:rPr>
        <w:t xml:space="preserve"> single-family homes and </w:t>
      </w:r>
      <w:r w:rsidR="00E32319">
        <w:rPr>
          <w:rFonts w:ascii="Calibri" w:hAnsi="Calibri"/>
          <w:sz w:val="22"/>
          <w:szCs w:val="22"/>
        </w:rPr>
        <w:t>1</w:t>
      </w:r>
      <w:r w:rsidR="002D5C91">
        <w:rPr>
          <w:rFonts w:ascii="Calibri" w:hAnsi="Calibri"/>
          <w:sz w:val="22"/>
          <w:szCs w:val="22"/>
        </w:rPr>
        <w:t>47</w:t>
      </w:r>
      <w:r w:rsidRPr="00876ECA">
        <w:rPr>
          <w:rFonts w:ascii="Calibri" w:hAnsi="Calibri"/>
          <w:sz w:val="22"/>
          <w:szCs w:val="22"/>
        </w:rPr>
        <w:t xml:space="preserve"> condo</w:t>
      </w:r>
      <w:r w:rsidR="00B651F5">
        <w:rPr>
          <w:rFonts w:ascii="Calibri" w:hAnsi="Calibri"/>
          <w:sz w:val="22"/>
          <w:szCs w:val="22"/>
        </w:rPr>
        <w:t>minium unit</w:t>
      </w:r>
      <w:r w:rsidRPr="00876ECA">
        <w:rPr>
          <w:rFonts w:ascii="Calibri" w:hAnsi="Calibri"/>
          <w:sz w:val="22"/>
          <w:szCs w:val="22"/>
        </w:rPr>
        <w:t xml:space="preserve">s that would have been affordable to them based on </w:t>
      </w:r>
      <w:r w:rsidR="002159E9">
        <w:rPr>
          <w:rFonts w:ascii="Calibri" w:hAnsi="Calibri"/>
          <w:sz w:val="22"/>
          <w:szCs w:val="22"/>
        </w:rPr>
        <w:t>FY2</w:t>
      </w:r>
      <w:r w:rsidR="002D5C91">
        <w:rPr>
          <w:rFonts w:ascii="Calibri" w:hAnsi="Calibri"/>
          <w:sz w:val="22"/>
          <w:szCs w:val="22"/>
        </w:rPr>
        <w:t>2</w:t>
      </w:r>
      <w:r w:rsidRPr="00876ECA">
        <w:rPr>
          <w:rFonts w:ascii="Calibri" w:hAnsi="Calibri"/>
          <w:sz w:val="22"/>
          <w:szCs w:val="22"/>
        </w:rPr>
        <w:t xml:space="preserve"> assessed values</w:t>
      </w:r>
      <w:r w:rsidR="004A6BCF">
        <w:rPr>
          <w:rFonts w:ascii="Calibri" w:hAnsi="Calibri"/>
          <w:sz w:val="22"/>
          <w:szCs w:val="22"/>
        </w:rPr>
        <w:t xml:space="preserve"> and other assumptions listed in Table</w:t>
      </w:r>
      <w:r w:rsidR="006329F6">
        <w:rPr>
          <w:rFonts w:ascii="Calibri" w:hAnsi="Calibri"/>
          <w:sz w:val="22"/>
          <w:szCs w:val="22"/>
        </w:rPr>
        <w:t xml:space="preserve"> III-</w:t>
      </w:r>
      <w:r w:rsidR="004A6BCF">
        <w:rPr>
          <w:rFonts w:ascii="Calibri" w:hAnsi="Calibri"/>
          <w:sz w:val="22"/>
          <w:szCs w:val="22"/>
        </w:rPr>
        <w:t>36</w:t>
      </w:r>
      <w:r w:rsidR="006329F6">
        <w:rPr>
          <w:rFonts w:ascii="Calibri" w:hAnsi="Calibri"/>
          <w:sz w:val="22"/>
          <w:szCs w:val="22"/>
        </w:rPr>
        <w:t>, including spending no more than 30% of income on housing costs</w:t>
      </w:r>
      <w:r w:rsidRPr="00876ECA">
        <w:rPr>
          <w:rFonts w:ascii="Calibri" w:hAnsi="Calibri"/>
          <w:sz w:val="22"/>
          <w:szCs w:val="22"/>
        </w:rPr>
        <w:t xml:space="preserve">.  </w:t>
      </w:r>
    </w:p>
    <w:p w14:paraId="6280849A" w14:textId="776BF257" w:rsidR="00461FE0" w:rsidRDefault="00461FE0" w:rsidP="00615DA4">
      <w:pPr>
        <w:pStyle w:val="BodyText2"/>
        <w:spacing w:after="0" w:line="240" w:lineRule="auto"/>
        <w:jc w:val="both"/>
        <w:rPr>
          <w:rFonts w:ascii="Calibri" w:hAnsi="Calibri"/>
          <w:sz w:val="22"/>
          <w:szCs w:val="22"/>
        </w:rPr>
      </w:pPr>
    </w:p>
    <w:p w14:paraId="32EC248A" w14:textId="27AE908D" w:rsidR="008772FC" w:rsidRPr="00876ECA" w:rsidRDefault="008772FC" w:rsidP="008772FC">
      <w:pPr>
        <w:pStyle w:val="BodyText2"/>
        <w:spacing w:after="0" w:line="240" w:lineRule="auto"/>
        <w:jc w:val="center"/>
        <w:rPr>
          <w:rFonts w:ascii="Calibri" w:hAnsi="Calibri"/>
          <w:b/>
          <w:bCs/>
          <w:sz w:val="22"/>
          <w:szCs w:val="22"/>
        </w:rPr>
      </w:pPr>
      <w:r w:rsidRPr="00876ECA">
        <w:rPr>
          <w:rFonts w:ascii="Calibri" w:hAnsi="Calibri"/>
          <w:b/>
          <w:bCs/>
          <w:sz w:val="22"/>
          <w:szCs w:val="22"/>
        </w:rPr>
        <w:t xml:space="preserve">Table </w:t>
      </w:r>
      <w:r w:rsidR="00D63DFA">
        <w:rPr>
          <w:rFonts w:ascii="Calibri" w:hAnsi="Calibri"/>
          <w:b/>
          <w:bCs/>
          <w:sz w:val="22"/>
          <w:szCs w:val="22"/>
        </w:rPr>
        <w:t>III-</w:t>
      </w:r>
      <w:r w:rsidR="001F43B8">
        <w:rPr>
          <w:rFonts w:ascii="Calibri" w:hAnsi="Calibri"/>
          <w:b/>
          <w:bCs/>
          <w:sz w:val="22"/>
          <w:szCs w:val="22"/>
        </w:rPr>
        <w:t>39</w:t>
      </w:r>
      <w:r w:rsidRPr="00876ECA">
        <w:rPr>
          <w:rFonts w:ascii="Calibri" w:hAnsi="Calibri"/>
          <w:b/>
          <w:bCs/>
          <w:sz w:val="22"/>
          <w:szCs w:val="22"/>
        </w:rPr>
        <w:t xml:space="preserve">: Homeownership Need Analysis, </w:t>
      </w:r>
      <w:r w:rsidR="002D5C91">
        <w:rPr>
          <w:rFonts w:ascii="Calibri" w:hAnsi="Calibri"/>
          <w:b/>
          <w:bCs/>
          <w:sz w:val="22"/>
          <w:szCs w:val="22"/>
        </w:rPr>
        <w:t>FY 2022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009"/>
        <w:gridCol w:w="1929"/>
        <w:gridCol w:w="1449"/>
        <w:gridCol w:w="1557"/>
        <w:gridCol w:w="1436"/>
      </w:tblGrid>
      <w:tr w:rsidR="008772FC" w:rsidRPr="004E50E7" w14:paraId="35D9B825" w14:textId="77777777" w:rsidTr="00FD2AFC">
        <w:tc>
          <w:tcPr>
            <w:tcW w:w="1548" w:type="dxa"/>
          </w:tcPr>
          <w:p w14:paraId="2842A245" w14:textId="77777777" w:rsidR="008772FC" w:rsidRPr="004E50E7" w:rsidRDefault="008772FC" w:rsidP="008F2513">
            <w:pPr>
              <w:jc w:val="both"/>
              <w:rPr>
                <w:rFonts w:ascii="Calibri" w:hAnsi="Calibri"/>
                <w:b/>
                <w:bCs/>
              </w:rPr>
            </w:pPr>
            <w:r w:rsidRPr="004E50E7">
              <w:rPr>
                <w:rFonts w:ascii="Calibri" w:hAnsi="Calibri"/>
                <w:b/>
                <w:bCs/>
                <w:sz w:val="22"/>
              </w:rPr>
              <w:t>Income Group</w:t>
            </w:r>
          </w:p>
        </w:tc>
        <w:tc>
          <w:tcPr>
            <w:tcW w:w="1009" w:type="dxa"/>
          </w:tcPr>
          <w:p w14:paraId="1F57E645" w14:textId="77777777" w:rsidR="008772FC" w:rsidRPr="004E50E7" w:rsidRDefault="008772FC" w:rsidP="008F2513">
            <w:pPr>
              <w:jc w:val="both"/>
              <w:rPr>
                <w:rFonts w:ascii="Calibri" w:hAnsi="Calibri"/>
                <w:b/>
                <w:bCs/>
              </w:rPr>
            </w:pPr>
            <w:r w:rsidRPr="004E50E7">
              <w:rPr>
                <w:rFonts w:ascii="Calibri" w:hAnsi="Calibri"/>
                <w:b/>
                <w:bCs/>
                <w:sz w:val="22"/>
              </w:rPr>
              <w:t>Income Range*</w:t>
            </w:r>
          </w:p>
        </w:tc>
        <w:tc>
          <w:tcPr>
            <w:tcW w:w="1929" w:type="dxa"/>
          </w:tcPr>
          <w:p w14:paraId="0A299732" w14:textId="77777777" w:rsidR="008772FC" w:rsidRPr="004E50E7" w:rsidRDefault="008772FC" w:rsidP="008F2513">
            <w:pPr>
              <w:rPr>
                <w:rFonts w:ascii="Calibri" w:hAnsi="Calibri"/>
                <w:b/>
                <w:bCs/>
              </w:rPr>
            </w:pPr>
            <w:r w:rsidRPr="004E50E7">
              <w:rPr>
                <w:rFonts w:ascii="Calibri" w:hAnsi="Calibri"/>
                <w:b/>
                <w:bCs/>
                <w:sz w:val="22"/>
              </w:rPr>
              <w:t>Affordable Sales Prices Single-family/Condos**</w:t>
            </w:r>
          </w:p>
        </w:tc>
        <w:tc>
          <w:tcPr>
            <w:tcW w:w="1449" w:type="dxa"/>
          </w:tcPr>
          <w:p w14:paraId="789A207E" w14:textId="77777777" w:rsidR="008772FC" w:rsidRPr="004E50E7" w:rsidRDefault="008772FC" w:rsidP="008F2513">
            <w:pPr>
              <w:rPr>
                <w:rFonts w:ascii="Calibri" w:hAnsi="Calibri"/>
                <w:b/>
                <w:bCs/>
              </w:rPr>
            </w:pPr>
            <w:r w:rsidRPr="004E50E7">
              <w:rPr>
                <w:rFonts w:ascii="Calibri" w:hAnsi="Calibri"/>
                <w:b/>
                <w:bCs/>
                <w:sz w:val="22"/>
              </w:rPr>
              <w:t># Owner</w:t>
            </w:r>
          </w:p>
          <w:p w14:paraId="4BDD7EFA" w14:textId="77777777" w:rsidR="008772FC" w:rsidRPr="004E50E7" w:rsidRDefault="008772FC" w:rsidP="008F2513">
            <w:pPr>
              <w:rPr>
                <w:rFonts w:ascii="Calibri" w:hAnsi="Calibri"/>
                <w:b/>
                <w:bCs/>
              </w:rPr>
            </w:pPr>
            <w:r w:rsidRPr="004E50E7">
              <w:rPr>
                <w:rFonts w:ascii="Calibri" w:hAnsi="Calibri"/>
                <w:b/>
                <w:bCs/>
                <w:sz w:val="22"/>
              </w:rPr>
              <w:t>Households</w:t>
            </w:r>
          </w:p>
          <w:p w14:paraId="0B5D2ABE" w14:textId="77777777" w:rsidR="008772FC" w:rsidRPr="004E50E7" w:rsidRDefault="008772FC" w:rsidP="008F2513">
            <w:pPr>
              <w:rPr>
                <w:rFonts w:ascii="Calibri" w:hAnsi="Calibri"/>
                <w:b/>
                <w:bCs/>
              </w:rPr>
            </w:pPr>
            <w:r w:rsidRPr="004E50E7">
              <w:rPr>
                <w:rFonts w:ascii="Calibri" w:hAnsi="Calibri"/>
                <w:b/>
                <w:bCs/>
                <w:sz w:val="22"/>
              </w:rPr>
              <w:t>***</w:t>
            </w:r>
          </w:p>
        </w:tc>
        <w:tc>
          <w:tcPr>
            <w:tcW w:w="1557" w:type="dxa"/>
          </w:tcPr>
          <w:p w14:paraId="103D8069" w14:textId="77777777" w:rsidR="008772FC" w:rsidRPr="004E50E7" w:rsidRDefault="008772FC" w:rsidP="008F2513">
            <w:pPr>
              <w:rPr>
                <w:rFonts w:ascii="Calibri" w:hAnsi="Calibri"/>
                <w:b/>
                <w:bCs/>
              </w:rPr>
            </w:pPr>
            <w:r w:rsidRPr="004E50E7">
              <w:rPr>
                <w:rFonts w:ascii="Calibri" w:hAnsi="Calibri"/>
                <w:b/>
                <w:bCs/>
                <w:sz w:val="22"/>
              </w:rPr>
              <w:t># Existing Units Single-family/Condos</w:t>
            </w:r>
          </w:p>
          <w:p w14:paraId="2273F744" w14:textId="47567EFB" w:rsidR="008772FC" w:rsidRPr="004E50E7" w:rsidRDefault="008772FC" w:rsidP="008F2513">
            <w:pPr>
              <w:rPr>
                <w:rFonts w:ascii="Calibri" w:hAnsi="Calibri"/>
                <w:b/>
                <w:bCs/>
              </w:rPr>
            </w:pPr>
          </w:p>
        </w:tc>
        <w:tc>
          <w:tcPr>
            <w:tcW w:w="1436" w:type="dxa"/>
          </w:tcPr>
          <w:p w14:paraId="55E1AB3E" w14:textId="77777777" w:rsidR="008772FC" w:rsidRPr="004E50E7" w:rsidRDefault="008772FC" w:rsidP="008F2513">
            <w:pPr>
              <w:rPr>
                <w:rFonts w:ascii="Calibri" w:hAnsi="Calibri"/>
                <w:b/>
                <w:bCs/>
              </w:rPr>
            </w:pPr>
            <w:r w:rsidRPr="004E50E7">
              <w:rPr>
                <w:rFonts w:ascii="Calibri" w:hAnsi="Calibri"/>
                <w:b/>
                <w:bCs/>
                <w:sz w:val="22"/>
              </w:rPr>
              <w:t>Deficit -/</w:t>
            </w:r>
          </w:p>
          <w:p w14:paraId="4D734490" w14:textId="77777777" w:rsidR="008772FC" w:rsidRPr="004E50E7" w:rsidRDefault="008772FC" w:rsidP="008F2513">
            <w:pPr>
              <w:rPr>
                <w:rFonts w:ascii="Calibri" w:hAnsi="Calibri"/>
                <w:b/>
                <w:bCs/>
              </w:rPr>
            </w:pPr>
            <w:r w:rsidRPr="004E50E7">
              <w:rPr>
                <w:rFonts w:ascii="Calibri" w:hAnsi="Calibri"/>
                <w:b/>
                <w:bCs/>
                <w:sz w:val="22"/>
              </w:rPr>
              <w:t xml:space="preserve">Surplus + </w:t>
            </w:r>
          </w:p>
          <w:p w14:paraId="5A1A1663" w14:textId="77777777" w:rsidR="008772FC" w:rsidRPr="004E50E7" w:rsidRDefault="008772FC" w:rsidP="008F2513">
            <w:pPr>
              <w:rPr>
                <w:rFonts w:ascii="Calibri" w:hAnsi="Calibri"/>
                <w:b/>
                <w:bCs/>
              </w:rPr>
            </w:pPr>
            <w:r w:rsidRPr="004E50E7">
              <w:rPr>
                <w:rFonts w:ascii="Calibri" w:hAnsi="Calibri"/>
                <w:b/>
                <w:bCs/>
                <w:sz w:val="22"/>
              </w:rPr>
              <w:t>Single-family + Condos</w:t>
            </w:r>
          </w:p>
        </w:tc>
      </w:tr>
      <w:tr w:rsidR="008772FC" w:rsidRPr="00427669" w14:paraId="4652BD3A" w14:textId="77777777" w:rsidTr="00FD2AFC">
        <w:tc>
          <w:tcPr>
            <w:tcW w:w="1548" w:type="dxa"/>
          </w:tcPr>
          <w:p w14:paraId="7C7A37A8" w14:textId="77777777" w:rsidR="008772FC" w:rsidRPr="00427669" w:rsidRDefault="008772FC" w:rsidP="008F2513">
            <w:pPr>
              <w:rPr>
                <w:rFonts w:ascii="Calibri" w:hAnsi="Calibri"/>
                <w:sz w:val="20"/>
                <w:szCs w:val="20"/>
              </w:rPr>
            </w:pPr>
            <w:r w:rsidRPr="00427669">
              <w:rPr>
                <w:rFonts w:ascii="Calibri" w:hAnsi="Calibri"/>
                <w:sz w:val="20"/>
                <w:szCs w:val="20"/>
              </w:rPr>
              <w:t>Less than 80% AMI</w:t>
            </w:r>
          </w:p>
        </w:tc>
        <w:tc>
          <w:tcPr>
            <w:tcW w:w="1009" w:type="dxa"/>
          </w:tcPr>
          <w:p w14:paraId="7BC8BC2E" w14:textId="45D4AB8B" w:rsidR="00461FE0" w:rsidRDefault="00461FE0" w:rsidP="00FD2AFC">
            <w:pPr>
              <w:rPr>
                <w:rFonts w:ascii="Calibri" w:hAnsi="Calibri"/>
                <w:sz w:val="20"/>
                <w:szCs w:val="20"/>
              </w:rPr>
            </w:pPr>
            <w:r>
              <w:rPr>
                <w:rFonts w:ascii="Calibri" w:hAnsi="Calibri"/>
                <w:sz w:val="20"/>
                <w:szCs w:val="20"/>
              </w:rPr>
              <w:t>Less than</w:t>
            </w:r>
          </w:p>
          <w:p w14:paraId="77B62E86" w14:textId="7CD468E3" w:rsidR="008772FC" w:rsidRPr="00427669" w:rsidRDefault="008772FC" w:rsidP="00FD2AFC">
            <w:pPr>
              <w:rPr>
                <w:rFonts w:ascii="Calibri" w:hAnsi="Calibri"/>
                <w:sz w:val="20"/>
                <w:szCs w:val="20"/>
              </w:rPr>
            </w:pPr>
            <w:r w:rsidRPr="00427669">
              <w:rPr>
                <w:rFonts w:ascii="Calibri" w:hAnsi="Calibri"/>
                <w:sz w:val="20"/>
                <w:szCs w:val="20"/>
              </w:rPr>
              <w:t>$</w:t>
            </w:r>
            <w:r w:rsidR="00461FE0">
              <w:rPr>
                <w:rFonts w:ascii="Calibri" w:hAnsi="Calibri"/>
                <w:sz w:val="20"/>
                <w:szCs w:val="20"/>
              </w:rPr>
              <w:t>90,950</w:t>
            </w:r>
            <w:r w:rsidRPr="00427669">
              <w:rPr>
                <w:rFonts w:ascii="Calibri" w:hAnsi="Calibri"/>
                <w:sz w:val="20"/>
                <w:szCs w:val="20"/>
              </w:rPr>
              <w:t xml:space="preserve"> </w:t>
            </w:r>
          </w:p>
        </w:tc>
        <w:tc>
          <w:tcPr>
            <w:tcW w:w="1929" w:type="dxa"/>
          </w:tcPr>
          <w:p w14:paraId="2323CCAF" w14:textId="7FAEE08E" w:rsidR="00FD2AFC" w:rsidRDefault="008772FC" w:rsidP="008F2513">
            <w:pPr>
              <w:rPr>
                <w:rFonts w:ascii="Calibri" w:hAnsi="Calibri"/>
                <w:sz w:val="20"/>
                <w:szCs w:val="20"/>
              </w:rPr>
            </w:pPr>
            <w:r w:rsidRPr="00427669">
              <w:rPr>
                <w:rFonts w:ascii="Calibri" w:hAnsi="Calibri"/>
                <w:sz w:val="20"/>
                <w:szCs w:val="20"/>
              </w:rPr>
              <w:t>Up to $</w:t>
            </w:r>
            <w:r w:rsidR="001A506B">
              <w:rPr>
                <w:rFonts w:ascii="Calibri" w:hAnsi="Calibri"/>
                <w:sz w:val="20"/>
                <w:szCs w:val="20"/>
              </w:rPr>
              <w:t>371,500</w:t>
            </w:r>
            <w:r w:rsidRPr="00427669">
              <w:rPr>
                <w:rFonts w:ascii="Calibri" w:hAnsi="Calibri"/>
                <w:sz w:val="20"/>
                <w:szCs w:val="20"/>
              </w:rPr>
              <w:t>/</w:t>
            </w:r>
          </w:p>
          <w:p w14:paraId="2F700EBF" w14:textId="09EAAB30" w:rsidR="008772FC" w:rsidRPr="00427669" w:rsidRDefault="008772FC" w:rsidP="00FD2AFC">
            <w:pPr>
              <w:rPr>
                <w:rFonts w:ascii="Calibri" w:hAnsi="Calibri"/>
                <w:sz w:val="20"/>
                <w:szCs w:val="20"/>
              </w:rPr>
            </w:pPr>
            <w:r w:rsidRPr="00427669">
              <w:rPr>
                <w:rFonts w:ascii="Calibri" w:hAnsi="Calibri"/>
                <w:sz w:val="20"/>
                <w:szCs w:val="20"/>
              </w:rPr>
              <w:t>$</w:t>
            </w:r>
            <w:r w:rsidR="001A506B">
              <w:rPr>
                <w:rFonts w:ascii="Calibri" w:hAnsi="Calibri"/>
                <w:sz w:val="20"/>
                <w:szCs w:val="20"/>
              </w:rPr>
              <w:t>331,500</w:t>
            </w:r>
          </w:p>
        </w:tc>
        <w:tc>
          <w:tcPr>
            <w:tcW w:w="1449" w:type="dxa"/>
          </w:tcPr>
          <w:p w14:paraId="78F27F90" w14:textId="384729C7" w:rsidR="008772FC" w:rsidRPr="00427669" w:rsidRDefault="006E78A4" w:rsidP="008F2513">
            <w:pPr>
              <w:rPr>
                <w:rFonts w:ascii="Calibri" w:hAnsi="Calibri"/>
                <w:sz w:val="20"/>
                <w:szCs w:val="20"/>
              </w:rPr>
            </w:pPr>
            <w:r>
              <w:rPr>
                <w:rFonts w:ascii="Calibri" w:hAnsi="Calibri"/>
                <w:sz w:val="20"/>
                <w:szCs w:val="20"/>
              </w:rPr>
              <w:t>1,060</w:t>
            </w:r>
          </w:p>
        </w:tc>
        <w:tc>
          <w:tcPr>
            <w:tcW w:w="1557" w:type="dxa"/>
          </w:tcPr>
          <w:p w14:paraId="0A14B0C6" w14:textId="123CE482" w:rsidR="008772FC" w:rsidRPr="00427669" w:rsidRDefault="006E78A4" w:rsidP="00E32319">
            <w:pPr>
              <w:rPr>
                <w:rFonts w:ascii="Calibri" w:hAnsi="Calibri"/>
                <w:sz w:val="20"/>
                <w:szCs w:val="20"/>
              </w:rPr>
            </w:pPr>
            <w:r>
              <w:rPr>
                <w:rFonts w:ascii="Calibri" w:hAnsi="Calibri"/>
                <w:sz w:val="20"/>
                <w:szCs w:val="20"/>
              </w:rPr>
              <w:t>8</w:t>
            </w:r>
            <w:r w:rsidR="008772FC" w:rsidRPr="00427669">
              <w:rPr>
                <w:rFonts w:ascii="Calibri" w:hAnsi="Calibri"/>
                <w:sz w:val="20"/>
                <w:szCs w:val="20"/>
              </w:rPr>
              <w:t>/</w:t>
            </w:r>
            <w:r w:rsidR="00E32319">
              <w:rPr>
                <w:rFonts w:ascii="Calibri" w:hAnsi="Calibri"/>
                <w:sz w:val="20"/>
                <w:szCs w:val="20"/>
              </w:rPr>
              <w:t>1</w:t>
            </w:r>
            <w:r w:rsidR="005C6A25">
              <w:rPr>
                <w:rFonts w:ascii="Calibri" w:hAnsi="Calibri"/>
                <w:sz w:val="20"/>
                <w:szCs w:val="20"/>
              </w:rPr>
              <w:t>47</w:t>
            </w:r>
          </w:p>
        </w:tc>
        <w:tc>
          <w:tcPr>
            <w:tcW w:w="1436" w:type="dxa"/>
          </w:tcPr>
          <w:p w14:paraId="56CE6057" w14:textId="1DCFB093" w:rsidR="008772FC" w:rsidRPr="00427669" w:rsidRDefault="006E78A4" w:rsidP="00E32319">
            <w:pPr>
              <w:rPr>
                <w:rFonts w:ascii="Calibri" w:hAnsi="Calibri"/>
                <w:sz w:val="20"/>
                <w:szCs w:val="20"/>
              </w:rPr>
            </w:pPr>
            <w:r>
              <w:rPr>
                <w:rFonts w:ascii="Calibri" w:hAnsi="Calibri"/>
                <w:sz w:val="20"/>
                <w:szCs w:val="20"/>
              </w:rPr>
              <w:t>-9</w:t>
            </w:r>
            <w:r w:rsidR="005C6A25">
              <w:rPr>
                <w:rFonts w:ascii="Calibri" w:hAnsi="Calibri"/>
                <w:sz w:val="20"/>
                <w:szCs w:val="20"/>
              </w:rPr>
              <w:t>0</w:t>
            </w:r>
            <w:r>
              <w:rPr>
                <w:rFonts w:ascii="Calibri" w:hAnsi="Calibri"/>
                <w:sz w:val="20"/>
                <w:szCs w:val="20"/>
              </w:rPr>
              <w:t>5</w:t>
            </w:r>
          </w:p>
        </w:tc>
      </w:tr>
      <w:tr w:rsidR="00461FE0" w:rsidRPr="00427669" w14:paraId="620F9DD2" w14:textId="77777777" w:rsidTr="00FD2AFC">
        <w:tc>
          <w:tcPr>
            <w:tcW w:w="1548" w:type="dxa"/>
          </w:tcPr>
          <w:p w14:paraId="5CF74E66" w14:textId="39C237EB" w:rsidR="00461FE0" w:rsidRPr="00427669" w:rsidRDefault="00461FE0" w:rsidP="008F2513">
            <w:pPr>
              <w:rPr>
                <w:rFonts w:ascii="Calibri" w:hAnsi="Calibri"/>
                <w:sz w:val="20"/>
                <w:szCs w:val="20"/>
              </w:rPr>
            </w:pPr>
            <w:r>
              <w:rPr>
                <w:rFonts w:ascii="Calibri" w:hAnsi="Calibri"/>
                <w:sz w:val="20"/>
                <w:szCs w:val="20"/>
              </w:rPr>
              <w:t>80% to 100% AMI</w:t>
            </w:r>
          </w:p>
        </w:tc>
        <w:tc>
          <w:tcPr>
            <w:tcW w:w="1009" w:type="dxa"/>
          </w:tcPr>
          <w:p w14:paraId="16878D21" w14:textId="7D0E8730" w:rsidR="00461FE0" w:rsidRPr="00427669" w:rsidRDefault="00461FE0" w:rsidP="00FD2AFC">
            <w:pPr>
              <w:rPr>
                <w:rFonts w:ascii="Calibri" w:hAnsi="Calibri"/>
                <w:sz w:val="20"/>
                <w:szCs w:val="20"/>
              </w:rPr>
            </w:pPr>
            <w:r>
              <w:rPr>
                <w:rFonts w:ascii="Calibri" w:hAnsi="Calibri"/>
                <w:sz w:val="20"/>
                <w:szCs w:val="20"/>
              </w:rPr>
              <w:t>$90,950</w:t>
            </w:r>
            <w:r w:rsidR="001A506B">
              <w:rPr>
                <w:rFonts w:ascii="Calibri" w:hAnsi="Calibri"/>
                <w:sz w:val="20"/>
                <w:szCs w:val="20"/>
              </w:rPr>
              <w:t>-</w:t>
            </w:r>
            <w:r>
              <w:rPr>
                <w:rFonts w:ascii="Calibri" w:hAnsi="Calibri"/>
                <w:sz w:val="20"/>
                <w:szCs w:val="20"/>
              </w:rPr>
              <w:t xml:space="preserve">  $108,720</w:t>
            </w:r>
          </w:p>
        </w:tc>
        <w:tc>
          <w:tcPr>
            <w:tcW w:w="1929" w:type="dxa"/>
          </w:tcPr>
          <w:p w14:paraId="15860D39" w14:textId="5FCDB2B8" w:rsidR="00461FE0" w:rsidRDefault="006E78A4" w:rsidP="008F2513">
            <w:pPr>
              <w:rPr>
                <w:rFonts w:ascii="Calibri" w:hAnsi="Calibri"/>
                <w:sz w:val="20"/>
                <w:szCs w:val="20"/>
              </w:rPr>
            </w:pPr>
            <w:r>
              <w:rPr>
                <w:rFonts w:ascii="Calibri" w:hAnsi="Calibri"/>
                <w:sz w:val="20"/>
                <w:szCs w:val="20"/>
              </w:rPr>
              <w:t>$</w:t>
            </w:r>
            <w:r w:rsidR="001A506B">
              <w:rPr>
                <w:rFonts w:ascii="Calibri" w:hAnsi="Calibri"/>
                <w:sz w:val="20"/>
                <w:szCs w:val="20"/>
              </w:rPr>
              <w:t>371,501-$427,000/</w:t>
            </w:r>
          </w:p>
          <w:p w14:paraId="693DD7F1" w14:textId="3995773E" w:rsidR="001A506B" w:rsidRPr="00427669" w:rsidRDefault="001A506B" w:rsidP="008F2513">
            <w:pPr>
              <w:rPr>
                <w:rFonts w:ascii="Calibri" w:hAnsi="Calibri"/>
                <w:sz w:val="20"/>
                <w:szCs w:val="20"/>
              </w:rPr>
            </w:pPr>
            <w:r>
              <w:rPr>
                <w:rFonts w:ascii="Calibri" w:hAnsi="Calibri"/>
                <w:sz w:val="20"/>
                <w:szCs w:val="20"/>
              </w:rPr>
              <w:t>$331,501-$390,000</w:t>
            </w:r>
          </w:p>
        </w:tc>
        <w:tc>
          <w:tcPr>
            <w:tcW w:w="1449" w:type="dxa"/>
          </w:tcPr>
          <w:p w14:paraId="04923828" w14:textId="66B3C921" w:rsidR="00461FE0" w:rsidRDefault="006E78A4" w:rsidP="008F2513">
            <w:pPr>
              <w:rPr>
                <w:rFonts w:ascii="Calibri" w:hAnsi="Calibri"/>
                <w:sz w:val="20"/>
                <w:szCs w:val="20"/>
              </w:rPr>
            </w:pPr>
            <w:r>
              <w:rPr>
                <w:rFonts w:ascii="Calibri" w:hAnsi="Calibri"/>
                <w:sz w:val="20"/>
                <w:szCs w:val="20"/>
              </w:rPr>
              <w:t>375</w:t>
            </w:r>
          </w:p>
        </w:tc>
        <w:tc>
          <w:tcPr>
            <w:tcW w:w="1557" w:type="dxa"/>
          </w:tcPr>
          <w:p w14:paraId="788116D1" w14:textId="4F63AB06" w:rsidR="00461FE0" w:rsidRDefault="005C6A25" w:rsidP="00E32319">
            <w:pPr>
              <w:rPr>
                <w:rFonts w:ascii="Calibri" w:hAnsi="Calibri"/>
                <w:sz w:val="20"/>
                <w:szCs w:val="20"/>
              </w:rPr>
            </w:pPr>
            <w:r>
              <w:rPr>
                <w:rFonts w:ascii="Calibri" w:hAnsi="Calibri"/>
                <w:sz w:val="20"/>
                <w:szCs w:val="20"/>
              </w:rPr>
              <w:t>5/</w:t>
            </w:r>
            <w:r w:rsidR="00A910F6">
              <w:rPr>
                <w:rFonts w:ascii="Calibri" w:hAnsi="Calibri"/>
                <w:sz w:val="20"/>
                <w:szCs w:val="20"/>
              </w:rPr>
              <w:t>92</w:t>
            </w:r>
          </w:p>
        </w:tc>
        <w:tc>
          <w:tcPr>
            <w:tcW w:w="1436" w:type="dxa"/>
          </w:tcPr>
          <w:p w14:paraId="0B554A4A" w14:textId="04DAF928" w:rsidR="00461FE0" w:rsidRPr="00427669" w:rsidRDefault="00A910F6" w:rsidP="00E32319">
            <w:pPr>
              <w:rPr>
                <w:rFonts w:ascii="Calibri" w:hAnsi="Calibri"/>
                <w:sz w:val="20"/>
                <w:szCs w:val="20"/>
              </w:rPr>
            </w:pPr>
            <w:r>
              <w:rPr>
                <w:rFonts w:ascii="Calibri" w:hAnsi="Calibri"/>
                <w:sz w:val="20"/>
                <w:szCs w:val="20"/>
              </w:rPr>
              <w:t>-278</w:t>
            </w:r>
          </w:p>
        </w:tc>
      </w:tr>
      <w:tr w:rsidR="00123E6E" w:rsidRPr="00427669" w14:paraId="155CD800" w14:textId="77777777" w:rsidTr="00FD2AFC">
        <w:tc>
          <w:tcPr>
            <w:tcW w:w="1548" w:type="dxa"/>
          </w:tcPr>
          <w:p w14:paraId="2C911126" w14:textId="78AA118C" w:rsidR="00123E6E" w:rsidRPr="00FC34A0" w:rsidRDefault="00123E6E" w:rsidP="008F2513">
            <w:pPr>
              <w:rPr>
                <w:rFonts w:ascii="Calibri" w:hAnsi="Calibri"/>
                <w:b/>
                <w:bCs/>
                <w:sz w:val="20"/>
                <w:szCs w:val="20"/>
              </w:rPr>
            </w:pPr>
            <w:r w:rsidRPr="00FC34A0">
              <w:rPr>
                <w:rFonts w:ascii="Calibri" w:hAnsi="Calibri"/>
                <w:b/>
                <w:bCs/>
                <w:sz w:val="20"/>
                <w:szCs w:val="20"/>
              </w:rPr>
              <w:t>Total</w:t>
            </w:r>
          </w:p>
        </w:tc>
        <w:tc>
          <w:tcPr>
            <w:tcW w:w="1009" w:type="dxa"/>
          </w:tcPr>
          <w:p w14:paraId="544B9C3F" w14:textId="77777777" w:rsidR="00123E6E" w:rsidRPr="00FC34A0" w:rsidRDefault="00123E6E" w:rsidP="00FD2AFC">
            <w:pPr>
              <w:rPr>
                <w:rFonts w:ascii="Calibri" w:hAnsi="Calibri"/>
                <w:b/>
                <w:bCs/>
                <w:sz w:val="20"/>
                <w:szCs w:val="20"/>
              </w:rPr>
            </w:pPr>
          </w:p>
        </w:tc>
        <w:tc>
          <w:tcPr>
            <w:tcW w:w="1929" w:type="dxa"/>
          </w:tcPr>
          <w:p w14:paraId="73B5F4A0" w14:textId="77777777" w:rsidR="00123E6E" w:rsidRPr="00FC34A0" w:rsidRDefault="00123E6E" w:rsidP="008F2513">
            <w:pPr>
              <w:rPr>
                <w:rFonts w:ascii="Calibri" w:hAnsi="Calibri"/>
                <w:b/>
                <w:bCs/>
                <w:sz w:val="20"/>
                <w:szCs w:val="20"/>
              </w:rPr>
            </w:pPr>
          </w:p>
        </w:tc>
        <w:tc>
          <w:tcPr>
            <w:tcW w:w="1449" w:type="dxa"/>
          </w:tcPr>
          <w:p w14:paraId="267692DD" w14:textId="4A87D767" w:rsidR="00123E6E" w:rsidRPr="00FC34A0" w:rsidRDefault="00123E6E" w:rsidP="008F2513">
            <w:pPr>
              <w:rPr>
                <w:rFonts w:ascii="Calibri" w:hAnsi="Calibri"/>
                <w:b/>
                <w:bCs/>
                <w:sz w:val="20"/>
                <w:szCs w:val="20"/>
              </w:rPr>
            </w:pPr>
            <w:r w:rsidRPr="00FC34A0">
              <w:rPr>
                <w:rFonts w:ascii="Calibri" w:hAnsi="Calibri"/>
                <w:b/>
                <w:bCs/>
                <w:sz w:val="20"/>
                <w:szCs w:val="20"/>
              </w:rPr>
              <w:t>1,435</w:t>
            </w:r>
          </w:p>
        </w:tc>
        <w:tc>
          <w:tcPr>
            <w:tcW w:w="1557" w:type="dxa"/>
          </w:tcPr>
          <w:p w14:paraId="2DED0220" w14:textId="2AF2320C" w:rsidR="00123E6E" w:rsidRPr="00FC34A0" w:rsidRDefault="00123E6E" w:rsidP="00E32319">
            <w:pPr>
              <w:rPr>
                <w:rFonts w:ascii="Calibri" w:hAnsi="Calibri"/>
                <w:b/>
                <w:bCs/>
                <w:sz w:val="20"/>
                <w:szCs w:val="20"/>
              </w:rPr>
            </w:pPr>
            <w:r w:rsidRPr="00FC34A0">
              <w:rPr>
                <w:rFonts w:ascii="Calibri" w:hAnsi="Calibri"/>
                <w:b/>
                <w:bCs/>
                <w:sz w:val="20"/>
                <w:szCs w:val="20"/>
              </w:rPr>
              <w:t>13/239</w:t>
            </w:r>
          </w:p>
        </w:tc>
        <w:tc>
          <w:tcPr>
            <w:tcW w:w="1436" w:type="dxa"/>
          </w:tcPr>
          <w:p w14:paraId="7877574B" w14:textId="67640C4C" w:rsidR="00123E6E" w:rsidRPr="00FC34A0" w:rsidRDefault="00123E6E" w:rsidP="00E32319">
            <w:pPr>
              <w:rPr>
                <w:rFonts w:ascii="Calibri" w:hAnsi="Calibri"/>
                <w:b/>
                <w:bCs/>
                <w:sz w:val="20"/>
                <w:szCs w:val="20"/>
              </w:rPr>
            </w:pPr>
            <w:r w:rsidRPr="00FC34A0">
              <w:rPr>
                <w:rFonts w:ascii="Calibri" w:hAnsi="Calibri"/>
                <w:b/>
                <w:bCs/>
                <w:sz w:val="20"/>
                <w:szCs w:val="20"/>
              </w:rPr>
              <w:t>-1,183</w:t>
            </w:r>
          </w:p>
        </w:tc>
      </w:tr>
    </w:tbl>
    <w:p w14:paraId="59967B40" w14:textId="25FE5E0E" w:rsidR="008772FC" w:rsidRDefault="008772FC" w:rsidP="00615DA4">
      <w:pPr>
        <w:pStyle w:val="TOCBase"/>
        <w:tabs>
          <w:tab w:val="clear" w:pos="6480"/>
        </w:tabs>
        <w:spacing w:after="0" w:line="240" w:lineRule="auto"/>
        <w:jc w:val="both"/>
        <w:rPr>
          <w:rFonts w:ascii="Calibri" w:hAnsi="Calibri"/>
          <w:spacing w:val="0"/>
        </w:rPr>
      </w:pPr>
      <w:r w:rsidRPr="00427669">
        <w:rPr>
          <w:rFonts w:ascii="Calibri" w:hAnsi="Calibri"/>
          <w:spacing w:val="0"/>
        </w:rPr>
        <w:t xml:space="preserve">Source:  </w:t>
      </w:r>
      <w:r w:rsidR="00E32319">
        <w:rPr>
          <w:rFonts w:ascii="Calibri" w:hAnsi="Calibri"/>
          <w:spacing w:val="0"/>
        </w:rPr>
        <w:t xml:space="preserve">Needham Assessor data for </w:t>
      </w:r>
      <w:r w:rsidR="004A6BCF">
        <w:rPr>
          <w:rFonts w:ascii="Calibri" w:hAnsi="Calibri"/>
          <w:spacing w:val="0"/>
        </w:rPr>
        <w:t>FY2</w:t>
      </w:r>
      <w:r w:rsidR="00D63DFA">
        <w:rPr>
          <w:rFonts w:ascii="Calibri" w:hAnsi="Calibri"/>
          <w:spacing w:val="0"/>
        </w:rPr>
        <w:t>2</w:t>
      </w:r>
      <w:r w:rsidRPr="00427669">
        <w:rPr>
          <w:rFonts w:ascii="Calibri" w:hAnsi="Calibri"/>
          <w:spacing w:val="0"/>
        </w:rPr>
        <w:t>.</w:t>
      </w:r>
    </w:p>
    <w:p w14:paraId="7D03379D" w14:textId="4E49CAD6" w:rsidR="008772FC" w:rsidRPr="00177359" w:rsidRDefault="008772FC" w:rsidP="00615DA4">
      <w:pPr>
        <w:pStyle w:val="BodyText2"/>
        <w:spacing w:after="0" w:line="240" w:lineRule="auto"/>
        <w:jc w:val="both"/>
        <w:rPr>
          <w:rFonts w:ascii="Calibri" w:hAnsi="Calibri"/>
          <w:sz w:val="20"/>
          <w:szCs w:val="20"/>
        </w:rPr>
      </w:pPr>
      <w:r w:rsidRPr="00177359">
        <w:rPr>
          <w:rFonts w:ascii="Calibri" w:hAnsi="Calibri"/>
          <w:sz w:val="20"/>
          <w:szCs w:val="20"/>
        </w:rPr>
        <w:t>* For a household of three (3) as the average household size for owners</w:t>
      </w:r>
      <w:r>
        <w:rPr>
          <w:rFonts w:ascii="Calibri" w:hAnsi="Calibri"/>
          <w:sz w:val="20"/>
          <w:szCs w:val="20"/>
        </w:rPr>
        <w:t xml:space="preserve"> (</w:t>
      </w:r>
      <w:r w:rsidRPr="00177359">
        <w:rPr>
          <w:rFonts w:ascii="Calibri" w:hAnsi="Calibri"/>
          <w:sz w:val="20"/>
          <w:szCs w:val="20"/>
        </w:rPr>
        <w:t xml:space="preserve">was </w:t>
      </w:r>
      <w:r w:rsidR="0013253A">
        <w:rPr>
          <w:rFonts w:ascii="Calibri" w:hAnsi="Calibri"/>
          <w:sz w:val="20"/>
          <w:szCs w:val="20"/>
        </w:rPr>
        <w:t>2.99</w:t>
      </w:r>
      <w:r w:rsidR="00E32319">
        <w:rPr>
          <w:rFonts w:ascii="Calibri" w:hAnsi="Calibri"/>
          <w:sz w:val="20"/>
          <w:szCs w:val="20"/>
        </w:rPr>
        <w:t xml:space="preserve"> </w:t>
      </w:r>
      <w:r w:rsidRPr="00177359">
        <w:rPr>
          <w:rFonts w:ascii="Calibri" w:hAnsi="Calibri"/>
          <w:sz w:val="20"/>
          <w:szCs w:val="20"/>
        </w:rPr>
        <w:t xml:space="preserve">persons per the </w:t>
      </w:r>
      <w:r>
        <w:rPr>
          <w:rFonts w:ascii="Calibri" w:hAnsi="Calibri"/>
          <w:sz w:val="20"/>
          <w:szCs w:val="20"/>
        </w:rPr>
        <w:t>201</w:t>
      </w:r>
      <w:r w:rsidR="0013253A">
        <w:rPr>
          <w:rFonts w:ascii="Calibri" w:hAnsi="Calibri"/>
          <w:sz w:val="20"/>
          <w:szCs w:val="20"/>
        </w:rPr>
        <w:t>5</w:t>
      </w:r>
      <w:r w:rsidR="00E32319">
        <w:rPr>
          <w:rFonts w:ascii="Calibri" w:hAnsi="Calibri"/>
          <w:sz w:val="20"/>
          <w:szCs w:val="20"/>
        </w:rPr>
        <w:t>-201</w:t>
      </w:r>
      <w:r w:rsidR="0013253A">
        <w:rPr>
          <w:rFonts w:ascii="Calibri" w:hAnsi="Calibri"/>
          <w:sz w:val="20"/>
          <w:szCs w:val="20"/>
        </w:rPr>
        <w:t>9</w:t>
      </w:r>
      <w:r>
        <w:rPr>
          <w:rFonts w:ascii="Calibri" w:hAnsi="Calibri"/>
          <w:sz w:val="20"/>
          <w:szCs w:val="20"/>
        </w:rPr>
        <w:t xml:space="preserve"> ACS </w:t>
      </w:r>
      <w:r w:rsidR="00E32319">
        <w:rPr>
          <w:rFonts w:ascii="Calibri" w:hAnsi="Calibri"/>
          <w:sz w:val="20"/>
          <w:szCs w:val="20"/>
        </w:rPr>
        <w:t>5-Year E</w:t>
      </w:r>
      <w:r>
        <w:rPr>
          <w:rFonts w:ascii="Calibri" w:hAnsi="Calibri"/>
          <w:sz w:val="20"/>
          <w:szCs w:val="20"/>
        </w:rPr>
        <w:t>stimates)</w:t>
      </w:r>
      <w:r w:rsidRPr="00177359">
        <w:rPr>
          <w:rFonts w:ascii="Calibri" w:hAnsi="Calibri"/>
          <w:sz w:val="20"/>
          <w:szCs w:val="20"/>
        </w:rPr>
        <w:t xml:space="preserve"> based on 20</w:t>
      </w:r>
      <w:r w:rsidR="0013253A">
        <w:rPr>
          <w:rFonts w:ascii="Calibri" w:hAnsi="Calibri"/>
          <w:sz w:val="20"/>
          <w:szCs w:val="20"/>
        </w:rPr>
        <w:t>2</w:t>
      </w:r>
      <w:r w:rsidRPr="00177359">
        <w:rPr>
          <w:rFonts w:ascii="Calibri" w:hAnsi="Calibri"/>
          <w:sz w:val="20"/>
          <w:szCs w:val="20"/>
        </w:rPr>
        <w:t>1 HUD income limits for the Boston area that includes Needham.</w:t>
      </w:r>
    </w:p>
    <w:p w14:paraId="7F797B6A" w14:textId="02995AC3" w:rsidR="008772FC" w:rsidRPr="00177359" w:rsidRDefault="008772FC" w:rsidP="00615DA4">
      <w:pPr>
        <w:pStyle w:val="BodyText2"/>
        <w:spacing w:after="0" w:line="240" w:lineRule="auto"/>
        <w:jc w:val="both"/>
        <w:rPr>
          <w:rFonts w:ascii="Calibri" w:hAnsi="Calibri"/>
          <w:sz w:val="20"/>
          <w:szCs w:val="20"/>
        </w:rPr>
      </w:pPr>
      <w:r w:rsidRPr="00177359">
        <w:rPr>
          <w:rFonts w:ascii="Calibri" w:hAnsi="Calibri"/>
          <w:sz w:val="20"/>
          <w:szCs w:val="20"/>
        </w:rPr>
        <w:t>** See analysis in Table</w:t>
      </w:r>
      <w:r w:rsidR="0013253A">
        <w:rPr>
          <w:rFonts w:ascii="Calibri" w:hAnsi="Calibri"/>
          <w:sz w:val="20"/>
          <w:szCs w:val="20"/>
        </w:rPr>
        <w:t xml:space="preserve"> III-36</w:t>
      </w:r>
      <w:r w:rsidRPr="00177359">
        <w:rPr>
          <w:rFonts w:ascii="Calibri" w:hAnsi="Calibri"/>
          <w:sz w:val="20"/>
          <w:szCs w:val="20"/>
        </w:rPr>
        <w:t>.</w:t>
      </w:r>
    </w:p>
    <w:p w14:paraId="72809B99" w14:textId="6CB0C0B3" w:rsidR="008772FC" w:rsidRPr="004E50E7" w:rsidRDefault="008772FC" w:rsidP="00615DA4">
      <w:pPr>
        <w:pStyle w:val="BodyText2"/>
        <w:spacing w:after="0" w:line="240" w:lineRule="auto"/>
        <w:jc w:val="both"/>
        <w:rPr>
          <w:rFonts w:ascii="Calibri" w:hAnsi="Calibri"/>
          <w:sz w:val="20"/>
        </w:rPr>
      </w:pPr>
      <w:r w:rsidRPr="004E50E7">
        <w:rPr>
          <w:rFonts w:ascii="Calibri" w:hAnsi="Calibri"/>
          <w:sz w:val="20"/>
        </w:rPr>
        <w:t xml:space="preserve">*** </w:t>
      </w:r>
      <w:r w:rsidR="0013253A">
        <w:rPr>
          <w:rFonts w:ascii="Calibri" w:hAnsi="Calibri"/>
          <w:sz w:val="20"/>
        </w:rPr>
        <w:t>See Table III-</w:t>
      </w:r>
      <w:r w:rsidR="002D5C91">
        <w:rPr>
          <w:rFonts w:ascii="Calibri" w:hAnsi="Calibri"/>
          <w:sz w:val="20"/>
        </w:rPr>
        <w:t>4</w:t>
      </w:r>
      <w:r w:rsidR="001F43B8">
        <w:rPr>
          <w:rFonts w:ascii="Calibri" w:hAnsi="Calibri"/>
          <w:sz w:val="20"/>
        </w:rPr>
        <w:t>1</w:t>
      </w:r>
      <w:r w:rsidR="002D5C91">
        <w:rPr>
          <w:rFonts w:ascii="Calibri" w:hAnsi="Calibri"/>
          <w:sz w:val="20"/>
        </w:rPr>
        <w:t>.</w:t>
      </w:r>
    </w:p>
    <w:p w14:paraId="4ADE33CB" w14:textId="25BF7115" w:rsidR="008772FC" w:rsidRDefault="008772FC" w:rsidP="008772FC">
      <w:pPr>
        <w:pStyle w:val="BodyTextIndent"/>
        <w:spacing w:after="0"/>
        <w:ind w:left="0" w:right="-720"/>
        <w:rPr>
          <w:rFonts w:ascii="Calibri" w:hAnsi="Calibri"/>
        </w:rPr>
      </w:pPr>
    </w:p>
    <w:p w14:paraId="1488B72E" w14:textId="04A0271D" w:rsidR="00B651F5" w:rsidRDefault="00B651F5" w:rsidP="00B651F5">
      <w:pPr>
        <w:pStyle w:val="BodyText2"/>
        <w:spacing w:after="0" w:line="240" w:lineRule="auto"/>
        <w:jc w:val="both"/>
        <w:rPr>
          <w:rFonts w:ascii="Calibri" w:hAnsi="Calibri"/>
          <w:sz w:val="22"/>
          <w:szCs w:val="22"/>
        </w:rPr>
      </w:pPr>
      <w:r w:rsidRPr="00876ECA">
        <w:rPr>
          <w:rFonts w:ascii="Calibri" w:hAnsi="Calibri"/>
          <w:sz w:val="22"/>
          <w:szCs w:val="22"/>
        </w:rPr>
        <w:t xml:space="preserve">It is likely that many of these </w:t>
      </w:r>
      <w:r>
        <w:rPr>
          <w:rFonts w:ascii="Calibri" w:hAnsi="Calibri"/>
          <w:sz w:val="22"/>
          <w:szCs w:val="22"/>
        </w:rPr>
        <w:t xml:space="preserve">lower income </w:t>
      </w:r>
      <w:r w:rsidRPr="00876ECA">
        <w:rPr>
          <w:rFonts w:ascii="Calibri" w:hAnsi="Calibri"/>
          <w:sz w:val="22"/>
          <w:szCs w:val="22"/>
        </w:rPr>
        <w:t xml:space="preserve">owner households are “cash poor but equity rich” in that their incomes might have </w:t>
      </w:r>
      <w:r>
        <w:rPr>
          <w:rFonts w:ascii="Calibri" w:hAnsi="Calibri"/>
          <w:sz w:val="22"/>
          <w:szCs w:val="22"/>
        </w:rPr>
        <w:t xml:space="preserve">been sufficient to buy a house or condominium unit in Needham a few decades ago, but a household with their current income could not afford a house or even a condo unit in </w:t>
      </w:r>
      <w:r>
        <w:rPr>
          <w:rFonts w:ascii="Calibri" w:hAnsi="Calibri"/>
          <w:sz w:val="22"/>
          <w:szCs w:val="22"/>
        </w:rPr>
        <w:lastRenderedPageBreak/>
        <w:t>Needham today.  Moreover, their income might qualify them to purchase an affordable Chapter 40B unit</w:t>
      </w:r>
      <w:r w:rsidRPr="00876ECA">
        <w:rPr>
          <w:rFonts w:ascii="Calibri" w:hAnsi="Calibri"/>
          <w:sz w:val="22"/>
          <w:szCs w:val="22"/>
        </w:rPr>
        <w:t xml:space="preserve"> but their financial assets, particularly the equity in their homes, would render them ineligible for </w:t>
      </w:r>
      <w:r>
        <w:rPr>
          <w:rFonts w:ascii="Calibri" w:hAnsi="Calibri"/>
          <w:sz w:val="22"/>
          <w:szCs w:val="22"/>
        </w:rPr>
        <w:t>such</w:t>
      </w:r>
      <w:r w:rsidRPr="00876ECA">
        <w:rPr>
          <w:rFonts w:ascii="Calibri" w:hAnsi="Calibri"/>
          <w:sz w:val="22"/>
          <w:szCs w:val="22"/>
        </w:rPr>
        <w:t xml:space="preserve"> housing. </w:t>
      </w:r>
      <w:r>
        <w:rPr>
          <w:rFonts w:ascii="Calibri" w:hAnsi="Calibri"/>
          <w:sz w:val="22"/>
          <w:szCs w:val="22"/>
        </w:rPr>
        <w:t xml:space="preserve"> </w:t>
      </w:r>
    </w:p>
    <w:p w14:paraId="3C61F1DE" w14:textId="77777777" w:rsidR="00B651F5" w:rsidRPr="004E50E7" w:rsidRDefault="00B651F5" w:rsidP="008772FC">
      <w:pPr>
        <w:pStyle w:val="BodyTextIndent"/>
        <w:spacing w:after="0"/>
        <w:ind w:left="0" w:right="-720"/>
        <w:rPr>
          <w:rFonts w:ascii="Calibri" w:hAnsi="Calibri"/>
        </w:rPr>
      </w:pPr>
    </w:p>
    <w:p w14:paraId="4975CC49" w14:textId="14B9C21F" w:rsidR="008772FC" w:rsidRDefault="008772FC" w:rsidP="00615DA4">
      <w:pPr>
        <w:jc w:val="both"/>
        <w:rPr>
          <w:rFonts w:ascii="Calibri" w:hAnsi="Calibri"/>
          <w:sz w:val="22"/>
        </w:rPr>
      </w:pPr>
      <w:r w:rsidRPr="004E50E7">
        <w:rPr>
          <w:rFonts w:ascii="Calibri" w:hAnsi="Calibri"/>
          <w:sz w:val="22"/>
        </w:rPr>
        <w:t xml:space="preserve">Table </w:t>
      </w:r>
      <w:r w:rsidR="006329F6">
        <w:rPr>
          <w:rFonts w:ascii="Calibri" w:hAnsi="Calibri"/>
          <w:sz w:val="22"/>
        </w:rPr>
        <w:t>III-4</w:t>
      </w:r>
      <w:r w:rsidR="001F43B8">
        <w:rPr>
          <w:rFonts w:ascii="Calibri" w:hAnsi="Calibri"/>
          <w:sz w:val="22"/>
        </w:rPr>
        <w:t>0</w:t>
      </w:r>
      <w:r w:rsidRPr="004E50E7">
        <w:rPr>
          <w:rFonts w:ascii="Calibri" w:hAnsi="Calibri"/>
          <w:sz w:val="22"/>
        </w:rPr>
        <w:t xml:space="preserve"> </w:t>
      </w:r>
      <w:r w:rsidR="002159E9">
        <w:rPr>
          <w:rFonts w:ascii="Calibri" w:hAnsi="Calibri"/>
          <w:sz w:val="22"/>
        </w:rPr>
        <w:t>compare</w:t>
      </w:r>
      <w:r w:rsidRPr="004E50E7">
        <w:rPr>
          <w:rFonts w:ascii="Calibri" w:hAnsi="Calibri"/>
          <w:sz w:val="22"/>
        </w:rPr>
        <w:t xml:space="preserve">s numbers of renters within certain </w:t>
      </w:r>
      <w:r w:rsidR="006329F6">
        <w:rPr>
          <w:rFonts w:ascii="Calibri" w:hAnsi="Calibri"/>
          <w:sz w:val="22"/>
        </w:rPr>
        <w:t xml:space="preserve">lower </w:t>
      </w:r>
      <w:r w:rsidRPr="004E50E7">
        <w:rPr>
          <w:rFonts w:ascii="Calibri" w:hAnsi="Calibri"/>
          <w:sz w:val="22"/>
        </w:rPr>
        <w:t>income ranges to the numbers of existing units that m</w:t>
      </w:r>
      <w:r w:rsidR="006329F6">
        <w:rPr>
          <w:rFonts w:ascii="Calibri" w:hAnsi="Calibri"/>
          <w:sz w:val="22"/>
        </w:rPr>
        <w:t>ight</w:t>
      </w:r>
      <w:r w:rsidRPr="004E50E7">
        <w:rPr>
          <w:rFonts w:ascii="Calibri" w:hAnsi="Calibri"/>
          <w:sz w:val="22"/>
        </w:rPr>
        <w:t xml:space="preserve"> be affordable to them, based largely on </w:t>
      </w:r>
      <w:r w:rsidR="006329F6">
        <w:rPr>
          <w:rFonts w:ascii="Calibri" w:hAnsi="Calibri"/>
          <w:sz w:val="22"/>
        </w:rPr>
        <w:t>special tabulations of data summarized in Table III-41 that identify households by type, tenure, income, and cost burdens.</w:t>
      </w:r>
      <w:r w:rsidR="00426317">
        <w:rPr>
          <w:rFonts w:ascii="Calibri" w:hAnsi="Calibri"/>
          <w:sz w:val="22"/>
        </w:rPr>
        <w:t xml:space="preserve"> </w:t>
      </w:r>
      <w:r w:rsidRPr="004E50E7">
        <w:rPr>
          <w:rFonts w:ascii="Calibri" w:hAnsi="Calibri"/>
          <w:sz w:val="22"/>
        </w:rPr>
        <w:t xml:space="preserve">This </w:t>
      </w:r>
      <w:r w:rsidR="006329F6">
        <w:rPr>
          <w:rFonts w:ascii="Calibri" w:hAnsi="Calibri"/>
          <w:sz w:val="22"/>
        </w:rPr>
        <w:t>information suggests</w:t>
      </w:r>
      <w:r w:rsidRPr="004E50E7">
        <w:rPr>
          <w:rFonts w:ascii="Calibri" w:hAnsi="Calibri"/>
          <w:sz w:val="22"/>
        </w:rPr>
        <w:t xml:space="preserve"> that there is a shortage of </w:t>
      </w:r>
      <w:r w:rsidR="00367477">
        <w:rPr>
          <w:rFonts w:ascii="Calibri" w:hAnsi="Calibri"/>
          <w:sz w:val="22"/>
        </w:rPr>
        <w:t>620</w:t>
      </w:r>
      <w:r>
        <w:rPr>
          <w:rFonts w:ascii="Calibri" w:hAnsi="Calibri"/>
          <w:sz w:val="22"/>
        </w:rPr>
        <w:t xml:space="preserve"> </w:t>
      </w:r>
      <w:r w:rsidRPr="004E50E7">
        <w:rPr>
          <w:rFonts w:ascii="Calibri" w:hAnsi="Calibri"/>
          <w:sz w:val="22"/>
        </w:rPr>
        <w:t>rental units</w:t>
      </w:r>
      <w:r w:rsidR="00367477">
        <w:rPr>
          <w:rFonts w:ascii="Calibri" w:hAnsi="Calibri"/>
          <w:sz w:val="22"/>
        </w:rPr>
        <w:t xml:space="preserve"> for those with incomes at or below 80% </w:t>
      </w:r>
      <w:r>
        <w:rPr>
          <w:rFonts w:ascii="Calibri" w:hAnsi="Calibri"/>
          <w:sz w:val="22"/>
        </w:rPr>
        <w:t xml:space="preserve">of area median income. </w:t>
      </w:r>
      <w:r w:rsidR="00426317">
        <w:rPr>
          <w:rFonts w:ascii="Calibri" w:hAnsi="Calibri"/>
          <w:sz w:val="22"/>
        </w:rPr>
        <w:t xml:space="preserve"> </w:t>
      </w:r>
      <w:r w:rsidR="00367477">
        <w:rPr>
          <w:rFonts w:ascii="Calibri" w:hAnsi="Calibri"/>
          <w:sz w:val="22"/>
        </w:rPr>
        <w:t xml:space="preserve">Since this data was reported in 2018, it is likely that some of this need was </w:t>
      </w:r>
      <w:r w:rsidR="0095467B">
        <w:rPr>
          <w:rFonts w:ascii="Calibri" w:hAnsi="Calibri"/>
          <w:sz w:val="22"/>
        </w:rPr>
        <w:t xml:space="preserve">subsequently </w:t>
      </w:r>
      <w:r w:rsidR="00367477">
        <w:rPr>
          <w:rFonts w:ascii="Calibri" w:hAnsi="Calibri"/>
          <w:sz w:val="22"/>
        </w:rPr>
        <w:t>addressed by The Kendrick or Modera Needham Chapter 40B developments for those in the 50% to 80% AMI range but not for those with incomes below</w:t>
      </w:r>
      <w:r w:rsidR="002B78E6">
        <w:rPr>
          <w:rFonts w:ascii="Calibri" w:hAnsi="Calibri"/>
          <w:sz w:val="22"/>
        </w:rPr>
        <w:t xml:space="preserve"> this range,</w:t>
      </w:r>
      <w:r w:rsidR="00367477">
        <w:rPr>
          <w:rFonts w:ascii="Calibri" w:hAnsi="Calibri"/>
          <w:sz w:val="22"/>
        </w:rPr>
        <w:t xml:space="preserve"> which comprise the greatest need of 500 units. </w:t>
      </w:r>
      <w:r w:rsidR="0095467B">
        <w:rPr>
          <w:rFonts w:ascii="Calibri" w:hAnsi="Calibri"/>
          <w:sz w:val="22"/>
        </w:rPr>
        <w:t xml:space="preserve"> Given rising housing costs, it is likely that the deficits have grown</w:t>
      </w:r>
      <w:r w:rsidR="00385E64">
        <w:rPr>
          <w:rFonts w:ascii="Calibri" w:hAnsi="Calibri"/>
          <w:sz w:val="22"/>
        </w:rPr>
        <w:t xml:space="preserve"> or some of these households have had to relocate to other communities</w:t>
      </w:r>
      <w:r w:rsidR="00332C89">
        <w:rPr>
          <w:rFonts w:ascii="Calibri" w:hAnsi="Calibri"/>
          <w:sz w:val="22"/>
        </w:rPr>
        <w:t>.</w:t>
      </w:r>
    </w:p>
    <w:p w14:paraId="542D4515" w14:textId="18D61059" w:rsidR="008772FC" w:rsidRPr="004E50E7" w:rsidRDefault="008772FC" w:rsidP="008772FC">
      <w:pPr>
        <w:jc w:val="center"/>
        <w:rPr>
          <w:rFonts w:ascii="Calibri" w:hAnsi="Calibri"/>
          <w:b/>
          <w:bCs/>
          <w:sz w:val="22"/>
        </w:rPr>
      </w:pPr>
      <w:r w:rsidRPr="004E50E7">
        <w:rPr>
          <w:rFonts w:ascii="Calibri" w:hAnsi="Calibri"/>
          <w:b/>
          <w:bCs/>
          <w:sz w:val="22"/>
        </w:rPr>
        <w:t xml:space="preserve">Table </w:t>
      </w:r>
      <w:r w:rsidR="006329F6">
        <w:rPr>
          <w:rFonts w:ascii="Calibri" w:hAnsi="Calibri"/>
          <w:b/>
          <w:bCs/>
          <w:sz w:val="22"/>
        </w:rPr>
        <w:t>III-</w:t>
      </w:r>
      <w:r w:rsidR="0075407C">
        <w:rPr>
          <w:rFonts w:ascii="Calibri" w:hAnsi="Calibri"/>
          <w:b/>
          <w:bCs/>
          <w:sz w:val="22"/>
        </w:rPr>
        <w:t>4</w:t>
      </w:r>
      <w:r w:rsidR="001F43B8">
        <w:rPr>
          <w:rFonts w:ascii="Calibri" w:hAnsi="Calibri"/>
          <w:b/>
          <w:bCs/>
          <w:sz w:val="22"/>
        </w:rPr>
        <w:t>0</w:t>
      </w:r>
      <w:r>
        <w:rPr>
          <w:rFonts w:ascii="Calibri" w:hAnsi="Calibri"/>
          <w:b/>
          <w:bCs/>
          <w:sz w:val="22"/>
        </w:rPr>
        <w:t xml:space="preserve">: </w:t>
      </w:r>
      <w:r w:rsidRPr="004E50E7">
        <w:rPr>
          <w:rFonts w:ascii="Calibri" w:hAnsi="Calibri"/>
          <w:b/>
          <w:bCs/>
          <w:sz w:val="22"/>
        </w:rPr>
        <w:t>Rental Unit Need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476"/>
        <w:gridCol w:w="1476"/>
        <w:gridCol w:w="1476"/>
        <w:gridCol w:w="1476"/>
        <w:gridCol w:w="1476"/>
      </w:tblGrid>
      <w:tr w:rsidR="008772FC" w:rsidRPr="004E50E7" w14:paraId="70044165" w14:textId="77777777" w:rsidTr="008F2513">
        <w:tc>
          <w:tcPr>
            <w:tcW w:w="1476" w:type="dxa"/>
          </w:tcPr>
          <w:p w14:paraId="67C029B7" w14:textId="77777777" w:rsidR="008772FC" w:rsidRPr="004E50E7" w:rsidRDefault="008772FC" w:rsidP="008F2513">
            <w:pPr>
              <w:jc w:val="both"/>
              <w:rPr>
                <w:rFonts w:ascii="Calibri" w:hAnsi="Calibri"/>
                <w:b/>
                <w:bCs/>
              </w:rPr>
            </w:pPr>
          </w:p>
          <w:p w14:paraId="520D51AF" w14:textId="77777777" w:rsidR="008772FC" w:rsidRPr="004E50E7" w:rsidRDefault="008772FC" w:rsidP="008F2513">
            <w:pPr>
              <w:jc w:val="both"/>
              <w:rPr>
                <w:rFonts w:ascii="Calibri" w:hAnsi="Calibri"/>
                <w:b/>
                <w:bCs/>
              </w:rPr>
            </w:pPr>
            <w:r w:rsidRPr="004E50E7">
              <w:rPr>
                <w:rFonts w:ascii="Calibri" w:hAnsi="Calibri"/>
                <w:b/>
                <w:bCs/>
                <w:sz w:val="22"/>
              </w:rPr>
              <w:t>Income Group</w:t>
            </w:r>
          </w:p>
        </w:tc>
        <w:tc>
          <w:tcPr>
            <w:tcW w:w="1476" w:type="dxa"/>
          </w:tcPr>
          <w:p w14:paraId="6403783F" w14:textId="77777777" w:rsidR="008772FC" w:rsidRPr="004E50E7" w:rsidRDefault="008772FC" w:rsidP="008F2513">
            <w:pPr>
              <w:jc w:val="both"/>
              <w:rPr>
                <w:rFonts w:ascii="Calibri" w:hAnsi="Calibri"/>
                <w:b/>
                <w:bCs/>
              </w:rPr>
            </w:pPr>
          </w:p>
          <w:p w14:paraId="7428E246" w14:textId="77777777" w:rsidR="008772FC" w:rsidRPr="004E50E7" w:rsidRDefault="008772FC" w:rsidP="008F2513">
            <w:pPr>
              <w:jc w:val="both"/>
              <w:rPr>
                <w:rFonts w:ascii="Calibri" w:hAnsi="Calibri"/>
                <w:b/>
                <w:bCs/>
              </w:rPr>
            </w:pPr>
            <w:r w:rsidRPr="004E50E7">
              <w:rPr>
                <w:rFonts w:ascii="Calibri" w:hAnsi="Calibri"/>
                <w:b/>
                <w:bCs/>
                <w:sz w:val="22"/>
              </w:rPr>
              <w:t>Income Range*</w:t>
            </w:r>
          </w:p>
        </w:tc>
        <w:tc>
          <w:tcPr>
            <w:tcW w:w="1476" w:type="dxa"/>
          </w:tcPr>
          <w:p w14:paraId="5F7D8C04" w14:textId="77777777" w:rsidR="008772FC" w:rsidRPr="004E50E7" w:rsidRDefault="008772FC" w:rsidP="008F2513">
            <w:pPr>
              <w:jc w:val="both"/>
              <w:rPr>
                <w:rFonts w:ascii="Calibri" w:hAnsi="Calibri"/>
                <w:b/>
                <w:bCs/>
              </w:rPr>
            </w:pPr>
          </w:p>
          <w:p w14:paraId="6E716791" w14:textId="77777777" w:rsidR="008772FC" w:rsidRPr="004E50E7" w:rsidRDefault="008772FC" w:rsidP="008F2513">
            <w:pPr>
              <w:jc w:val="both"/>
              <w:rPr>
                <w:rFonts w:ascii="Calibri" w:hAnsi="Calibri"/>
                <w:b/>
                <w:bCs/>
              </w:rPr>
            </w:pPr>
            <w:r w:rsidRPr="004E50E7">
              <w:rPr>
                <w:rFonts w:ascii="Calibri" w:hAnsi="Calibri"/>
                <w:b/>
                <w:bCs/>
                <w:sz w:val="22"/>
              </w:rPr>
              <w:t>Affordable Rent**</w:t>
            </w:r>
          </w:p>
        </w:tc>
        <w:tc>
          <w:tcPr>
            <w:tcW w:w="1476" w:type="dxa"/>
          </w:tcPr>
          <w:p w14:paraId="0F9F1805" w14:textId="77777777" w:rsidR="008772FC" w:rsidRPr="004E50E7" w:rsidRDefault="008772FC" w:rsidP="008F2513">
            <w:pPr>
              <w:rPr>
                <w:rFonts w:ascii="Calibri" w:hAnsi="Calibri"/>
                <w:b/>
                <w:bCs/>
              </w:rPr>
            </w:pPr>
            <w:r w:rsidRPr="004E50E7">
              <w:rPr>
                <w:rFonts w:ascii="Calibri" w:hAnsi="Calibri"/>
                <w:b/>
                <w:bCs/>
                <w:sz w:val="22"/>
              </w:rPr>
              <w:t># Renter</w:t>
            </w:r>
          </w:p>
          <w:p w14:paraId="6569327C" w14:textId="77777777" w:rsidR="008772FC" w:rsidRPr="004E50E7" w:rsidRDefault="008772FC" w:rsidP="008F2513">
            <w:pPr>
              <w:rPr>
                <w:rFonts w:ascii="Calibri" w:hAnsi="Calibri"/>
                <w:b/>
                <w:bCs/>
              </w:rPr>
            </w:pPr>
            <w:r w:rsidRPr="004E50E7">
              <w:rPr>
                <w:rFonts w:ascii="Calibri" w:hAnsi="Calibri"/>
                <w:b/>
                <w:bCs/>
                <w:sz w:val="22"/>
              </w:rPr>
              <w:t>Households</w:t>
            </w:r>
          </w:p>
          <w:p w14:paraId="0FC2A182" w14:textId="77777777" w:rsidR="008772FC" w:rsidRPr="004E50E7" w:rsidRDefault="008772FC" w:rsidP="008F2513">
            <w:pPr>
              <w:rPr>
                <w:rFonts w:ascii="Calibri" w:hAnsi="Calibri"/>
                <w:b/>
                <w:bCs/>
              </w:rPr>
            </w:pPr>
            <w:r w:rsidRPr="004E50E7">
              <w:rPr>
                <w:rFonts w:ascii="Calibri" w:hAnsi="Calibri"/>
                <w:b/>
                <w:bCs/>
                <w:sz w:val="22"/>
              </w:rPr>
              <w:t>***</w:t>
            </w:r>
          </w:p>
        </w:tc>
        <w:tc>
          <w:tcPr>
            <w:tcW w:w="1476" w:type="dxa"/>
          </w:tcPr>
          <w:p w14:paraId="4FE40A9C" w14:textId="167B06EB" w:rsidR="00FC34A0" w:rsidRDefault="008772FC" w:rsidP="008F2513">
            <w:pPr>
              <w:rPr>
                <w:rFonts w:ascii="Calibri" w:hAnsi="Calibri"/>
                <w:b/>
                <w:bCs/>
              </w:rPr>
            </w:pPr>
            <w:r w:rsidRPr="004E50E7">
              <w:rPr>
                <w:rFonts w:ascii="Calibri" w:hAnsi="Calibri"/>
                <w:b/>
                <w:bCs/>
                <w:sz w:val="22"/>
              </w:rPr>
              <w:t xml:space="preserve">#  Existing </w:t>
            </w:r>
            <w:r w:rsidR="00FC34A0">
              <w:rPr>
                <w:rFonts w:ascii="Calibri" w:hAnsi="Calibri"/>
                <w:b/>
                <w:bCs/>
                <w:sz w:val="22"/>
              </w:rPr>
              <w:t>Affordable</w:t>
            </w:r>
          </w:p>
          <w:p w14:paraId="6A7CBF87" w14:textId="31EC4371" w:rsidR="008772FC" w:rsidRPr="004E50E7" w:rsidRDefault="008772FC" w:rsidP="008F2513">
            <w:pPr>
              <w:rPr>
                <w:rFonts w:ascii="Calibri" w:hAnsi="Calibri"/>
              </w:rPr>
            </w:pPr>
            <w:r w:rsidRPr="004E50E7">
              <w:rPr>
                <w:rFonts w:ascii="Calibri" w:hAnsi="Calibri"/>
                <w:b/>
                <w:bCs/>
                <w:sz w:val="22"/>
              </w:rPr>
              <w:t xml:space="preserve">Units </w:t>
            </w:r>
            <w:r w:rsidRPr="004E50E7">
              <w:rPr>
                <w:rFonts w:ascii="Calibri" w:hAnsi="Calibri"/>
                <w:sz w:val="22"/>
              </w:rPr>
              <w:t>****</w:t>
            </w:r>
          </w:p>
        </w:tc>
        <w:tc>
          <w:tcPr>
            <w:tcW w:w="1476" w:type="dxa"/>
          </w:tcPr>
          <w:p w14:paraId="4ECC975A" w14:textId="77777777" w:rsidR="008772FC" w:rsidRPr="004E50E7" w:rsidRDefault="008772FC" w:rsidP="008F2513">
            <w:pPr>
              <w:jc w:val="both"/>
              <w:rPr>
                <w:rFonts w:ascii="Calibri" w:hAnsi="Calibri"/>
                <w:b/>
                <w:bCs/>
              </w:rPr>
            </w:pPr>
            <w:r w:rsidRPr="004E50E7">
              <w:rPr>
                <w:rFonts w:ascii="Calibri" w:hAnsi="Calibri"/>
                <w:b/>
                <w:bCs/>
                <w:sz w:val="22"/>
              </w:rPr>
              <w:t>Deficit -/</w:t>
            </w:r>
          </w:p>
          <w:p w14:paraId="19D73476" w14:textId="77777777" w:rsidR="008772FC" w:rsidRPr="004E50E7" w:rsidRDefault="008772FC" w:rsidP="008F2513">
            <w:pPr>
              <w:jc w:val="both"/>
              <w:rPr>
                <w:rFonts w:ascii="Calibri" w:hAnsi="Calibri"/>
                <w:b/>
                <w:bCs/>
              </w:rPr>
            </w:pPr>
            <w:r w:rsidRPr="004E50E7">
              <w:rPr>
                <w:rFonts w:ascii="Calibri" w:hAnsi="Calibri"/>
                <w:b/>
                <w:bCs/>
                <w:sz w:val="22"/>
              </w:rPr>
              <w:t xml:space="preserve">Surplus + </w:t>
            </w:r>
          </w:p>
        </w:tc>
      </w:tr>
      <w:tr w:rsidR="008772FC" w:rsidRPr="004E50E7" w14:paraId="4C955D11" w14:textId="77777777" w:rsidTr="008F2513">
        <w:tc>
          <w:tcPr>
            <w:tcW w:w="1476" w:type="dxa"/>
          </w:tcPr>
          <w:p w14:paraId="6E4DB82C" w14:textId="77777777" w:rsidR="008772FC" w:rsidRPr="004E50E7" w:rsidRDefault="008772FC" w:rsidP="008F2513">
            <w:pPr>
              <w:pStyle w:val="FootnoteText"/>
              <w:rPr>
                <w:rFonts w:ascii="Calibri" w:hAnsi="Calibri"/>
                <w:szCs w:val="24"/>
              </w:rPr>
            </w:pPr>
            <w:r w:rsidRPr="004E50E7">
              <w:rPr>
                <w:rFonts w:ascii="Calibri" w:hAnsi="Calibri"/>
                <w:szCs w:val="24"/>
              </w:rPr>
              <w:t>Less than 30% AMI</w:t>
            </w:r>
          </w:p>
        </w:tc>
        <w:tc>
          <w:tcPr>
            <w:tcW w:w="1476" w:type="dxa"/>
          </w:tcPr>
          <w:p w14:paraId="369F732F" w14:textId="2D8249AD" w:rsidR="008772FC" w:rsidRPr="004E50E7" w:rsidRDefault="008772FC" w:rsidP="002159E9">
            <w:pPr>
              <w:rPr>
                <w:rFonts w:ascii="Calibri" w:hAnsi="Calibri"/>
                <w:sz w:val="20"/>
              </w:rPr>
            </w:pPr>
            <w:r w:rsidRPr="004E50E7">
              <w:rPr>
                <w:rFonts w:ascii="Calibri" w:hAnsi="Calibri"/>
                <w:sz w:val="20"/>
              </w:rPr>
              <w:t>$</w:t>
            </w:r>
            <w:r w:rsidR="0095467B">
              <w:rPr>
                <w:rFonts w:ascii="Calibri" w:hAnsi="Calibri"/>
                <w:sz w:val="20"/>
              </w:rPr>
              <w:t>25,900</w:t>
            </w:r>
            <w:r w:rsidRPr="004E50E7">
              <w:rPr>
                <w:rFonts w:ascii="Calibri" w:hAnsi="Calibri"/>
                <w:sz w:val="20"/>
              </w:rPr>
              <w:t xml:space="preserve"> and less</w:t>
            </w:r>
          </w:p>
        </w:tc>
        <w:tc>
          <w:tcPr>
            <w:tcW w:w="1476" w:type="dxa"/>
          </w:tcPr>
          <w:p w14:paraId="1E12AE03" w14:textId="77777777" w:rsidR="008772FC" w:rsidRPr="004E50E7" w:rsidRDefault="008772FC" w:rsidP="002159E9">
            <w:pPr>
              <w:rPr>
                <w:rFonts w:ascii="Calibri" w:hAnsi="Calibri"/>
                <w:sz w:val="20"/>
              </w:rPr>
            </w:pPr>
            <w:r w:rsidRPr="004E50E7">
              <w:rPr>
                <w:rFonts w:ascii="Calibri" w:hAnsi="Calibri"/>
                <w:sz w:val="20"/>
              </w:rPr>
              <w:t>$</w:t>
            </w:r>
            <w:r w:rsidR="002159E9">
              <w:rPr>
                <w:rFonts w:ascii="Calibri" w:hAnsi="Calibri"/>
                <w:sz w:val="20"/>
              </w:rPr>
              <w:t>472.50</w:t>
            </w:r>
            <w:r w:rsidRPr="004E50E7">
              <w:rPr>
                <w:rFonts w:ascii="Calibri" w:hAnsi="Calibri"/>
                <w:sz w:val="20"/>
              </w:rPr>
              <w:t xml:space="preserve"> and less</w:t>
            </w:r>
          </w:p>
        </w:tc>
        <w:tc>
          <w:tcPr>
            <w:tcW w:w="1476" w:type="dxa"/>
          </w:tcPr>
          <w:p w14:paraId="4DAA7E0F" w14:textId="13207ACC" w:rsidR="008772FC" w:rsidRPr="004E50E7" w:rsidRDefault="00123E6E" w:rsidP="002159E9">
            <w:pPr>
              <w:rPr>
                <w:rFonts w:ascii="Calibri" w:hAnsi="Calibri"/>
                <w:sz w:val="20"/>
              </w:rPr>
            </w:pPr>
            <w:r>
              <w:rPr>
                <w:rFonts w:ascii="Calibri" w:hAnsi="Calibri"/>
                <w:sz w:val="20"/>
              </w:rPr>
              <w:t>450</w:t>
            </w:r>
          </w:p>
        </w:tc>
        <w:tc>
          <w:tcPr>
            <w:tcW w:w="1476" w:type="dxa"/>
          </w:tcPr>
          <w:p w14:paraId="20B2DE8B" w14:textId="41598B33" w:rsidR="008772FC" w:rsidRPr="004E50E7" w:rsidRDefault="00123E6E" w:rsidP="008F2513">
            <w:pPr>
              <w:rPr>
                <w:rFonts w:ascii="Calibri" w:hAnsi="Calibri"/>
                <w:sz w:val="20"/>
              </w:rPr>
            </w:pPr>
            <w:r>
              <w:rPr>
                <w:rFonts w:ascii="Calibri" w:hAnsi="Calibri"/>
                <w:sz w:val="20"/>
              </w:rPr>
              <w:t>205</w:t>
            </w:r>
          </w:p>
        </w:tc>
        <w:tc>
          <w:tcPr>
            <w:tcW w:w="1476" w:type="dxa"/>
          </w:tcPr>
          <w:p w14:paraId="09102CDA" w14:textId="6CF7B2A8" w:rsidR="008772FC" w:rsidRPr="004E50E7" w:rsidRDefault="00123E6E" w:rsidP="00426317">
            <w:pPr>
              <w:pStyle w:val="FootnoteText"/>
              <w:rPr>
                <w:rFonts w:ascii="Calibri" w:hAnsi="Calibri"/>
                <w:szCs w:val="24"/>
              </w:rPr>
            </w:pPr>
            <w:r>
              <w:rPr>
                <w:rFonts w:ascii="Calibri" w:hAnsi="Calibri"/>
                <w:szCs w:val="24"/>
              </w:rPr>
              <w:t>-245</w:t>
            </w:r>
          </w:p>
        </w:tc>
      </w:tr>
      <w:tr w:rsidR="008772FC" w:rsidRPr="004E50E7" w14:paraId="7D214F0D" w14:textId="77777777" w:rsidTr="008F2513">
        <w:tc>
          <w:tcPr>
            <w:tcW w:w="1476" w:type="dxa"/>
          </w:tcPr>
          <w:p w14:paraId="19204605" w14:textId="77777777" w:rsidR="008772FC" w:rsidRPr="004E50E7" w:rsidRDefault="008772FC" w:rsidP="008F2513">
            <w:pPr>
              <w:rPr>
                <w:rFonts w:ascii="Calibri" w:hAnsi="Calibri"/>
                <w:sz w:val="20"/>
              </w:rPr>
            </w:pPr>
            <w:r w:rsidRPr="004E50E7">
              <w:rPr>
                <w:rFonts w:ascii="Calibri" w:hAnsi="Calibri"/>
                <w:sz w:val="20"/>
              </w:rPr>
              <w:t>Between 30% and 50% AMI</w:t>
            </w:r>
          </w:p>
        </w:tc>
        <w:tc>
          <w:tcPr>
            <w:tcW w:w="1476" w:type="dxa"/>
          </w:tcPr>
          <w:p w14:paraId="062AF66D" w14:textId="042DB9F6" w:rsidR="008772FC" w:rsidRPr="004E50E7" w:rsidRDefault="008772FC" w:rsidP="002159E9">
            <w:pPr>
              <w:rPr>
                <w:rFonts w:ascii="Calibri" w:hAnsi="Calibri"/>
                <w:sz w:val="20"/>
              </w:rPr>
            </w:pPr>
            <w:r w:rsidRPr="004E50E7">
              <w:rPr>
                <w:rFonts w:ascii="Calibri" w:hAnsi="Calibri"/>
                <w:sz w:val="20"/>
              </w:rPr>
              <w:t>$</w:t>
            </w:r>
            <w:r w:rsidR="0095467B">
              <w:rPr>
                <w:rFonts w:ascii="Calibri" w:hAnsi="Calibri"/>
                <w:sz w:val="20"/>
              </w:rPr>
              <w:t>25.901</w:t>
            </w:r>
            <w:r w:rsidRPr="004E50E7">
              <w:rPr>
                <w:rFonts w:ascii="Calibri" w:hAnsi="Calibri"/>
                <w:sz w:val="20"/>
              </w:rPr>
              <w:t xml:space="preserve"> to $</w:t>
            </w:r>
            <w:r w:rsidR="0095467B">
              <w:rPr>
                <w:rFonts w:ascii="Calibri" w:hAnsi="Calibri"/>
                <w:sz w:val="20"/>
              </w:rPr>
              <w:t>43,150</w:t>
            </w:r>
          </w:p>
        </w:tc>
        <w:tc>
          <w:tcPr>
            <w:tcW w:w="1476" w:type="dxa"/>
          </w:tcPr>
          <w:p w14:paraId="393C6773" w14:textId="77777777" w:rsidR="008772FC" w:rsidRPr="004E50E7" w:rsidRDefault="008772FC" w:rsidP="002159E9">
            <w:pPr>
              <w:rPr>
                <w:rFonts w:ascii="Calibri" w:hAnsi="Calibri"/>
                <w:sz w:val="20"/>
              </w:rPr>
            </w:pPr>
            <w:r w:rsidRPr="004E50E7">
              <w:rPr>
                <w:rFonts w:ascii="Calibri" w:hAnsi="Calibri"/>
                <w:sz w:val="20"/>
              </w:rPr>
              <w:t>$</w:t>
            </w:r>
            <w:r w:rsidR="002159E9">
              <w:rPr>
                <w:rFonts w:ascii="Calibri" w:hAnsi="Calibri"/>
                <w:sz w:val="20"/>
              </w:rPr>
              <w:t>472.51</w:t>
            </w:r>
            <w:r w:rsidRPr="004E50E7">
              <w:rPr>
                <w:rFonts w:ascii="Calibri" w:hAnsi="Calibri"/>
                <w:sz w:val="20"/>
              </w:rPr>
              <w:t xml:space="preserve"> to $</w:t>
            </w:r>
            <w:r w:rsidR="002159E9">
              <w:rPr>
                <w:rFonts w:ascii="Calibri" w:hAnsi="Calibri"/>
                <w:sz w:val="20"/>
              </w:rPr>
              <w:t>903.75</w:t>
            </w:r>
          </w:p>
        </w:tc>
        <w:tc>
          <w:tcPr>
            <w:tcW w:w="1476" w:type="dxa"/>
          </w:tcPr>
          <w:p w14:paraId="5D5974ED" w14:textId="3C7BD7B5" w:rsidR="008772FC" w:rsidRPr="004E50E7" w:rsidRDefault="00123E6E" w:rsidP="008F2513">
            <w:pPr>
              <w:rPr>
                <w:rFonts w:ascii="Calibri" w:hAnsi="Calibri"/>
                <w:sz w:val="20"/>
              </w:rPr>
            </w:pPr>
            <w:r>
              <w:rPr>
                <w:rFonts w:ascii="Calibri" w:hAnsi="Calibri"/>
                <w:sz w:val="20"/>
              </w:rPr>
              <w:t>405</w:t>
            </w:r>
          </w:p>
        </w:tc>
        <w:tc>
          <w:tcPr>
            <w:tcW w:w="1476" w:type="dxa"/>
          </w:tcPr>
          <w:p w14:paraId="4BE7933F" w14:textId="267E1115" w:rsidR="008772FC" w:rsidRPr="004E50E7" w:rsidRDefault="00123E6E" w:rsidP="002900E8">
            <w:pPr>
              <w:rPr>
                <w:rFonts w:ascii="Calibri" w:hAnsi="Calibri"/>
                <w:sz w:val="20"/>
              </w:rPr>
            </w:pPr>
            <w:r>
              <w:rPr>
                <w:rFonts w:ascii="Calibri" w:hAnsi="Calibri"/>
                <w:sz w:val="20"/>
              </w:rPr>
              <w:t>150</w:t>
            </w:r>
          </w:p>
        </w:tc>
        <w:tc>
          <w:tcPr>
            <w:tcW w:w="1476" w:type="dxa"/>
          </w:tcPr>
          <w:p w14:paraId="0E08A7FD" w14:textId="67532BBB" w:rsidR="008772FC" w:rsidRPr="004E50E7" w:rsidRDefault="00123E6E" w:rsidP="008F2513">
            <w:pPr>
              <w:rPr>
                <w:rFonts w:ascii="Calibri" w:hAnsi="Calibri"/>
                <w:sz w:val="20"/>
              </w:rPr>
            </w:pPr>
            <w:r>
              <w:rPr>
                <w:rFonts w:ascii="Calibri" w:hAnsi="Calibri"/>
                <w:sz w:val="20"/>
              </w:rPr>
              <w:t>-255</w:t>
            </w:r>
          </w:p>
        </w:tc>
      </w:tr>
      <w:tr w:rsidR="008772FC" w:rsidRPr="004E50E7" w14:paraId="482B8A0B" w14:textId="77777777" w:rsidTr="008F2513">
        <w:tc>
          <w:tcPr>
            <w:tcW w:w="1476" w:type="dxa"/>
          </w:tcPr>
          <w:p w14:paraId="01E2A421" w14:textId="77777777" w:rsidR="008772FC" w:rsidRPr="004E50E7" w:rsidRDefault="008772FC" w:rsidP="008F2513">
            <w:pPr>
              <w:rPr>
                <w:rFonts w:ascii="Calibri" w:hAnsi="Calibri"/>
                <w:sz w:val="20"/>
              </w:rPr>
            </w:pPr>
            <w:r w:rsidRPr="004E50E7">
              <w:rPr>
                <w:rFonts w:ascii="Calibri" w:hAnsi="Calibri"/>
                <w:sz w:val="20"/>
              </w:rPr>
              <w:t>Between 50% and 80% AMI</w:t>
            </w:r>
          </w:p>
        </w:tc>
        <w:tc>
          <w:tcPr>
            <w:tcW w:w="1476" w:type="dxa"/>
          </w:tcPr>
          <w:p w14:paraId="6EBF49F2" w14:textId="79F45237" w:rsidR="008772FC" w:rsidRPr="004E50E7" w:rsidRDefault="008772FC" w:rsidP="002159E9">
            <w:pPr>
              <w:rPr>
                <w:rFonts w:ascii="Calibri" w:hAnsi="Calibri"/>
                <w:sz w:val="20"/>
              </w:rPr>
            </w:pPr>
            <w:r w:rsidRPr="004E50E7">
              <w:rPr>
                <w:rFonts w:ascii="Calibri" w:hAnsi="Calibri"/>
                <w:sz w:val="20"/>
              </w:rPr>
              <w:t>$</w:t>
            </w:r>
            <w:r w:rsidR="0095467B">
              <w:rPr>
                <w:rFonts w:ascii="Calibri" w:hAnsi="Calibri"/>
                <w:sz w:val="20"/>
              </w:rPr>
              <w:t>43,151</w:t>
            </w:r>
            <w:r w:rsidRPr="004E50E7">
              <w:rPr>
                <w:rFonts w:ascii="Calibri" w:hAnsi="Calibri"/>
                <w:sz w:val="20"/>
              </w:rPr>
              <w:t xml:space="preserve"> to $</w:t>
            </w:r>
            <w:r w:rsidR="0095467B">
              <w:rPr>
                <w:rFonts w:ascii="Calibri" w:hAnsi="Calibri"/>
                <w:sz w:val="20"/>
              </w:rPr>
              <w:t>64,900</w:t>
            </w:r>
          </w:p>
        </w:tc>
        <w:tc>
          <w:tcPr>
            <w:tcW w:w="1476" w:type="dxa"/>
          </w:tcPr>
          <w:p w14:paraId="3B84BF74" w14:textId="77777777" w:rsidR="008772FC" w:rsidRPr="004E50E7" w:rsidRDefault="008772FC" w:rsidP="002159E9">
            <w:pPr>
              <w:rPr>
                <w:rFonts w:ascii="Calibri" w:hAnsi="Calibri"/>
                <w:sz w:val="20"/>
              </w:rPr>
            </w:pPr>
            <w:r w:rsidRPr="004E50E7">
              <w:rPr>
                <w:rFonts w:ascii="Calibri" w:hAnsi="Calibri"/>
                <w:sz w:val="20"/>
              </w:rPr>
              <w:t>$</w:t>
            </w:r>
            <w:r w:rsidR="002159E9">
              <w:rPr>
                <w:rFonts w:ascii="Calibri" w:hAnsi="Calibri"/>
                <w:sz w:val="20"/>
              </w:rPr>
              <w:t>903.76</w:t>
            </w:r>
            <w:r w:rsidRPr="004E50E7">
              <w:rPr>
                <w:rFonts w:ascii="Calibri" w:hAnsi="Calibri"/>
                <w:sz w:val="20"/>
              </w:rPr>
              <w:t xml:space="preserve"> to $</w:t>
            </w:r>
            <w:r w:rsidR="002159E9">
              <w:rPr>
                <w:rFonts w:ascii="Calibri" w:hAnsi="Calibri"/>
                <w:sz w:val="20"/>
              </w:rPr>
              <w:t>1,447.50</w:t>
            </w:r>
          </w:p>
        </w:tc>
        <w:tc>
          <w:tcPr>
            <w:tcW w:w="1476" w:type="dxa"/>
          </w:tcPr>
          <w:p w14:paraId="6EB19D54" w14:textId="07B66EA0" w:rsidR="008772FC" w:rsidRPr="004E50E7" w:rsidRDefault="00123E6E" w:rsidP="008F2513">
            <w:pPr>
              <w:rPr>
                <w:rFonts w:ascii="Calibri" w:hAnsi="Calibri"/>
                <w:sz w:val="20"/>
              </w:rPr>
            </w:pPr>
            <w:r>
              <w:rPr>
                <w:rFonts w:ascii="Calibri" w:hAnsi="Calibri"/>
                <w:sz w:val="20"/>
              </w:rPr>
              <w:t>175</w:t>
            </w:r>
          </w:p>
        </w:tc>
        <w:tc>
          <w:tcPr>
            <w:tcW w:w="1476" w:type="dxa"/>
          </w:tcPr>
          <w:p w14:paraId="2EED97B4" w14:textId="27F24F0A" w:rsidR="008772FC" w:rsidRPr="004E50E7" w:rsidRDefault="00123E6E" w:rsidP="008F2513">
            <w:pPr>
              <w:rPr>
                <w:rFonts w:ascii="Calibri" w:hAnsi="Calibri"/>
                <w:sz w:val="20"/>
              </w:rPr>
            </w:pPr>
            <w:r>
              <w:rPr>
                <w:rFonts w:ascii="Calibri" w:hAnsi="Calibri"/>
                <w:sz w:val="20"/>
              </w:rPr>
              <w:t>55</w:t>
            </w:r>
          </w:p>
        </w:tc>
        <w:tc>
          <w:tcPr>
            <w:tcW w:w="1476" w:type="dxa"/>
          </w:tcPr>
          <w:p w14:paraId="6BE1955A" w14:textId="437803A3" w:rsidR="008772FC" w:rsidRPr="004E50E7" w:rsidRDefault="00367477" w:rsidP="00426317">
            <w:pPr>
              <w:rPr>
                <w:rFonts w:ascii="Calibri" w:hAnsi="Calibri"/>
                <w:sz w:val="20"/>
              </w:rPr>
            </w:pPr>
            <w:r>
              <w:rPr>
                <w:rFonts w:ascii="Calibri" w:hAnsi="Calibri"/>
                <w:sz w:val="20"/>
              </w:rPr>
              <w:t>-</w:t>
            </w:r>
            <w:r w:rsidR="00123E6E">
              <w:rPr>
                <w:rFonts w:ascii="Calibri" w:hAnsi="Calibri"/>
                <w:sz w:val="20"/>
              </w:rPr>
              <w:t>120</w:t>
            </w:r>
          </w:p>
        </w:tc>
      </w:tr>
      <w:tr w:rsidR="008772FC" w:rsidRPr="004E50E7" w14:paraId="472DB1F4" w14:textId="77777777" w:rsidTr="008F2513">
        <w:tc>
          <w:tcPr>
            <w:tcW w:w="1476" w:type="dxa"/>
          </w:tcPr>
          <w:p w14:paraId="495B94A6" w14:textId="77777777" w:rsidR="008772FC" w:rsidRPr="00161EA5" w:rsidRDefault="008772FC" w:rsidP="008F2513">
            <w:pPr>
              <w:rPr>
                <w:rFonts w:ascii="Calibri" w:hAnsi="Calibri"/>
                <w:b/>
                <w:sz w:val="20"/>
              </w:rPr>
            </w:pPr>
            <w:r w:rsidRPr="00161EA5">
              <w:rPr>
                <w:rFonts w:ascii="Calibri" w:hAnsi="Calibri"/>
                <w:b/>
                <w:sz w:val="20"/>
              </w:rPr>
              <w:t>Total</w:t>
            </w:r>
          </w:p>
        </w:tc>
        <w:tc>
          <w:tcPr>
            <w:tcW w:w="1476" w:type="dxa"/>
          </w:tcPr>
          <w:p w14:paraId="5962772D" w14:textId="77777777" w:rsidR="008772FC" w:rsidRPr="00161EA5" w:rsidRDefault="008772FC" w:rsidP="008F2513">
            <w:pPr>
              <w:rPr>
                <w:rFonts w:ascii="Calibri" w:hAnsi="Calibri"/>
                <w:b/>
                <w:sz w:val="20"/>
              </w:rPr>
            </w:pPr>
          </w:p>
        </w:tc>
        <w:tc>
          <w:tcPr>
            <w:tcW w:w="1476" w:type="dxa"/>
          </w:tcPr>
          <w:p w14:paraId="3182CF24" w14:textId="77777777" w:rsidR="008772FC" w:rsidRPr="00161EA5" w:rsidRDefault="008772FC" w:rsidP="008F2513">
            <w:pPr>
              <w:rPr>
                <w:rFonts w:ascii="Calibri" w:hAnsi="Calibri"/>
                <w:b/>
                <w:sz w:val="20"/>
              </w:rPr>
            </w:pPr>
          </w:p>
        </w:tc>
        <w:tc>
          <w:tcPr>
            <w:tcW w:w="1476" w:type="dxa"/>
          </w:tcPr>
          <w:p w14:paraId="02517119" w14:textId="47DED611" w:rsidR="008772FC" w:rsidRPr="00161EA5" w:rsidRDefault="00FC34A0" w:rsidP="008F2513">
            <w:pPr>
              <w:rPr>
                <w:rFonts w:ascii="Calibri" w:hAnsi="Calibri"/>
                <w:b/>
                <w:sz w:val="20"/>
              </w:rPr>
            </w:pPr>
            <w:r>
              <w:rPr>
                <w:rFonts w:ascii="Calibri" w:hAnsi="Calibri"/>
                <w:b/>
                <w:sz w:val="20"/>
              </w:rPr>
              <w:t>1,030</w:t>
            </w:r>
          </w:p>
        </w:tc>
        <w:tc>
          <w:tcPr>
            <w:tcW w:w="1476" w:type="dxa"/>
          </w:tcPr>
          <w:p w14:paraId="096C7778" w14:textId="781B6DE0" w:rsidR="008772FC" w:rsidRPr="00161EA5" w:rsidRDefault="00FC34A0" w:rsidP="008F2513">
            <w:pPr>
              <w:rPr>
                <w:rFonts w:ascii="Calibri" w:hAnsi="Calibri"/>
                <w:b/>
                <w:sz w:val="20"/>
              </w:rPr>
            </w:pPr>
            <w:r>
              <w:rPr>
                <w:rFonts w:ascii="Calibri" w:hAnsi="Calibri"/>
                <w:b/>
                <w:sz w:val="20"/>
              </w:rPr>
              <w:t>410</w:t>
            </w:r>
          </w:p>
        </w:tc>
        <w:tc>
          <w:tcPr>
            <w:tcW w:w="1476" w:type="dxa"/>
          </w:tcPr>
          <w:p w14:paraId="212FF098" w14:textId="3FA43689" w:rsidR="008772FC" w:rsidRPr="00161EA5" w:rsidRDefault="00123E6E" w:rsidP="00426317">
            <w:pPr>
              <w:rPr>
                <w:rFonts w:ascii="Calibri" w:hAnsi="Calibri"/>
                <w:b/>
                <w:sz w:val="20"/>
              </w:rPr>
            </w:pPr>
            <w:r>
              <w:rPr>
                <w:rFonts w:ascii="Calibri" w:hAnsi="Calibri"/>
                <w:b/>
                <w:sz w:val="20"/>
              </w:rPr>
              <w:t>-</w:t>
            </w:r>
            <w:r w:rsidR="00FC34A0">
              <w:rPr>
                <w:rFonts w:ascii="Calibri" w:hAnsi="Calibri"/>
                <w:b/>
                <w:sz w:val="20"/>
              </w:rPr>
              <w:t>620</w:t>
            </w:r>
          </w:p>
        </w:tc>
      </w:tr>
    </w:tbl>
    <w:p w14:paraId="1FE26D51" w14:textId="77777777" w:rsidR="00332C89" w:rsidRDefault="008772FC" w:rsidP="00332C89">
      <w:pPr>
        <w:pStyle w:val="FootnoteText"/>
        <w:jc w:val="both"/>
        <w:rPr>
          <w:rFonts w:asciiTheme="minorHAnsi" w:hAnsiTheme="minorHAnsi"/>
          <w:sz w:val="22"/>
          <w:szCs w:val="22"/>
        </w:rPr>
      </w:pPr>
      <w:r w:rsidRPr="004E50E7">
        <w:rPr>
          <w:rFonts w:ascii="Calibri" w:hAnsi="Calibri"/>
        </w:rPr>
        <w:t xml:space="preserve">Source: </w:t>
      </w:r>
      <w:r w:rsidR="00332C89" w:rsidRPr="004E50E7">
        <w:rPr>
          <w:rFonts w:ascii="Calibri" w:hAnsi="Calibri" w:cs="Lucida Sans Unicode"/>
        </w:rPr>
        <w:t>.S. Department of Housing and Urban Development (HUD), SOCDS CHAS Data, American Community Survey, 20</w:t>
      </w:r>
      <w:r w:rsidR="00332C89">
        <w:rPr>
          <w:rFonts w:ascii="Calibri" w:hAnsi="Calibri" w:cs="Lucida Sans Unicode"/>
        </w:rPr>
        <w:t>14-2018 5-Year Estimate (latest figures available based on HUD special table data).</w:t>
      </w:r>
      <w:r w:rsidR="00332C89" w:rsidRPr="005A6B09">
        <w:rPr>
          <w:rFonts w:asciiTheme="minorHAnsi" w:hAnsiTheme="minorHAnsi"/>
          <w:sz w:val="22"/>
          <w:szCs w:val="22"/>
        </w:rPr>
        <w:t xml:space="preserve"> </w:t>
      </w:r>
    </w:p>
    <w:p w14:paraId="7F68AABC" w14:textId="4ECF49D8" w:rsidR="008772FC" w:rsidRPr="004E50E7" w:rsidRDefault="008772FC" w:rsidP="00615DA4">
      <w:pPr>
        <w:pStyle w:val="BodyText2"/>
        <w:spacing w:after="0" w:line="240" w:lineRule="auto"/>
        <w:jc w:val="both"/>
        <w:rPr>
          <w:rFonts w:ascii="Calibri" w:hAnsi="Calibri"/>
          <w:sz w:val="20"/>
        </w:rPr>
      </w:pPr>
      <w:r w:rsidRPr="004E50E7">
        <w:rPr>
          <w:rFonts w:ascii="Calibri" w:hAnsi="Calibri"/>
          <w:sz w:val="20"/>
        </w:rPr>
        <w:t xml:space="preserve">* For a household of two (as the average household size for renters was </w:t>
      </w:r>
      <w:r>
        <w:rPr>
          <w:rFonts w:ascii="Calibri" w:hAnsi="Calibri"/>
          <w:sz w:val="20"/>
        </w:rPr>
        <w:t>1.</w:t>
      </w:r>
      <w:r w:rsidR="002159E9">
        <w:rPr>
          <w:rFonts w:ascii="Calibri" w:hAnsi="Calibri"/>
          <w:sz w:val="20"/>
        </w:rPr>
        <w:t>7</w:t>
      </w:r>
      <w:r w:rsidR="00FC34A0">
        <w:rPr>
          <w:rFonts w:ascii="Calibri" w:hAnsi="Calibri"/>
          <w:sz w:val="20"/>
        </w:rPr>
        <w:t>4</w:t>
      </w:r>
      <w:r>
        <w:rPr>
          <w:rFonts w:ascii="Calibri" w:hAnsi="Calibri"/>
          <w:sz w:val="20"/>
        </w:rPr>
        <w:t xml:space="preserve"> per 201</w:t>
      </w:r>
      <w:r w:rsidR="00FC34A0">
        <w:rPr>
          <w:rFonts w:ascii="Calibri" w:hAnsi="Calibri"/>
          <w:sz w:val="20"/>
        </w:rPr>
        <w:t>5</w:t>
      </w:r>
      <w:r w:rsidR="004A6BCF">
        <w:rPr>
          <w:rFonts w:ascii="Calibri" w:hAnsi="Calibri"/>
          <w:sz w:val="20"/>
        </w:rPr>
        <w:t>-</w:t>
      </w:r>
      <w:r w:rsidR="002159E9">
        <w:rPr>
          <w:rFonts w:ascii="Calibri" w:hAnsi="Calibri"/>
          <w:sz w:val="20"/>
        </w:rPr>
        <w:t>201</w:t>
      </w:r>
      <w:r w:rsidR="00FC34A0">
        <w:rPr>
          <w:rFonts w:ascii="Calibri" w:hAnsi="Calibri"/>
          <w:sz w:val="20"/>
        </w:rPr>
        <w:t>9</w:t>
      </w:r>
      <w:r w:rsidR="002159E9">
        <w:rPr>
          <w:rFonts w:ascii="Calibri" w:hAnsi="Calibri"/>
          <w:sz w:val="20"/>
        </w:rPr>
        <w:t xml:space="preserve"> 5-Year ACS E</w:t>
      </w:r>
      <w:r>
        <w:rPr>
          <w:rFonts w:ascii="Calibri" w:hAnsi="Calibri"/>
          <w:sz w:val="20"/>
        </w:rPr>
        <w:t>stimates)</w:t>
      </w:r>
      <w:r w:rsidRPr="004E50E7">
        <w:rPr>
          <w:rFonts w:ascii="Calibri" w:hAnsi="Calibri"/>
          <w:sz w:val="20"/>
        </w:rPr>
        <w:t xml:space="preserve"> </w:t>
      </w:r>
      <w:r w:rsidR="002159E9">
        <w:rPr>
          <w:rFonts w:ascii="Calibri" w:hAnsi="Calibri"/>
          <w:sz w:val="20"/>
        </w:rPr>
        <w:t xml:space="preserve">and </w:t>
      </w:r>
      <w:r w:rsidRPr="004E50E7">
        <w:rPr>
          <w:rFonts w:ascii="Calibri" w:hAnsi="Calibri"/>
          <w:sz w:val="20"/>
        </w:rPr>
        <w:t>based on 201</w:t>
      </w:r>
      <w:r w:rsidR="00984311">
        <w:rPr>
          <w:rFonts w:ascii="Calibri" w:hAnsi="Calibri"/>
          <w:sz w:val="20"/>
        </w:rPr>
        <w:t>8</w:t>
      </w:r>
      <w:r w:rsidRPr="004E50E7">
        <w:rPr>
          <w:rFonts w:ascii="Calibri" w:hAnsi="Calibri"/>
          <w:sz w:val="20"/>
        </w:rPr>
        <w:t xml:space="preserve"> HUD income limits for the Boston area that includes Needham.</w:t>
      </w:r>
    </w:p>
    <w:p w14:paraId="6D6AD805" w14:textId="5B02E56E" w:rsidR="008772FC" w:rsidRPr="004E50E7" w:rsidRDefault="008772FC" w:rsidP="00615DA4">
      <w:pPr>
        <w:pStyle w:val="BodyText2"/>
        <w:spacing w:after="0" w:line="240" w:lineRule="auto"/>
        <w:jc w:val="both"/>
        <w:rPr>
          <w:rFonts w:ascii="Calibri" w:hAnsi="Calibri"/>
          <w:sz w:val="20"/>
        </w:rPr>
      </w:pPr>
      <w:r w:rsidRPr="004E50E7">
        <w:rPr>
          <w:rFonts w:ascii="Calibri" w:hAnsi="Calibri"/>
          <w:sz w:val="20"/>
        </w:rPr>
        <w:t xml:space="preserve">** </w:t>
      </w:r>
      <w:r w:rsidR="0095467B">
        <w:rPr>
          <w:rFonts w:ascii="Calibri" w:hAnsi="Calibri"/>
          <w:sz w:val="20"/>
        </w:rPr>
        <w:t>Data based on the household spending no more than 30% of income on rent as well as an average monthly</w:t>
      </w:r>
      <w:r w:rsidR="0095467B" w:rsidRPr="004E50E7">
        <w:rPr>
          <w:rFonts w:ascii="Calibri" w:hAnsi="Calibri"/>
          <w:sz w:val="20"/>
        </w:rPr>
        <w:t xml:space="preserve"> </w:t>
      </w:r>
      <w:r w:rsidRPr="004E50E7">
        <w:rPr>
          <w:rFonts w:ascii="Calibri" w:hAnsi="Calibri"/>
          <w:sz w:val="20"/>
        </w:rPr>
        <w:t>utility allowance of $1</w:t>
      </w:r>
      <w:r>
        <w:rPr>
          <w:rFonts w:ascii="Calibri" w:hAnsi="Calibri"/>
          <w:sz w:val="20"/>
        </w:rPr>
        <w:t>7</w:t>
      </w:r>
      <w:r w:rsidR="002159E9">
        <w:rPr>
          <w:rFonts w:ascii="Calibri" w:hAnsi="Calibri"/>
          <w:sz w:val="20"/>
        </w:rPr>
        <w:t>5</w:t>
      </w:r>
      <w:r w:rsidRPr="004E50E7">
        <w:rPr>
          <w:rFonts w:ascii="Calibri" w:hAnsi="Calibri"/>
          <w:sz w:val="20"/>
        </w:rPr>
        <w:t xml:space="preserve"> per month.</w:t>
      </w:r>
    </w:p>
    <w:p w14:paraId="36EE1D0C" w14:textId="5C977DD3" w:rsidR="008772FC" w:rsidRPr="004E50E7" w:rsidRDefault="008772FC" w:rsidP="00615DA4">
      <w:pPr>
        <w:pStyle w:val="BodyText2"/>
        <w:spacing w:after="0" w:line="240" w:lineRule="auto"/>
        <w:jc w:val="both"/>
        <w:rPr>
          <w:rFonts w:ascii="Calibri" w:hAnsi="Calibri"/>
          <w:sz w:val="20"/>
        </w:rPr>
      </w:pPr>
      <w:r w:rsidRPr="004E50E7">
        <w:rPr>
          <w:rFonts w:ascii="Calibri" w:hAnsi="Calibri"/>
          <w:sz w:val="20"/>
        </w:rPr>
        <w:t>***</w:t>
      </w:r>
      <w:r w:rsidR="0095467B">
        <w:rPr>
          <w:rFonts w:ascii="Calibri" w:hAnsi="Calibri"/>
          <w:sz w:val="20"/>
        </w:rPr>
        <w:t xml:space="preserve"> Data from Table III-41.</w:t>
      </w:r>
    </w:p>
    <w:p w14:paraId="67DD181E" w14:textId="280E07E2" w:rsidR="008772FC" w:rsidRPr="004E50E7" w:rsidRDefault="008772FC" w:rsidP="00615DA4">
      <w:pPr>
        <w:jc w:val="both"/>
        <w:rPr>
          <w:rFonts w:ascii="Calibri" w:hAnsi="Calibri"/>
          <w:sz w:val="20"/>
        </w:rPr>
      </w:pPr>
      <w:r w:rsidRPr="004E50E7">
        <w:rPr>
          <w:rFonts w:ascii="Calibri" w:hAnsi="Calibri"/>
          <w:sz w:val="20"/>
        </w:rPr>
        <w:t>****</w:t>
      </w:r>
      <w:r w:rsidR="002159E9">
        <w:rPr>
          <w:rFonts w:ascii="Calibri" w:hAnsi="Calibri"/>
          <w:sz w:val="20"/>
        </w:rPr>
        <w:t xml:space="preserve"> </w:t>
      </w:r>
      <w:r w:rsidR="00FC34A0">
        <w:rPr>
          <w:rFonts w:ascii="Calibri" w:hAnsi="Calibri"/>
          <w:sz w:val="20"/>
        </w:rPr>
        <w:t>Data from Table III-4</w:t>
      </w:r>
      <w:r w:rsidR="001F43B8">
        <w:rPr>
          <w:rFonts w:ascii="Calibri" w:hAnsi="Calibri"/>
          <w:sz w:val="20"/>
        </w:rPr>
        <w:t>1</w:t>
      </w:r>
      <w:r w:rsidR="00FC34A0">
        <w:rPr>
          <w:rFonts w:ascii="Calibri" w:hAnsi="Calibri"/>
          <w:sz w:val="20"/>
        </w:rPr>
        <w:t xml:space="preserve"> for those without cost burdens</w:t>
      </w:r>
      <w:r>
        <w:rPr>
          <w:rFonts w:ascii="Calibri" w:hAnsi="Calibri"/>
          <w:sz w:val="20"/>
        </w:rPr>
        <w:t>.</w:t>
      </w:r>
    </w:p>
    <w:p w14:paraId="27F33109" w14:textId="63BEF721" w:rsidR="008772FC" w:rsidRDefault="008772FC" w:rsidP="008772FC">
      <w:pPr>
        <w:rPr>
          <w:rFonts w:ascii="Calibri" w:hAnsi="Calibri"/>
          <w:i/>
          <w:iCs/>
          <w:sz w:val="22"/>
          <w:szCs w:val="22"/>
        </w:rPr>
      </w:pPr>
    </w:p>
    <w:p w14:paraId="2B2A2386" w14:textId="3558E3BF" w:rsidR="00692D24" w:rsidRDefault="00692D24" w:rsidP="00692D24">
      <w:pPr>
        <w:pStyle w:val="Footer"/>
        <w:jc w:val="both"/>
        <w:rPr>
          <w:rFonts w:ascii="Calibri" w:hAnsi="Calibri" w:cs="Lucida Sans Unicode"/>
          <w:sz w:val="22"/>
          <w:szCs w:val="22"/>
        </w:rPr>
      </w:pPr>
      <w:r>
        <w:rPr>
          <w:rFonts w:ascii="Calibri" w:hAnsi="Calibri" w:cs="Lucida Sans Unicode"/>
          <w:sz w:val="22"/>
          <w:szCs w:val="22"/>
        </w:rPr>
        <w:t>The MAPC projections also provide estimates on future housing demand with an estimated net demand of 1,339 housing units between 2010 and 2030, further suggesting that this demand will come primarily from those who were under age 54 in 2010.  MAPC figures for the period of 2010 to 2020 indicate that much of the demand will be from those under age 35, split relatively evenly between single-family ownership and multi-family rental options, both at about 500 units each.  A large demand of about 1,500 single-family units was estimated for those in the 35 to 54 age range. On the other end of the age range, those age 55 to 64 will demand a small amount of multi-family rental or ownership units while vacating about 500 units of single-family units based on outmigration, mortality, or decreased preference for that housing type.  Those 75 years of age or older are expected to vacate about 1,300 units, most in single-family homes, for the reasons mentioned above.</w:t>
      </w:r>
    </w:p>
    <w:p w14:paraId="301B8781" w14:textId="77777777" w:rsidR="00692D24" w:rsidRDefault="00692D24" w:rsidP="008772FC">
      <w:pPr>
        <w:rPr>
          <w:rFonts w:ascii="Calibri" w:hAnsi="Calibri"/>
          <w:i/>
          <w:iCs/>
          <w:sz w:val="22"/>
          <w:szCs w:val="22"/>
        </w:rPr>
      </w:pPr>
    </w:p>
    <w:p w14:paraId="38423EAF" w14:textId="3BB98F70" w:rsidR="008772FC" w:rsidRPr="00876ECA" w:rsidRDefault="008772FC" w:rsidP="00615DA4">
      <w:pPr>
        <w:jc w:val="both"/>
        <w:rPr>
          <w:rFonts w:ascii="Calibri" w:hAnsi="Calibri"/>
          <w:b/>
          <w:iCs/>
          <w:sz w:val="22"/>
          <w:szCs w:val="22"/>
        </w:rPr>
      </w:pPr>
      <w:r w:rsidRPr="00876ECA">
        <w:rPr>
          <w:rFonts w:ascii="Calibri" w:hAnsi="Calibri"/>
          <w:b/>
          <w:iCs/>
          <w:sz w:val="22"/>
          <w:szCs w:val="22"/>
        </w:rPr>
        <w:t xml:space="preserve">Cost Burdens </w:t>
      </w:r>
    </w:p>
    <w:p w14:paraId="606B9C1C" w14:textId="77777777" w:rsidR="004D53AD" w:rsidRPr="004A6BCF" w:rsidRDefault="004D53AD" w:rsidP="003E5F08">
      <w:pPr>
        <w:jc w:val="both"/>
        <w:rPr>
          <w:rFonts w:ascii="Calibri" w:hAnsi="Calibri"/>
          <w:sz w:val="22"/>
          <w:szCs w:val="22"/>
        </w:rPr>
      </w:pPr>
      <w:r w:rsidRPr="004A6BCF">
        <w:rPr>
          <w:rFonts w:ascii="Calibri" w:hAnsi="Calibri"/>
          <w:iCs/>
          <w:sz w:val="22"/>
          <w:szCs w:val="22"/>
        </w:rPr>
        <w:t xml:space="preserve">An important measure of housing affordability or housing need is the number of residents who are living beyond their means based on their housing costs, </w:t>
      </w:r>
      <w:r w:rsidRPr="004A6BCF">
        <w:rPr>
          <w:rFonts w:ascii="Calibri" w:hAnsi="Calibri"/>
          <w:sz w:val="22"/>
          <w:szCs w:val="22"/>
        </w:rPr>
        <w:t xml:space="preserve">whether for ownership or rental.  Such information is helpful in assessing how many households are encountering housing affordability problems or cost </w:t>
      </w:r>
      <w:r w:rsidRPr="004A6BCF">
        <w:rPr>
          <w:rFonts w:ascii="Calibri" w:hAnsi="Calibri"/>
          <w:sz w:val="22"/>
          <w:szCs w:val="22"/>
        </w:rPr>
        <w:lastRenderedPageBreak/>
        <w:t xml:space="preserve">burdens, defined as spending more than 30% of </w:t>
      </w:r>
      <w:r w:rsidR="004A6BCF">
        <w:rPr>
          <w:rFonts w:ascii="Calibri" w:hAnsi="Calibri"/>
          <w:sz w:val="22"/>
          <w:szCs w:val="22"/>
        </w:rPr>
        <w:t>household</w:t>
      </w:r>
      <w:r w:rsidRPr="004A6BCF">
        <w:rPr>
          <w:rFonts w:ascii="Calibri" w:hAnsi="Calibri"/>
          <w:sz w:val="22"/>
          <w:szCs w:val="22"/>
        </w:rPr>
        <w:t xml:space="preserve"> income on housing, or severe cost burdens based on spending more than 50% of income on housing costs.  </w:t>
      </w:r>
    </w:p>
    <w:p w14:paraId="1B50C487" w14:textId="0A699579" w:rsidR="004D53AD" w:rsidRDefault="004D53AD" w:rsidP="003E5F08">
      <w:pPr>
        <w:ind w:right="-720"/>
        <w:jc w:val="both"/>
        <w:rPr>
          <w:rFonts w:ascii="Calibri" w:hAnsi="Calibri"/>
          <w:sz w:val="28"/>
          <w:szCs w:val="28"/>
        </w:rPr>
      </w:pPr>
    </w:p>
    <w:p w14:paraId="2FD46805" w14:textId="5BAE88B7" w:rsidR="001D66F5" w:rsidRDefault="003E5F08" w:rsidP="00A600AD">
      <w:pPr>
        <w:tabs>
          <w:tab w:val="left" w:pos="0"/>
        </w:tabs>
        <w:jc w:val="both"/>
        <w:rPr>
          <w:rFonts w:ascii="Calibri" w:hAnsi="Calibri"/>
          <w:iCs/>
          <w:sz w:val="22"/>
          <w:szCs w:val="22"/>
        </w:rPr>
      </w:pPr>
      <w:r>
        <w:rPr>
          <w:rFonts w:ascii="Calibri" w:hAnsi="Calibri"/>
          <w:sz w:val="22"/>
          <w:szCs w:val="22"/>
        </w:rPr>
        <w:t>Based on 20</w:t>
      </w:r>
      <w:r w:rsidR="001D66F5">
        <w:rPr>
          <w:rFonts w:ascii="Calibri" w:hAnsi="Calibri"/>
          <w:sz w:val="22"/>
          <w:szCs w:val="22"/>
        </w:rPr>
        <w:t>20</w:t>
      </w:r>
      <w:r>
        <w:rPr>
          <w:rFonts w:ascii="Calibri" w:hAnsi="Calibri"/>
          <w:sz w:val="22"/>
          <w:szCs w:val="22"/>
        </w:rPr>
        <w:t xml:space="preserve"> estimates from the Census Bureau’s American Community Survey, there were </w:t>
      </w:r>
      <w:r w:rsidR="001D66F5">
        <w:rPr>
          <w:rFonts w:ascii="Calibri" w:hAnsi="Calibri"/>
          <w:sz w:val="22"/>
          <w:szCs w:val="22"/>
        </w:rPr>
        <w:t xml:space="preserve">1,974 </w:t>
      </w:r>
      <w:r>
        <w:rPr>
          <w:rFonts w:ascii="Calibri" w:hAnsi="Calibri"/>
          <w:sz w:val="22"/>
          <w:szCs w:val="22"/>
        </w:rPr>
        <w:t xml:space="preserve">homeowners, or </w:t>
      </w:r>
      <w:r w:rsidR="001D66F5">
        <w:rPr>
          <w:rFonts w:ascii="Calibri" w:hAnsi="Calibri"/>
          <w:sz w:val="22"/>
          <w:szCs w:val="22"/>
        </w:rPr>
        <w:t>21.7</w:t>
      </w:r>
      <w:r>
        <w:rPr>
          <w:rFonts w:ascii="Calibri" w:hAnsi="Calibri"/>
          <w:sz w:val="22"/>
          <w:szCs w:val="22"/>
        </w:rPr>
        <w:t xml:space="preserve">% of all homeowners in </w:t>
      </w:r>
      <w:r w:rsidR="000C29C7">
        <w:rPr>
          <w:rFonts w:ascii="Calibri" w:hAnsi="Calibri"/>
          <w:sz w:val="22"/>
          <w:szCs w:val="22"/>
        </w:rPr>
        <w:t>Needham</w:t>
      </w:r>
      <w:r>
        <w:rPr>
          <w:rFonts w:ascii="Calibri" w:hAnsi="Calibri"/>
          <w:sz w:val="22"/>
          <w:szCs w:val="22"/>
        </w:rPr>
        <w:t xml:space="preserve">, spending </w:t>
      </w:r>
      <w:r w:rsidR="001D66F5">
        <w:rPr>
          <w:rFonts w:ascii="Calibri" w:hAnsi="Calibri"/>
          <w:sz w:val="22"/>
          <w:szCs w:val="22"/>
        </w:rPr>
        <w:t>more than</w:t>
      </w:r>
      <w:r>
        <w:rPr>
          <w:rFonts w:ascii="Calibri" w:hAnsi="Calibri"/>
          <w:sz w:val="22"/>
          <w:szCs w:val="22"/>
        </w:rPr>
        <w:t xml:space="preserve"> 30% of their income on housing</w:t>
      </w:r>
      <w:r w:rsidR="00F40AA1">
        <w:rPr>
          <w:rFonts w:ascii="Calibri" w:hAnsi="Calibri"/>
          <w:sz w:val="22"/>
          <w:szCs w:val="22"/>
        </w:rPr>
        <w:t xml:space="preserve"> and </w:t>
      </w:r>
      <w:r w:rsidR="001D66F5">
        <w:rPr>
          <w:rFonts w:ascii="Calibri" w:hAnsi="Calibri"/>
          <w:sz w:val="22"/>
          <w:szCs w:val="22"/>
        </w:rPr>
        <w:t xml:space="preserve">thus </w:t>
      </w:r>
      <w:r w:rsidR="00F40AA1">
        <w:rPr>
          <w:rFonts w:ascii="Calibri" w:hAnsi="Calibri"/>
          <w:sz w:val="22"/>
          <w:szCs w:val="22"/>
        </w:rPr>
        <w:t>experiencing</w:t>
      </w:r>
      <w:r w:rsidR="001D66F5">
        <w:rPr>
          <w:rFonts w:ascii="Calibri" w:hAnsi="Calibri"/>
          <w:sz w:val="22"/>
          <w:szCs w:val="22"/>
        </w:rPr>
        <w:t xml:space="preserve"> cost burdens</w:t>
      </w:r>
      <w:r w:rsidR="00F40AA1">
        <w:rPr>
          <w:rFonts w:ascii="Calibri" w:hAnsi="Calibri"/>
          <w:sz w:val="22"/>
          <w:szCs w:val="22"/>
        </w:rPr>
        <w:t>.  Of these,</w:t>
      </w:r>
      <w:r w:rsidR="001D66F5">
        <w:rPr>
          <w:rFonts w:ascii="Calibri" w:hAnsi="Calibri"/>
          <w:sz w:val="22"/>
          <w:szCs w:val="22"/>
        </w:rPr>
        <w:t xml:space="preserve"> 664</w:t>
      </w:r>
      <w:r w:rsidR="00F40AA1">
        <w:rPr>
          <w:rFonts w:ascii="Calibri" w:hAnsi="Calibri"/>
          <w:sz w:val="22"/>
          <w:szCs w:val="22"/>
        </w:rPr>
        <w:t xml:space="preserve"> households</w:t>
      </w:r>
      <w:r w:rsidR="001D66F5">
        <w:rPr>
          <w:rFonts w:ascii="Calibri" w:hAnsi="Calibri"/>
          <w:sz w:val="22"/>
          <w:szCs w:val="22"/>
        </w:rPr>
        <w:t xml:space="preserve"> or 7.2% </w:t>
      </w:r>
      <w:r w:rsidR="00F40AA1">
        <w:rPr>
          <w:rFonts w:ascii="Calibri" w:hAnsi="Calibri"/>
          <w:sz w:val="22"/>
          <w:szCs w:val="22"/>
        </w:rPr>
        <w:t xml:space="preserve">were </w:t>
      </w:r>
      <w:r w:rsidR="001D66F5">
        <w:rPr>
          <w:rFonts w:ascii="Calibri" w:hAnsi="Calibri"/>
          <w:sz w:val="22"/>
          <w:szCs w:val="22"/>
        </w:rPr>
        <w:t>spending at least half of their income on housing</w:t>
      </w:r>
      <w:r w:rsidR="00F84C5D">
        <w:rPr>
          <w:rFonts w:ascii="Calibri" w:hAnsi="Calibri"/>
          <w:sz w:val="22"/>
          <w:szCs w:val="22"/>
        </w:rPr>
        <w:t xml:space="preserve"> and</w:t>
      </w:r>
      <w:r w:rsidR="001D66F5">
        <w:rPr>
          <w:rFonts w:ascii="Calibri" w:hAnsi="Calibri"/>
          <w:sz w:val="22"/>
          <w:szCs w:val="22"/>
        </w:rPr>
        <w:t xml:space="preserve"> th</w:t>
      </w:r>
      <w:r w:rsidR="00F84C5D">
        <w:rPr>
          <w:rFonts w:ascii="Calibri" w:hAnsi="Calibri"/>
          <w:sz w:val="22"/>
          <w:szCs w:val="22"/>
        </w:rPr>
        <w:t>u</w:t>
      </w:r>
      <w:r w:rsidR="001D66F5">
        <w:rPr>
          <w:rFonts w:ascii="Calibri" w:hAnsi="Calibri"/>
          <w:sz w:val="22"/>
          <w:szCs w:val="22"/>
        </w:rPr>
        <w:t xml:space="preserve">s incurring severe cost burdens. </w:t>
      </w:r>
      <w:r>
        <w:rPr>
          <w:rFonts w:ascii="Calibri" w:hAnsi="Calibri"/>
          <w:sz w:val="22"/>
          <w:szCs w:val="22"/>
        </w:rPr>
        <w:t xml:space="preserve">In regard to renters, </w:t>
      </w:r>
      <w:r w:rsidR="001D66F5">
        <w:rPr>
          <w:rFonts w:ascii="Calibri" w:hAnsi="Calibri"/>
          <w:sz w:val="22"/>
          <w:szCs w:val="22"/>
        </w:rPr>
        <w:t>731</w:t>
      </w:r>
      <w:r>
        <w:rPr>
          <w:rFonts w:ascii="Calibri" w:hAnsi="Calibri"/>
          <w:sz w:val="22"/>
          <w:szCs w:val="22"/>
        </w:rPr>
        <w:t xml:space="preserve"> renters or </w:t>
      </w:r>
      <w:r w:rsidR="001D66F5">
        <w:rPr>
          <w:rFonts w:ascii="Calibri" w:hAnsi="Calibri"/>
          <w:sz w:val="22"/>
          <w:szCs w:val="22"/>
        </w:rPr>
        <w:t>43</w:t>
      </w:r>
      <w:r w:rsidR="000C29C7">
        <w:rPr>
          <w:rFonts w:ascii="Calibri" w:hAnsi="Calibri"/>
          <w:sz w:val="22"/>
          <w:szCs w:val="22"/>
        </w:rPr>
        <w:t>.7</w:t>
      </w:r>
      <w:r>
        <w:rPr>
          <w:rFonts w:ascii="Calibri" w:hAnsi="Calibri"/>
          <w:sz w:val="22"/>
          <w:szCs w:val="22"/>
        </w:rPr>
        <w:t xml:space="preserve">% were spending </w:t>
      </w:r>
      <w:r w:rsidR="001D66F5">
        <w:rPr>
          <w:rFonts w:ascii="Calibri" w:hAnsi="Calibri"/>
          <w:sz w:val="22"/>
          <w:szCs w:val="22"/>
        </w:rPr>
        <w:t>more than</w:t>
      </w:r>
      <w:r>
        <w:rPr>
          <w:rFonts w:ascii="Calibri" w:hAnsi="Calibri"/>
          <w:sz w:val="22"/>
          <w:szCs w:val="22"/>
        </w:rPr>
        <w:t xml:space="preserve"> 30%</w:t>
      </w:r>
      <w:r w:rsidR="001D66F5">
        <w:rPr>
          <w:rFonts w:ascii="Calibri" w:hAnsi="Calibri"/>
          <w:sz w:val="22"/>
          <w:szCs w:val="22"/>
        </w:rPr>
        <w:t xml:space="preserve"> </w:t>
      </w:r>
      <w:r>
        <w:rPr>
          <w:rFonts w:ascii="Calibri" w:hAnsi="Calibri"/>
          <w:sz w:val="22"/>
          <w:szCs w:val="22"/>
        </w:rPr>
        <w:t xml:space="preserve">of their income on housing </w:t>
      </w:r>
      <w:r w:rsidR="00F40AA1">
        <w:rPr>
          <w:rFonts w:ascii="Calibri" w:hAnsi="Calibri"/>
          <w:sz w:val="22"/>
          <w:szCs w:val="22"/>
        </w:rPr>
        <w:t>including</w:t>
      </w:r>
      <w:r w:rsidR="001D66F5">
        <w:rPr>
          <w:rFonts w:ascii="Calibri" w:hAnsi="Calibri"/>
          <w:iCs/>
          <w:sz w:val="22"/>
          <w:szCs w:val="22"/>
        </w:rPr>
        <w:t xml:space="preserve"> 479 or 28.6% </w:t>
      </w:r>
      <w:r w:rsidR="00F40AA1">
        <w:rPr>
          <w:rFonts w:ascii="Calibri" w:hAnsi="Calibri"/>
          <w:iCs/>
          <w:sz w:val="22"/>
          <w:szCs w:val="22"/>
        </w:rPr>
        <w:t>with</w:t>
      </w:r>
      <w:r w:rsidR="001D66F5">
        <w:rPr>
          <w:rFonts w:ascii="Calibri" w:hAnsi="Calibri"/>
          <w:iCs/>
          <w:sz w:val="22"/>
          <w:szCs w:val="22"/>
        </w:rPr>
        <w:t xml:space="preserve"> severe cost burdens.</w:t>
      </w:r>
    </w:p>
    <w:p w14:paraId="25A7B99B" w14:textId="77777777" w:rsidR="009C000B" w:rsidRDefault="009C000B" w:rsidP="00A600AD">
      <w:pPr>
        <w:tabs>
          <w:tab w:val="left" w:pos="0"/>
        </w:tabs>
        <w:jc w:val="both"/>
        <w:rPr>
          <w:rFonts w:ascii="Calibri" w:hAnsi="Calibri"/>
          <w:iCs/>
          <w:sz w:val="22"/>
          <w:szCs w:val="22"/>
        </w:rPr>
      </w:pPr>
    </w:p>
    <w:p w14:paraId="21C2F388" w14:textId="631FFA46" w:rsidR="003E5F08" w:rsidRDefault="003E5F08" w:rsidP="00A600AD">
      <w:pPr>
        <w:tabs>
          <w:tab w:val="left" w:pos="0"/>
        </w:tabs>
        <w:jc w:val="both"/>
        <w:rPr>
          <w:rFonts w:ascii="Calibri" w:hAnsi="Calibri"/>
          <w:sz w:val="22"/>
          <w:szCs w:val="22"/>
        </w:rPr>
      </w:pPr>
      <w:r>
        <w:rPr>
          <w:rFonts w:ascii="Calibri" w:hAnsi="Calibri"/>
          <w:sz w:val="22"/>
          <w:szCs w:val="22"/>
        </w:rPr>
        <w:t xml:space="preserve">This data suggests that </w:t>
      </w:r>
      <w:r w:rsidR="005B5231">
        <w:rPr>
          <w:rFonts w:ascii="Calibri" w:hAnsi="Calibri"/>
          <w:i/>
          <w:sz w:val="22"/>
          <w:szCs w:val="22"/>
        </w:rPr>
        <w:t>2,</w:t>
      </w:r>
      <w:r w:rsidR="001D66F5">
        <w:rPr>
          <w:rFonts w:ascii="Calibri" w:hAnsi="Calibri"/>
          <w:i/>
          <w:sz w:val="22"/>
          <w:szCs w:val="22"/>
        </w:rPr>
        <w:t>643</w:t>
      </w:r>
      <w:r w:rsidRPr="00982F1A">
        <w:rPr>
          <w:rFonts w:ascii="Calibri" w:hAnsi="Calibri"/>
          <w:i/>
          <w:iCs/>
          <w:sz w:val="22"/>
          <w:szCs w:val="22"/>
        </w:rPr>
        <w:t xml:space="preserve"> </w:t>
      </w:r>
      <w:r>
        <w:rPr>
          <w:rFonts w:ascii="Calibri" w:hAnsi="Calibri"/>
          <w:i/>
          <w:iCs/>
          <w:sz w:val="22"/>
          <w:szCs w:val="22"/>
        </w:rPr>
        <w:t xml:space="preserve">households or </w:t>
      </w:r>
      <w:r w:rsidR="001D66F5">
        <w:rPr>
          <w:rFonts w:ascii="Calibri" w:hAnsi="Calibri"/>
          <w:i/>
          <w:iCs/>
          <w:sz w:val="22"/>
          <w:szCs w:val="22"/>
        </w:rPr>
        <w:t>24.5</w:t>
      </w:r>
      <w:r>
        <w:rPr>
          <w:rFonts w:ascii="Calibri" w:hAnsi="Calibri"/>
          <w:i/>
          <w:iCs/>
          <w:sz w:val="22"/>
          <w:szCs w:val="22"/>
        </w:rPr>
        <w:t>% of all</w:t>
      </w:r>
      <w:r w:rsidR="005B5231">
        <w:rPr>
          <w:rFonts w:ascii="Calibri" w:hAnsi="Calibri"/>
          <w:i/>
          <w:iCs/>
          <w:sz w:val="22"/>
          <w:szCs w:val="22"/>
        </w:rPr>
        <w:t xml:space="preserve"> Needham</w:t>
      </w:r>
      <w:r>
        <w:rPr>
          <w:rFonts w:ascii="Calibri" w:hAnsi="Calibri"/>
          <w:i/>
          <w:iCs/>
          <w:sz w:val="22"/>
          <w:szCs w:val="22"/>
        </w:rPr>
        <w:t xml:space="preserve"> households were living in housing that </w:t>
      </w:r>
      <w:r w:rsidR="00F84C5D">
        <w:rPr>
          <w:rFonts w:ascii="Calibri" w:hAnsi="Calibri"/>
          <w:i/>
          <w:iCs/>
          <w:sz w:val="22"/>
          <w:szCs w:val="22"/>
        </w:rPr>
        <w:t>wa</w:t>
      </w:r>
      <w:r>
        <w:rPr>
          <w:rFonts w:ascii="Calibri" w:hAnsi="Calibri"/>
          <w:i/>
          <w:iCs/>
          <w:sz w:val="22"/>
          <w:szCs w:val="22"/>
        </w:rPr>
        <w:t>s by common definition beyond their means and unaffordable</w:t>
      </w:r>
      <w:r w:rsidR="008721FF">
        <w:rPr>
          <w:rFonts w:ascii="Calibri" w:hAnsi="Calibri"/>
          <w:i/>
          <w:iCs/>
          <w:sz w:val="22"/>
          <w:szCs w:val="22"/>
        </w:rPr>
        <w:t xml:space="preserve"> including </w:t>
      </w:r>
      <w:r w:rsidR="001D66F5">
        <w:rPr>
          <w:rFonts w:ascii="Calibri" w:hAnsi="Calibri"/>
          <w:i/>
          <w:iCs/>
          <w:sz w:val="22"/>
          <w:szCs w:val="22"/>
        </w:rPr>
        <w:t xml:space="preserve">1,143 or </w:t>
      </w:r>
      <w:r w:rsidR="00F40AA1">
        <w:rPr>
          <w:rFonts w:ascii="Calibri" w:hAnsi="Calibri"/>
          <w:i/>
          <w:iCs/>
          <w:sz w:val="22"/>
          <w:szCs w:val="22"/>
        </w:rPr>
        <w:t>10.6</w:t>
      </w:r>
      <w:r w:rsidR="008721FF">
        <w:rPr>
          <w:rFonts w:ascii="Calibri" w:hAnsi="Calibri"/>
          <w:i/>
          <w:iCs/>
          <w:sz w:val="22"/>
          <w:szCs w:val="22"/>
        </w:rPr>
        <w:t xml:space="preserve">% who were spending more than </w:t>
      </w:r>
      <w:r w:rsidR="00F40AA1">
        <w:rPr>
          <w:rFonts w:ascii="Calibri" w:hAnsi="Calibri"/>
          <w:i/>
          <w:iCs/>
          <w:sz w:val="22"/>
          <w:szCs w:val="22"/>
        </w:rPr>
        <w:t>half</w:t>
      </w:r>
      <w:r w:rsidR="008721FF">
        <w:rPr>
          <w:rFonts w:ascii="Calibri" w:hAnsi="Calibri"/>
          <w:i/>
          <w:iCs/>
          <w:sz w:val="22"/>
          <w:szCs w:val="22"/>
        </w:rPr>
        <w:t xml:space="preserve"> their incomes on housing costs</w:t>
      </w:r>
      <w:r>
        <w:rPr>
          <w:rFonts w:ascii="Calibri" w:hAnsi="Calibri"/>
          <w:i/>
          <w:iCs/>
          <w:sz w:val="22"/>
          <w:szCs w:val="22"/>
        </w:rPr>
        <w:t xml:space="preserve">.  </w:t>
      </w:r>
      <w:r>
        <w:rPr>
          <w:rFonts w:ascii="Calibri" w:hAnsi="Calibri"/>
          <w:sz w:val="22"/>
          <w:szCs w:val="22"/>
        </w:rPr>
        <w:t xml:space="preserve">These cost burdens are </w:t>
      </w:r>
      <w:r w:rsidR="008721FF">
        <w:rPr>
          <w:rFonts w:ascii="Calibri" w:hAnsi="Calibri"/>
          <w:sz w:val="22"/>
          <w:szCs w:val="22"/>
        </w:rPr>
        <w:t xml:space="preserve">lower </w:t>
      </w:r>
      <w:r>
        <w:rPr>
          <w:rFonts w:ascii="Calibri" w:hAnsi="Calibri"/>
          <w:sz w:val="22"/>
          <w:szCs w:val="22"/>
        </w:rPr>
        <w:t>than</w:t>
      </w:r>
      <w:r w:rsidR="002B78E6">
        <w:rPr>
          <w:rFonts w:ascii="Calibri" w:hAnsi="Calibri"/>
          <w:sz w:val="22"/>
          <w:szCs w:val="22"/>
        </w:rPr>
        <w:t xml:space="preserve"> Norfolk C</w:t>
      </w:r>
      <w:r>
        <w:rPr>
          <w:rFonts w:ascii="Calibri" w:hAnsi="Calibri"/>
          <w:sz w:val="22"/>
          <w:szCs w:val="22"/>
        </w:rPr>
        <w:t xml:space="preserve">ounty with </w:t>
      </w:r>
      <w:r w:rsidR="008721FF">
        <w:rPr>
          <w:rFonts w:ascii="Calibri" w:hAnsi="Calibri"/>
          <w:sz w:val="22"/>
          <w:szCs w:val="22"/>
        </w:rPr>
        <w:t>32.8</w:t>
      </w:r>
      <w:r>
        <w:rPr>
          <w:rFonts w:ascii="Calibri" w:hAnsi="Calibri"/>
          <w:sz w:val="22"/>
          <w:szCs w:val="22"/>
        </w:rPr>
        <w:t xml:space="preserve">% </w:t>
      </w:r>
      <w:r w:rsidR="00B50406">
        <w:rPr>
          <w:rFonts w:ascii="Calibri" w:hAnsi="Calibri"/>
          <w:sz w:val="22"/>
          <w:szCs w:val="22"/>
        </w:rPr>
        <w:t xml:space="preserve">of households </w:t>
      </w:r>
      <w:r>
        <w:rPr>
          <w:rFonts w:ascii="Calibri" w:hAnsi="Calibri"/>
          <w:sz w:val="22"/>
          <w:szCs w:val="22"/>
        </w:rPr>
        <w:t>spending more than 3</w:t>
      </w:r>
      <w:r w:rsidR="008721FF">
        <w:rPr>
          <w:rFonts w:ascii="Calibri" w:hAnsi="Calibri"/>
          <w:sz w:val="22"/>
          <w:szCs w:val="22"/>
        </w:rPr>
        <w:t>0</w:t>
      </w:r>
      <w:r>
        <w:rPr>
          <w:rFonts w:ascii="Calibri" w:hAnsi="Calibri"/>
          <w:sz w:val="22"/>
          <w:szCs w:val="22"/>
        </w:rPr>
        <w:t>% of their income on housing costs</w:t>
      </w:r>
      <w:r w:rsidR="00F40AA1">
        <w:rPr>
          <w:rFonts w:ascii="Calibri" w:hAnsi="Calibri"/>
          <w:sz w:val="22"/>
          <w:szCs w:val="22"/>
        </w:rPr>
        <w:t xml:space="preserve"> </w:t>
      </w:r>
      <w:r w:rsidR="00A50580">
        <w:rPr>
          <w:rFonts w:ascii="Calibri" w:hAnsi="Calibri"/>
          <w:sz w:val="22"/>
          <w:szCs w:val="22"/>
        </w:rPr>
        <w:t>but a bit higher than the</w:t>
      </w:r>
      <w:r w:rsidR="00F40AA1">
        <w:rPr>
          <w:rFonts w:ascii="Calibri" w:hAnsi="Calibri"/>
          <w:sz w:val="22"/>
          <w:szCs w:val="22"/>
        </w:rPr>
        <w:t xml:space="preserve"> </w:t>
      </w:r>
      <w:r w:rsidR="00A50580">
        <w:rPr>
          <w:rFonts w:ascii="Calibri" w:hAnsi="Calibri"/>
          <w:sz w:val="22"/>
          <w:szCs w:val="22"/>
        </w:rPr>
        <w:t>10% level for those with severe cost burdens.</w:t>
      </w:r>
    </w:p>
    <w:p w14:paraId="4F0564A6" w14:textId="77777777" w:rsidR="003E5F08" w:rsidRPr="003E5F08" w:rsidRDefault="003E5F08" w:rsidP="00A600AD">
      <w:pPr>
        <w:tabs>
          <w:tab w:val="left" w:pos="0"/>
        </w:tabs>
        <w:jc w:val="both"/>
        <w:rPr>
          <w:rFonts w:asciiTheme="minorHAnsi" w:hAnsiTheme="minorHAnsi" w:cstheme="minorHAnsi"/>
          <w:iCs/>
          <w:sz w:val="22"/>
          <w:szCs w:val="22"/>
        </w:rPr>
      </w:pPr>
    </w:p>
    <w:p w14:paraId="1CF30FA5" w14:textId="52AC1042" w:rsidR="003E5F08" w:rsidRPr="003E5F08" w:rsidRDefault="003E5F08" w:rsidP="00A600AD">
      <w:pPr>
        <w:pStyle w:val="BodyText2"/>
        <w:spacing w:after="0" w:line="240" w:lineRule="auto"/>
        <w:jc w:val="both"/>
        <w:rPr>
          <w:rFonts w:asciiTheme="minorHAnsi" w:hAnsiTheme="minorHAnsi" w:cstheme="minorHAnsi"/>
          <w:iCs/>
          <w:sz w:val="22"/>
          <w:szCs w:val="22"/>
        </w:rPr>
      </w:pPr>
      <w:r w:rsidRPr="003E5F08">
        <w:rPr>
          <w:rFonts w:asciiTheme="minorHAnsi" w:hAnsiTheme="minorHAnsi" w:cstheme="minorHAnsi"/>
          <w:iCs/>
          <w:sz w:val="22"/>
          <w:szCs w:val="22"/>
        </w:rPr>
        <w:t>The Department of Housing and Urban Development (HUD) provides data on how many households were spending too much of their income on housing costs, or were experiencing cost burdens, through its State of the Cities Data System’s Comprehensive Housing Affordability Strategy (CHAS) report.  This information is summarized in Table II</w:t>
      </w:r>
      <w:r w:rsidR="001F43B8">
        <w:rPr>
          <w:rFonts w:asciiTheme="minorHAnsi" w:hAnsiTheme="minorHAnsi" w:cstheme="minorHAnsi"/>
          <w:iCs/>
          <w:sz w:val="22"/>
          <w:szCs w:val="22"/>
        </w:rPr>
        <w:t>I-41</w:t>
      </w:r>
      <w:r w:rsidRPr="003E5F08">
        <w:rPr>
          <w:rFonts w:asciiTheme="minorHAnsi" w:hAnsiTheme="minorHAnsi" w:cstheme="minorHAnsi"/>
          <w:iCs/>
          <w:sz w:val="22"/>
          <w:szCs w:val="22"/>
        </w:rPr>
        <w:t xml:space="preserve"> and distributes households by </w:t>
      </w:r>
      <w:r w:rsidR="00B50406">
        <w:rPr>
          <w:rFonts w:asciiTheme="minorHAnsi" w:hAnsiTheme="minorHAnsi" w:cstheme="minorHAnsi"/>
          <w:iCs/>
          <w:sz w:val="22"/>
          <w:szCs w:val="22"/>
        </w:rPr>
        <w:t xml:space="preserve">tenure, </w:t>
      </w:r>
      <w:r w:rsidRPr="003E5F08">
        <w:rPr>
          <w:rFonts w:asciiTheme="minorHAnsi" w:hAnsiTheme="minorHAnsi" w:cstheme="minorHAnsi"/>
          <w:iCs/>
          <w:sz w:val="22"/>
          <w:szCs w:val="22"/>
        </w:rPr>
        <w:t>income</w:t>
      </w:r>
      <w:r w:rsidR="009C000B">
        <w:rPr>
          <w:rFonts w:asciiTheme="minorHAnsi" w:hAnsiTheme="minorHAnsi" w:cstheme="minorHAnsi"/>
          <w:iCs/>
          <w:sz w:val="22"/>
          <w:szCs w:val="22"/>
        </w:rPr>
        <w:t>,</w:t>
      </w:r>
      <w:r w:rsidRPr="003E5F08">
        <w:rPr>
          <w:rFonts w:asciiTheme="minorHAnsi" w:hAnsiTheme="minorHAnsi" w:cstheme="minorHAnsi"/>
          <w:iCs/>
          <w:sz w:val="22"/>
          <w:szCs w:val="22"/>
        </w:rPr>
        <w:t xml:space="preserve"> and </w:t>
      </w:r>
      <w:r w:rsidR="009C000B">
        <w:rPr>
          <w:rFonts w:asciiTheme="minorHAnsi" w:hAnsiTheme="minorHAnsi" w:cstheme="minorHAnsi"/>
          <w:iCs/>
          <w:sz w:val="22"/>
          <w:szCs w:val="22"/>
        </w:rPr>
        <w:t xml:space="preserve">household </w:t>
      </w:r>
      <w:r w:rsidRPr="003E5F08">
        <w:rPr>
          <w:rFonts w:asciiTheme="minorHAnsi" w:hAnsiTheme="minorHAnsi" w:cstheme="minorHAnsi"/>
          <w:iCs/>
          <w:sz w:val="22"/>
          <w:szCs w:val="22"/>
        </w:rPr>
        <w:t xml:space="preserve">type, </w:t>
      </w:r>
      <w:r w:rsidR="009C000B">
        <w:rPr>
          <w:rFonts w:asciiTheme="minorHAnsi" w:hAnsiTheme="minorHAnsi" w:cstheme="minorHAnsi"/>
          <w:iCs/>
          <w:sz w:val="22"/>
          <w:szCs w:val="22"/>
        </w:rPr>
        <w:t>also showing</w:t>
      </w:r>
      <w:r w:rsidRPr="003E5F08">
        <w:rPr>
          <w:rFonts w:asciiTheme="minorHAnsi" w:hAnsiTheme="minorHAnsi" w:cstheme="minorHAnsi"/>
          <w:iCs/>
          <w:sz w:val="22"/>
          <w:szCs w:val="22"/>
        </w:rPr>
        <w:t xml:space="preserve"> how many were spending between 30% and 50% of their income on housing, and how many were spending more than half of their income on housing. For example, the first cell indicates that there were </w:t>
      </w:r>
      <w:r w:rsidR="00B50406">
        <w:rPr>
          <w:rFonts w:asciiTheme="minorHAnsi" w:hAnsiTheme="minorHAnsi" w:cstheme="minorHAnsi"/>
          <w:iCs/>
          <w:sz w:val="22"/>
          <w:szCs w:val="22"/>
        </w:rPr>
        <w:t>260</w:t>
      </w:r>
      <w:r w:rsidRPr="003E5F08">
        <w:rPr>
          <w:rFonts w:asciiTheme="minorHAnsi" w:hAnsiTheme="minorHAnsi" w:cstheme="minorHAnsi"/>
          <w:iCs/>
          <w:sz w:val="22"/>
          <w:szCs w:val="22"/>
        </w:rPr>
        <w:t xml:space="preserve"> elderly renter households (62 years of age or older)</w:t>
      </w:r>
      <w:r w:rsidR="00B50406">
        <w:rPr>
          <w:rFonts w:asciiTheme="minorHAnsi" w:hAnsiTheme="minorHAnsi" w:cstheme="minorHAnsi"/>
          <w:iCs/>
          <w:sz w:val="22"/>
          <w:szCs w:val="22"/>
        </w:rPr>
        <w:t xml:space="preserve"> with incomes at or below 30% of area median income</w:t>
      </w:r>
      <w:r w:rsidRPr="003E5F08">
        <w:rPr>
          <w:rFonts w:asciiTheme="minorHAnsi" w:hAnsiTheme="minorHAnsi" w:cstheme="minorHAnsi"/>
          <w:iCs/>
          <w:sz w:val="22"/>
          <w:szCs w:val="22"/>
        </w:rPr>
        <w:t xml:space="preserve"> estimated by the Census Bureau’s American Community Survey with </w:t>
      </w:r>
      <w:r w:rsidR="00B50406">
        <w:rPr>
          <w:rFonts w:asciiTheme="minorHAnsi" w:hAnsiTheme="minorHAnsi" w:cstheme="minorHAnsi"/>
          <w:iCs/>
          <w:sz w:val="22"/>
          <w:szCs w:val="22"/>
        </w:rPr>
        <w:t>3</w:t>
      </w:r>
      <w:r w:rsidRPr="003E5F08">
        <w:rPr>
          <w:rFonts w:asciiTheme="minorHAnsi" w:hAnsiTheme="minorHAnsi" w:cstheme="minorHAnsi"/>
          <w:iCs/>
          <w:sz w:val="22"/>
          <w:szCs w:val="22"/>
        </w:rPr>
        <w:t>0 spending between 30% and 50% of their income on housing and another 105 spending more than half of their income on housing</w:t>
      </w:r>
      <w:r w:rsidR="009C000B">
        <w:rPr>
          <w:rFonts w:asciiTheme="minorHAnsi" w:hAnsiTheme="minorHAnsi" w:cstheme="minorHAnsi"/>
          <w:iCs/>
          <w:sz w:val="22"/>
          <w:szCs w:val="22"/>
        </w:rPr>
        <w:t xml:space="preserve"> for a total of 135 with cost burdens</w:t>
      </w:r>
      <w:r w:rsidRPr="003E5F08">
        <w:rPr>
          <w:rFonts w:asciiTheme="minorHAnsi" w:hAnsiTheme="minorHAnsi" w:cstheme="minorHAnsi"/>
          <w:iCs/>
          <w:sz w:val="22"/>
          <w:szCs w:val="22"/>
        </w:rPr>
        <w:t xml:space="preserve">. </w:t>
      </w:r>
    </w:p>
    <w:p w14:paraId="33ABF087" w14:textId="00ABAE48" w:rsidR="003E5F08" w:rsidRDefault="003E5F08" w:rsidP="00A600AD">
      <w:pPr>
        <w:jc w:val="both"/>
        <w:rPr>
          <w:rFonts w:ascii="Calibri" w:hAnsi="Calibri" w:cs="Lucida Sans Unicode"/>
          <w:sz w:val="22"/>
          <w:szCs w:val="22"/>
        </w:rPr>
      </w:pPr>
    </w:p>
    <w:p w14:paraId="66373EBC" w14:textId="406ECC5A" w:rsidR="003E5F08" w:rsidRPr="00B81695" w:rsidRDefault="003E5F08" w:rsidP="00B81695">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iCs/>
        </w:rPr>
      </w:pPr>
      <w:r w:rsidRPr="00B81695">
        <w:rPr>
          <w:rFonts w:ascii="Calibri" w:hAnsi="Calibri"/>
        </w:rPr>
        <w:t xml:space="preserve">Of the total </w:t>
      </w:r>
      <w:r w:rsidR="009C000B">
        <w:rPr>
          <w:rFonts w:ascii="Calibri" w:hAnsi="Calibri"/>
        </w:rPr>
        <w:t xml:space="preserve">estimated </w:t>
      </w:r>
      <w:r w:rsidRPr="00B81695">
        <w:rPr>
          <w:rFonts w:ascii="Calibri" w:hAnsi="Calibri"/>
        </w:rPr>
        <w:t>10,</w:t>
      </w:r>
      <w:r w:rsidR="00B50406" w:rsidRPr="00B81695">
        <w:rPr>
          <w:rFonts w:ascii="Calibri" w:hAnsi="Calibri"/>
        </w:rPr>
        <w:t>765</w:t>
      </w:r>
      <w:r w:rsidRPr="00B81695">
        <w:rPr>
          <w:rFonts w:ascii="Calibri" w:hAnsi="Calibri"/>
        </w:rPr>
        <w:t xml:space="preserve"> households in </w:t>
      </w:r>
      <w:r w:rsidR="008F2243" w:rsidRPr="00B81695">
        <w:rPr>
          <w:rFonts w:ascii="Calibri" w:hAnsi="Calibri"/>
        </w:rPr>
        <w:t>Needham</w:t>
      </w:r>
      <w:r w:rsidRPr="00B81695">
        <w:rPr>
          <w:rFonts w:ascii="Calibri" w:hAnsi="Calibri"/>
        </w:rPr>
        <w:t xml:space="preserve">, </w:t>
      </w:r>
      <w:r w:rsidR="008F2243" w:rsidRPr="00B81695">
        <w:rPr>
          <w:rFonts w:ascii="Calibri" w:hAnsi="Calibri"/>
        </w:rPr>
        <w:t>1,425</w:t>
      </w:r>
      <w:r w:rsidRPr="00B81695">
        <w:rPr>
          <w:rFonts w:ascii="Calibri" w:hAnsi="Calibri"/>
        </w:rPr>
        <w:t xml:space="preserve"> or </w:t>
      </w:r>
      <w:r w:rsidR="008F2243" w:rsidRPr="00B81695">
        <w:rPr>
          <w:rFonts w:ascii="Calibri" w:hAnsi="Calibri"/>
        </w:rPr>
        <w:t>13.2</w:t>
      </w:r>
      <w:r w:rsidRPr="00B81695">
        <w:rPr>
          <w:rFonts w:ascii="Calibri" w:hAnsi="Calibri"/>
        </w:rPr>
        <w:t xml:space="preserve">% were spending between 30% and 50% of their income on housing with another </w:t>
      </w:r>
      <w:r w:rsidR="00DB75D9" w:rsidRPr="00B81695">
        <w:rPr>
          <w:rFonts w:ascii="Calibri" w:hAnsi="Calibri"/>
        </w:rPr>
        <w:t>1,163</w:t>
      </w:r>
      <w:r w:rsidRPr="00B81695">
        <w:rPr>
          <w:rFonts w:ascii="Calibri" w:hAnsi="Calibri"/>
        </w:rPr>
        <w:t xml:space="preserve"> or </w:t>
      </w:r>
      <w:r w:rsidR="00DB75D9" w:rsidRPr="00B81695">
        <w:rPr>
          <w:rFonts w:ascii="Calibri" w:hAnsi="Calibri"/>
        </w:rPr>
        <w:t>10.8</w:t>
      </w:r>
      <w:r w:rsidRPr="00B81695">
        <w:rPr>
          <w:rFonts w:ascii="Calibri" w:hAnsi="Calibri"/>
        </w:rPr>
        <w:t xml:space="preserve">% spending more than 50%.  </w:t>
      </w:r>
      <w:r w:rsidRPr="00B81695">
        <w:rPr>
          <w:rFonts w:ascii="Calibri" w:hAnsi="Calibri"/>
          <w:iCs/>
        </w:rPr>
        <w:t xml:space="preserve">This analysis suggests that </w:t>
      </w:r>
      <w:r w:rsidR="00DB75D9" w:rsidRPr="00B81695">
        <w:rPr>
          <w:rFonts w:ascii="Calibri" w:hAnsi="Calibri"/>
          <w:iCs/>
        </w:rPr>
        <w:t>2,588</w:t>
      </w:r>
      <w:r w:rsidRPr="00B81695">
        <w:rPr>
          <w:rFonts w:ascii="Calibri" w:hAnsi="Calibri"/>
          <w:iCs/>
        </w:rPr>
        <w:t xml:space="preserve"> or </w:t>
      </w:r>
      <w:r w:rsidR="00DB75D9" w:rsidRPr="00B81695">
        <w:rPr>
          <w:rFonts w:ascii="Calibri" w:hAnsi="Calibri"/>
          <w:iCs/>
        </w:rPr>
        <w:t>24</w:t>
      </w:r>
      <w:r w:rsidRPr="00B81695">
        <w:rPr>
          <w:rFonts w:ascii="Calibri" w:hAnsi="Calibri"/>
          <w:iCs/>
        </w:rPr>
        <w:t>% of all households were spending too much on their housing</w:t>
      </w:r>
      <w:r w:rsidR="00DB75D9" w:rsidRPr="00B81695">
        <w:rPr>
          <w:rFonts w:ascii="Calibri" w:hAnsi="Calibri"/>
          <w:iCs/>
        </w:rPr>
        <w:t>,</w:t>
      </w:r>
      <w:r w:rsidR="00DB75D9" w:rsidRPr="00B81695">
        <w:rPr>
          <w:rFonts w:ascii="Calibri" w:hAnsi="Calibri"/>
          <w:i/>
        </w:rPr>
        <w:t xml:space="preserve"> </w:t>
      </w:r>
      <w:r w:rsidR="00DB75D9" w:rsidRPr="00B81695">
        <w:rPr>
          <w:rFonts w:ascii="Calibri" w:hAnsi="Calibri"/>
          <w:iCs/>
        </w:rPr>
        <w:t xml:space="preserve">the same level that was identified in the </w:t>
      </w:r>
      <w:r w:rsidRPr="00B81695">
        <w:rPr>
          <w:rFonts w:ascii="Calibri" w:hAnsi="Calibri"/>
          <w:iCs/>
        </w:rPr>
        <w:t>2019 census estimates</w:t>
      </w:r>
      <w:r w:rsidR="009C000B">
        <w:rPr>
          <w:rFonts w:ascii="Calibri" w:hAnsi="Calibri"/>
          <w:iCs/>
        </w:rPr>
        <w:t>.  This level is</w:t>
      </w:r>
      <w:r w:rsidR="00B81695">
        <w:rPr>
          <w:rFonts w:ascii="Calibri" w:hAnsi="Calibri"/>
          <w:iCs/>
        </w:rPr>
        <w:t xml:space="preserve"> down from 26% in 2015</w:t>
      </w:r>
      <w:r w:rsidR="00FF2FF7">
        <w:rPr>
          <w:rFonts w:ascii="Calibri" w:hAnsi="Calibri"/>
          <w:iCs/>
        </w:rPr>
        <w:t xml:space="preserve"> and </w:t>
      </w:r>
      <w:r w:rsidR="00B53E82">
        <w:rPr>
          <w:rFonts w:ascii="Calibri" w:hAnsi="Calibri"/>
          <w:iCs/>
        </w:rPr>
        <w:t>27.7% in 2011</w:t>
      </w:r>
      <w:r w:rsidRPr="00B81695">
        <w:rPr>
          <w:rFonts w:ascii="Calibri" w:hAnsi="Calibri"/>
          <w:iCs/>
        </w:rPr>
        <w:t>.</w:t>
      </w:r>
    </w:p>
    <w:p w14:paraId="706EAE60" w14:textId="77777777" w:rsidR="003E5F08" w:rsidRDefault="003E5F08" w:rsidP="00A600AD">
      <w:pPr>
        <w:ind w:left="5040"/>
        <w:jc w:val="both"/>
        <w:rPr>
          <w:rFonts w:ascii="Calibri" w:hAnsi="Calibri"/>
          <w:sz w:val="22"/>
          <w:szCs w:val="22"/>
        </w:rPr>
      </w:pPr>
    </w:p>
    <w:p w14:paraId="3996F4E4" w14:textId="77777777" w:rsidR="00EB2662" w:rsidRDefault="00EB2662" w:rsidP="00A600AD">
      <w:pPr>
        <w:jc w:val="both"/>
        <w:rPr>
          <w:rFonts w:ascii="Calibri" w:hAnsi="Calibri"/>
          <w:sz w:val="22"/>
          <w:szCs w:val="22"/>
        </w:rPr>
      </w:pPr>
      <w:r>
        <w:rPr>
          <w:rFonts w:ascii="Calibri" w:hAnsi="Calibri"/>
          <w:sz w:val="22"/>
          <w:szCs w:val="22"/>
        </w:rPr>
        <w:t xml:space="preserve">Of the 1,810 reported renter households, 620 or 34.2% were experiencing cost burdens compared to 708 or 7.9% of owners. Consequently, renters were proportionately experiencing greater cost burdens although the total number of cost-burdened owners was a bit higher. </w:t>
      </w:r>
    </w:p>
    <w:p w14:paraId="27FE8204" w14:textId="77777777" w:rsidR="00EB2662" w:rsidRDefault="00EB2662" w:rsidP="00A600AD">
      <w:pPr>
        <w:jc w:val="both"/>
        <w:rPr>
          <w:rFonts w:ascii="Calibri" w:hAnsi="Calibri"/>
          <w:sz w:val="22"/>
          <w:szCs w:val="22"/>
        </w:rPr>
      </w:pPr>
    </w:p>
    <w:p w14:paraId="61249148" w14:textId="7CD7FA38" w:rsidR="003E5F08" w:rsidRDefault="003E5F08" w:rsidP="00A600AD">
      <w:pPr>
        <w:jc w:val="both"/>
        <w:rPr>
          <w:rFonts w:ascii="Calibri" w:hAnsi="Calibri"/>
          <w:sz w:val="22"/>
          <w:szCs w:val="22"/>
        </w:rPr>
      </w:pPr>
      <w:r>
        <w:rPr>
          <w:rFonts w:ascii="Calibri" w:hAnsi="Calibri"/>
          <w:sz w:val="22"/>
          <w:szCs w:val="22"/>
        </w:rPr>
        <w:t xml:space="preserve">There were </w:t>
      </w:r>
      <w:r w:rsidR="00DB75D9">
        <w:rPr>
          <w:rFonts w:ascii="Calibri" w:hAnsi="Calibri"/>
          <w:sz w:val="22"/>
          <w:szCs w:val="22"/>
        </w:rPr>
        <w:t>1,030</w:t>
      </w:r>
      <w:r>
        <w:rPr>
          <w:rFonts w:ascii="Calibri" w:hAnsi="Calibri"/>
          <w:sz w:val="22"/>
          <w:szCs w:val="22"/>
        </w:rPr>
        <w:t xml:space="preserve"> renter households and </w:t>
      </w:r>
      <w:r w:rsidR="00DB75D9">
        <w:rPr>
          <w:rFonts w:ascii="Calibri" w:hAnsi="Calibri"/>
          <w:sz w:val="22"/>
          <w:szCs w:val="22"/>
        </w:rPr>
        <w:t>1,060</w:t>
      </w:r>
      <w:r>
        <w:rPr>
          <w:rFonts w:ascii="Calibri" w:hAnsi="Calibri"/>
          <w:sz w:val="22"/>
          <w:szCs w:val="22"/>
        </w:rPr>
        <w:t xml:space="preserve"> owner households with incomes at or below 80% </w:t>
      </w:r>
      <w:r w:rsidR="006B5A0D">
        <w:rPr>
          <w:rFonts w:ascii="Calibri" w:hAnsi="Calibri"/>
          <w:sz w:val="22"/>
          <w:szCs w:val="22"/>
        </w:rPr>
        <w:t>A</w:t>
      </w:r>
      <w:r>
        <w:rPr>
          <w:rFonts w:ascii="Calibri" w:hAnsi="Calibri"/>
          <w:sz w:val="22"/>
          <w:szCs w:val="22"/>
        </w:rPr>
        <w:t xml:space="preserve">MI, which included </w:t>
      </w:r>
      <w:r w:rsidR="00DB75D9">
        <w:rPr>
          <w:rFonts w:ascii="Calibri" w:hAnsi="Calibri"/>
          <w:sz w:val="22"/>
          <w:szCs w:val="22"/>
        </w:rPr>
        <w:t>57</w:t>
      </w:r>
      <w:r>
        <w:rPr>
          <w:rFonts w:ascii="Calibri" w:hAnsi="Calibri"/>
          <w:sz w:val="22"/>
          <w:szCs w:val="22"/>
        </w:rPr>
        <w:t xml:space="preserve">% of all renter households and </w:t>
      </w:r>
      <w:r w:rsidR="00D37DA5">
        <w:rPr>
          <w:rFonts w:ascii="Calibri" w:hAnsi="Calibri"/>
          <w:sz w:val="22"/>
          <w:szCs w:val="22"/>
        </w:rPr>
        <w:t>11.8</w:t>
      </w:r>
      <w:r>
        <w:rPr>
          <w:rFonts w:ascii="Calibri" w:hAnsi="Calibri"/>
          <w:sz w:val="22"/>
          <w:szCs w:val="22"/>
        </w:rPr>
        <w:t>% of owner households.</w:t>
      </w:r>
      <w:r>
        <w:rPr>
          <w:rStyle w:val="FootnoteReference"/>
          <w:rFonts w:ascii="Calibri" w:hAnsi="Calibri"/>
          <w:sz w:val="22"/>
          <w:szCs w:val="22"/>
        </w:rPr>
        <w:footnoteReference w:id="27"/>
      </w:r>
      <w:r>
        <w:rPr>
          <w:rFonts w:ascii="Calibri" w:hAnsi="Calibri"/>
          <w:sz w:val="22"/>
          <w:szCs w:val="22"/>
        </w:rPr>
        <w:t xml:space="preserve">  </w:t>
      </w:r>
    </w:p>
    <w:p w14:paraId="797CF47E" w14:textId="094ECA94" w:rsidR="0076040B" w:rsidRDefault="0076040B" w:rsidP="0076040B">
      <w:pPr>
        <w:pStyle w:val="CommentText"/>
        <w:spacing w:line="240" w:lineRule="auto"/>
        <w:ind w:left="720"/>
        <w:jc w:val="both"/>
      </w:pPr>
    </w:p>
    <w:p w14:paraId="29C52BD4" w14:textId="4A8575CE" w:rsidR="004D53AD" w:rsidRPr="004D53AD" w:rsidRDefault="0076040B" w:rsidP="0075407C">
      <w:pPr>
        <w:jc w:val="center"/>
        <w:rPr>
          <w:sz w:val="22"/>
          <w:szCs w:val="22"/>
        </w:rPr>
      </w:pPr>
      <w:r>
        <w:rPr>
          <w:rFonts w:ascii="Calibri" w:hAnsi="Calibri"/>
          <w:b/>
          <w:sz w:val="22"/>
          <w:szCs w:val="22"/>
        </w:rPr>
        <w:t>Table</w:t>
      </w:r>
      <w:r w:rsidR="0013253A">
        <w:rPr>
          <w:rFonts w:ascii="Calibri" w:hAnsi="Calibri"/>
          <w:b/>
          <w:sz w:val="22"/>
          <w:szCs w:val="22"/>
        </w:rPr>
        <w:t xml:space="preserve"> III-</w:t>
      </w:r>
      <w:r w:rsidR="0075407C">
        <w:rPr>
          <w:rFonts w:ascii="Calibri" w:hAnsi="Calibri"/>
          <w:b/>
          <w:sz w:val="22"/>
          <w:szCs w:val="22"/>
        </w:rPr>
        <w:t>4</w:t>
      </w:r>
      <w:r w:rsidR="001F43B8">
        <w:rPr>
          <w:rFonts w:ascii="Calibri" w:hAnsi="Calibri"/>
          <w:b/>
          <w:sz w:val="22"/>
          <w:szCs w:val="22"/>
        </w:rPr>
        <w:t>1</w:t>
      </w:r>
      <w:r>
        <w:rPr>
          <w:rFonts w:ascii="Calibri" w:hAnsi="Calibri"/>
          <w:b/>
          <w:sz w:val="22"/>
          <w:szCs w:val="22"/>
        </w:rPr>
        <w:t xml:space="preserve">: </w:t>
      </w:r>
      <w:r w:rsidR="00A600AD" w:rsidRPr="00A600AD">
        <w:rPr>
          <w:rFonts w:asciiTheme="minorHAnsi" w:hAnsiTheme="minorHAnsi" w:cstheme="minorHAnsi"/>
          <w:b/>
          <w:bCs/>
          <w:sz w:val="22"/>
          <w:szCs w:val="22"/>
        </w:rPr>
        <w:t>Type of Households by Income Category and Cost Burdens, 2018*</w:t>
      </w:r>
    </w:p>
    <w:tbl>
      <w:tblPr>
        <w:tblpPr w:leftFromText="180" w:rightFromText="180" w:vertAnchor="text" w:horzAnchor="margin" w:tblpY="57"/>
        <w:tblW w:w="5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gridCol w:w="1398"/>
        <w:gridCol w:w="1334"/>
        <w:gridCol w:w="1328"/>
        <w:gridCol w:w="1334"/>
        <w:gridCol w:w="1423"/>
        <w:gridCol w:w="1618"/>
      </w:tblGrid>
      <w:tr w:rsidR="0075407C" w:rsidRPr="00876ECA" w14:paraId="618C2944" w14:textId="77777777" w:rsidTr="0075407C">
        <w:tc>
          <w:tcPr>
            <w:tcW w:w="940" w:type="pct"/>
          </w:tcPr>
          <w:p w14:paraId="2821A95D" w14:textId="77777777" w:rsidR="0075407C" w:rsidRDefault="0075407C" w:rsidP="0075407C">
            <w:pPr>
              <w:pStyle w:val="BodyTextIndent"/>
              <w:spacing w:after="0"/>
              <w:ind w:left="0" w:right="-720"/>
              <w:rPr>
                <w:rFonts w:ascii="Calibri" w:hAnsi="Calibri" w:cs="Lucida Sans Unicode"/>
                <w:b/>
                <w:bCs/>
              </w:rPr>
            </w:pPr>
          </w:p>
          <w:p w14:paraId="2E6B1094" w14:textId="77777777" w:rsidR="0075407C" w:rsidRDefault="0075407C" w:rsidP="0075407C">
            <w:pPr>
              <w:pStyle w:val="BodyTextIndent"/>
              <w:spacing w:after="0"/>
              <w:ind w:left="0" w:right="-720"/>
              <w:rPr>
                <w:rFonts w:ascii="Calibri" w:hAnsi="Calibri" w:cs="Lucida Sans Unicode"/>
                <w:b/>
                <w:bCs/>
              </w:rPr>
            </w:pPr>
            <w:r>
              <w:rPr>
                <w:rFonts w:ascii="Calibri" w:hAnsi="Calibri" w:cs="Lucida Sans Unicode"/>
                <w:b/>
                <w:bCs/>
                <w:sz w:val="22"/>
                <w:szCs w:val="22"/>
              </w:rPr>
              <w:t>Type of Household</w:t>
            </w:r>
          </w:p>
          <w:p w14:paraId="5C67D5A8" w14:textId="77777777" w:rsidR="0075407C" w:rsidRPr="00876ECA" w:rsidRDefault="0075407C" w:rsidP="0075407C">
            <w:pPr>
              <w:pStyle w:val="BodyTextIndent"/>
              <w:spacing w:after="0"/>
              <w:ind w:left="0" w:right="-720"/>
              <w:rPr>
                <w:rFonts w:ascii="Calibri" w:hAnsi="Calibri" w:cs="Lucida Sans Unicode"/>
                <w:b/>
                <w:bCs/>
              </w:rPr>
            </w:pPr>
            <w:r>
              <w:rPr>
                <w:rFonts w:ascii="Calibri" w:hAnsi="Calibri" w:cs="Lucida Sans Unicode"/>
                <w:b/>
                <w:bCs/>
                <w:sz w:val="22"/>
                <w:szCs w:val="22"/>
              </w:rPr>
              <w:t>By Tenure</w:t>
            </w:r>
          </w:p>
        </w:tc>
        <w:tc>
          <w:tcPr>
            <w:tcW w:w="673" w:type="pct"/>
          </w:tcPr>
          <w:p w14:paraId="167C6A59"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Households</w:t>
            </w:r>
          </w:p>
          <w:p w14:paraId="3E08836B"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Earning &lt;30%</w:t>
            </w:r>
          </w:p>
          <w:p w14:paraId="67A6645A" w14:textId="2F6BF9A2" w:rsidR="0075407C" w:rsidRPr="00876ECA" w:rsidRDefault="002B4D2B" w:rsidP="0075407C">
            <w:pPr>
              <w:pStyle w:val="BodyTextIndent"/>
              <w:spacing w:after="0"/>
              <w:ind w:left="0" w:right="-720"/>
              <w:rPr>
                <w:rFonts w:ascii="Calibri" w:hAnsi="Calibri" w:cs="Lucida Sans Unicode"/>
                <w:b/>
                <w:bCs/>
              </w:rPr>
            </w:pPr>
            <w:r>
              <w:rPr>
                <w:rFonts w:ascii="Calibri" w:hAnsi="Calibri" w:cs="Lucida Sans Unicode"/>
                <w:b/>
                <w:bCs/>
                <w:sz w:val="22"/>
                <w:szCs w:val="22"/>
              </w:rPr>
              <w:t>A</w:t>
            </w:r>
            <w:r w:rsidR="0075407C" w:rsidRPr="00876ECA">
              <w:rPr>
                <w:rFonts w:ascii="Calibri" w:hAnsi="Calibri" w:cs="Lucida Sans Unicode"/>
                <w:b/>
                <w:bCs/>
                <w:sz w:val="22"/>
                <w:szCs w:val="22"/>
              </w:rPr>
              <w:t>MI/# with</w:t>
            </w:r>
          </w:p>
          <w:p w14:paraId="7564D1A5"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cost burdens</w:t>
            </w:r>
          </w:p>
          <w:p w14:paraId="37CB97EF"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w:t>
            </w:r>
          </w:p>
        </w:tc>
        <w:tc>
          <w:tcPr>
            <w:tcW w:w="642" w:type="pct"/>
          </w:tcPr>
          <w:p w14:paraId="1890825E"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Households</w:t>
            </w:r>
          </w:p>
          <w:p w14:paraId="7AE6221E" w14:textId="77777777" w:rsidR="0075407C"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 xml:space="preserve">Earning &gt; </w:t>
            </w:r>
          </w:p>
          <w:p w14:paraId="69B7CE29"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30%</w:t>
            </w:r>
            <w:r>
              <w:rPr>
                <w:rFonts w:ascii="Calibri" w:hAnsi="Calibri" w:cs="Lucida Sans Unicode"/>
                <w:b/>
                <w:bCs/>
                <w:sz w:val="22"/>
                <w:szCs w:val="22"/>
              </w:rPr>
              <w:t xml:space="preserve"> </w:t>
            </w:r>
            <w:r w:rsidRPr="00876ECA">
              <w:rPr>
                <w:rFonts w:ascii="Calibri" w:hAnsi="Calibri" w:cs="Lucida Sans Unicode"/>
                <w:b/>
                <w:bCs/>
                <w:sz w:val="22"/>
                <w:szCs w:val="22"/>
              </w:rPr>
              <w:t>to &lt; 50%</w:t>
            </w:r>
          </w:p>
          <w:p w14:paraId="4B6CDF13" w14:textId="33F2898E" w:rsidR="0075407C" w:rsidRPr="00876ECA" w:rsidRDefault="002B4D2B" w:rsidP="0075407C">
            <w:pPr>
              <w:pStyle w:val="BodyTextIndent"/>
              <w:spacing w:after="0"/>
              <w:ind w:left="0" w:right="-720"/>
              <w:rPr>
                <w:rFonts w:ascii="Calibri" w:hAnsi="Calibri" w:cs="Lucida Sans Unicode"/>
                <w:b/>
                <w:bCs/>
              </w:rPr>
            </w:pPr>
            <w:r>
              <w:rPr>
                <w:rFonts w:ascii="Calibri" w:hAnsi="Calibri" w:cs="Lucida Sans Unicode"/>
                <w:b/>
                <w:bCs/>
                <w:sz w:val="22"/>
                <w:szCs w:val="22"/>
              </w:rPr>
              <w:t>A</w:t>
            </w:r>
            <w:r w:rsidR="0075407C" w:rsidRPr="00876ECA">
              <w:rPr>
                <w:rFonts w:ascii="Calibri" w:hAnsi="Calibri" w:cs="Lucida Sans Unicode"/>
                <w:b/>
                <w:bCs/>
                <w:sz w:val="22"/>
                <w:szCs w:val="22"/>
              </w:rPr>
              <w:t>MI/ # with</w:t>
            </w:r>
          </w:p>
          <w:p w14:paraId="2AB6B020"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cost burdens</w:t>
            </w:r>
          </w:p>
          <w:p w14:paraId="3D8F7565"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w:t>
            </w:r>
          </w:p>
        </w:tc>
        <w:tc>
          <w:tcPr>
            <w:tcW w:w="639" w:type="pct"/>
          </w:tcPr>
          <w:p w14:paraId="43977F41"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Households</w:t>
            </w:r>
          </w:p>
          <w:p w14:paraId="25F9B91B" w14:textId="77777777" w:rsidR="0075407C"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 xml:space="preserve">Earning &gt; </w:t>
            </w:r>
          </w:p>
          <w:p w14:paraId="783F0823"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50%</w:t>
            </w:r>
            <w:r>
              <w:rPr>
                <w:rFonts w:ascii="Calibri" w:hAnsi="Calibri" w:cs="Lucida Sans Unicode"/>
                <w:b/>
                <w:bCs/>
                <w:sz w:val="22"/>
                <w:szCs w:val="22"/>
              </w:rPr>
              <w:t xml:space="preserve"> </w:t>
            </w:r>
            <w:r w:rsidRPr="00876ECA">
              <w:rPr>
                <w:rFonts w:ascii="Calibri" w:hAnsi="Calibri" w:cs="Lucida Sans Unicode"/>
                <w:b/>
                <w:bCs/>
                <w:sz w:val="22"/>
                <w:szCs w:val="22"/>
              </w:rPr>
              <w:t>to &lt; 80%</w:t>
            </w:r>
          </w:p>
          <w:p w14:paraId="252823EC" w14:textId="16D09736" w:rsidR="0075407C" w:rsidRPr="00876ECA" w:rsidRDefault="002B4D2B" w:rsidP="0075407C">
            <w:pPr>
              <w:pStyle w:val="BodyTextIndent"/>
              <w:spacing w:after="0"/>
              <w:ind w:left="0" w:right="-720"/>
              <w:rPr>
                <w:rFonts w:ascii="Calibri" w:hAnsi="Calibri" w:cs="Lucida Sans Unicode"/>
                <w:b/>
                <w:bCs/>
              </w:rPr>
            </w:pPr>
            <w:r>
              <w:rPr>
                <w:rFonts w:ascii="Calibri" w:hAnsi="Calibri" w:cs="Lucida Sans Unicode"/>
                <w:b/>
                <w:bCs/>
                <w:sz w:val="22"/>
                <w:szCs w:val="22"/>
              </w:rPr>
              <w:t>A</w:t>
            </w:r>
            <w:r w:rsidR="0075407C" w:rsidRPr="00876ECA">
              <w:rPr>
                <w:rFonts w:ascii="Calibri" w:hAnsi="Calibri" w:cs="Lucida Sans Unicode"/>
                <w:b/>
                <w:bCs/>
                <w:sz w:val="22"/>
                <w:szCs w:val="22"/>
              </w:rPr>
              <w:t>MI/# with</w:t>
            </w:r>
          </w:p>
          <w:p w14:paraId="0FF6DC4B"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cost burdens</w:t>
            </w:r>
          </w:p>
          <w:p w14:paraId="0C6DEEA2"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w:t>
            </w:r>
          </w:p>
        </w:tc>
        <w:tc>
          <w:tcPr>
            <w:tcW w:w="642" w:type="pct"/>
          </w:tcPr>
          <w:p w14:paraId="706877F8"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Households</w:t>
            </w:r>
          </w:p>
          <w:p w14:paraId="72CF4AFE"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Earning</w:t>
            </w:r>
          </w:p>
          <w:p w14:paraId="157CF3AD"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&gt; 80% and &lt;</w:t>
            </w:r>
          </w:p>
          <w:p w14:paraId="759D01FF" w14:textId="1D771090"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 xml:space="preserve">100% </w:t>
            </w:r>
            <w:r w:rsidR="002B4D2B">
              <w:rPr>
                <w:rFonts w:ascii="Calibri" w:hAnsi="Calibri" w:cs="Lucida Sans Unicode"/>
                <w:b/>
                <w:bCs/>
                <w:sz w:val="22"/>
                <w:szCs w:val="22"/>
              </w:rPr>
              <w:t>A</w:t>
            </w:r>
            <w:r w:rsidRPr="00876ECA">
              <w:rPr>
                <w:rFonts w:ascii="Calibri" w:hAnsi="Calibri" w:cs="Lucida Sans Unicode"/>
                <w:b/>
                <w:bCs/>
                <w:sz w:val="22"/>
                <w:szCs w:val="22"/>
              </w:rPr>
              <w:t>MI</w:t>
            </w:r>
          </w:p>
          <w:p w14:paraId="23627EC9"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lastRenderedPageBreak/>
              <w:t>/# with cost</w:t>
            </w:r>
          </w:p>
          <w:p w14:paraId="14A6B545" w14:textId="77777777" w:rsidR="0075407C" w:rsidRPr="00876ECA" w:rsidRDefault="0075407C" w:rsidP="0075407C">
            <w:pPr>
              <w:pStyle w:val="BodyTextIndent"/>
              <w:spacing w:after="0"/>
              <w:ind w:left="0" w:right="-720"/>
              <w:rPr>
                <w:rFonts w:ascii="Calibri" w:hAnsi="Calibri" w:cs="Lucida Sans Unicode"/>
                <w:b/>
                <w:bCs/>
              </w:rPr>
            </w:pPr>
            <w:r w:rsidRPr="00876ECA">
              <w:rPr>
                <w:rFonts w:ascii="Calibri" w:hAnsi="Calibri" w:cs="Lucida Sans Unicode"/>
                <w:b/>
                <w:bCs/>
                <w:sz w:val="22"/>
                <w:szCs w:val="22"/>
              </w:rPr>
              <w:t>burdens *</w:t>
            </w:r>
          </w:p>
        </w:tc>
        <w:tc>
          <w:tcPr>
            <w:tcW w:w="685" w:type="pct"/>
          </w:tcPr>
          <w:p w14:paraId="5A84E025" w14:textId="77777777" w:rsidR="0075407C" w:rsidRPr="00876ECA" w:rsidRDefault="0075407C" w:rsidP="0075407C">
            <w:pPr>
              <w:rPr>
                <w:rFonts w:ascii="Calibri" w:hAnsi="Calibri" w:cs="Lucida Sans Unicode"/>
                <w:b/>
                <w:bCs/>
              </w:rPr>
            </w:pPr>
            <w:r w:rsidRPr="00876ECA">
              <w:rPr>
                <w:rFonts w:ascii="Calibri" w:hAnsi="Calibri" w:cs="Lucida Sans Unicode"/>
                <w:b/>
                <w:bCs/>
              </w:rPr>
              <w:lastRenderedPageBreak/>
              <w:t>Households</w:t>
            </w:r>
          </w:p>
          <w:p w14:paraId="3697E19B" w14:textId="77777777" w:rsidR="0075407C" w:rsidRPr="00876ECA" w:rsidRDefault="0075407C" w:rsidP="0075407C">
            <w:pPr>
              <w:rPr>
                <w:rFonts w:ascii="Calibri" w:hAnsi="Calibri" w:cs="Lucida Sans Unicode"/>
                <w:b/>
                <w:bCs/>
              </w:rPr>
            </w:pPr>
            <w:r w:rsidRPr="00876ECA">
              <w:rPr>
                <w:rFonts w:ascii="Calibri" w:hAnsi="Calibri" w:cs="Lucida Sans Unicode"/>
                <w:b/>
                <w:bCs/>
              </w:rPr>
              <w:t>Earning</w:t>
            </w:r>
          </w:p>
          <w:p w14:paraId="7BB6BBF1" w14:textId="05E4B886" w:rsidR="0075407C" w:rsidRPr="00876ECA" w:rsidRDefault="0075407C" w:rsidP="0075407C">
            <w:pPr>
              <w:rPr>
                <w:rFonts w:ascii="Calibri" w:hAnsi="Calibri" w:cs="Lucida Sans Unicode"/>
                <w:b/>
                <w:bCs/>
              </w:rPr>
            </w:pPr>
            <w:r w:rsidRPr="00876ECA">
              <w:rPr>
                <w:rFonts w:ascii="Calibri" w:hAnsi="Calibri" w:cs="Lucida Sans Unicode"/>
                <w:b/>
                <w:bCs/>
              </w:rPr>
              <w:t xml:space="preserve">&gt; 100% </w:t>
            </w:r>
            <w:r w:rsidR="002B4D2B">
              <w:rPr>
                <w:rFonts w:ascii="Calibri" w:hAnsi="Calibri" w:cs="Lucida Sans Unicode"/>
                <w:b/>
                <w:bCs/>
              </w:rPr>
              <w:lastRenderedPageBreak/>
              <w:t>A</w:t>
            </w:r>
            <w:r w:rsidRPr="00876ECA">
              <w:rPr>
                <w:rFonts w:ascii="Calibri" w:hAnsi="Calibri" w:cs="Lucida Sans Unicode"/>
                <w:b/>
                <w:bCs/>
              </w:rPr>
              <w:t>MI/</w:t>
            </w:r>
          </w:p>
          <w:p w14:paraId="2C54F514" w14:textId="77777777" w:rsidR="0075407C" w:rsidRPr="00876ECA" w:rsidRDefault="0075407C" w:rsidP="0075407C">
            <w:pPr>
              <w:rPr>
                <w:rFonts w:ascii="Calibri" w:hAnsi="Calibri" w:cs="Lucida Sans Unicode"/>
                <w:b/>
                <w:bCs/>
              </w:rPr>
            </w:pPr>
            <w:r w:rsidRPr="00876ECA">
              <w:rPr>
                <w:rFonts w:ascii="Calibri" w:hAnsi="Calibri" w:cs="Lucida Sans Unicode"/>
                <w:b/>
                <w:bCs/>
              </w:rPr>
              <w:t># with cost</w:t>
            </w:r>
          </w:p>
          <w:p w14:paraId="524AC2BA" w14:textId="77777777" w:rsidR="0075407C" w:rsidRPr="00665CE1" w:rsidRDefault="0075407C" w:rsidP="0075407C">
            <w:pPr>
              <w:rPr>
                <w:rFonts w:ascii="Calibri" w:hAnsi="Calibri" w:cs="Lucida Sans Unicode"/>
                <w:b/>
                <w:bCs/>
              </w:rPr>
            </w:pPr>
            <w:r>
              <w:rPr>
                <w:rFonts w:ascii="Calibri" w:hAnsi="Calibri" w:cs="Lucida Sans Unicode"/>
                <w:b/>
                <w:bCs/>
              </w:rPr>
              <w:t>burdens *</w:t>
            </w:r>
          </w:p>
        </w:tc>
        <w:tc>
          <w:tcPr>
            <w:tcW w:w="779" w:type="pct"/>
          </w:tcPr>
          <w:p w14:paraId="191D37D5" w14:textId="77777777" w:rsidR="0075407C" w:rsidRPr="00876ECA" w:rsidRDefault="0075407C" w:rsidP="0075407C">
            <w:pPr>
              <w:rPr>
                <w:rFonts w:ascii="Calibri" w:hAnsi="Calibri" w:cs="Lucida Sans Unicode"/>
                <w:b/>
                <w:bCs/>
              </w:rPr>
            </w:pPr>
          </w:p>
          <w:p w14:paraId="10F3AD30" w14:textId="77777777" w:rsidR="0075407C" w:rsidRPr="00876ECA" w:rsidRDefault="0075407C" w:rsidP="0075407C">
            <w:pPr>
              <w:rPr>
                <w:rFonts w:ascii="Calibri" w:hAnsi="Calibri" w:cs="Lucida Sans Unicode"/>
                <w:b/>
                <w:bCs/>
              </w:rPr>
            </w:pPr>
          </w:p>
          <w:p w14:paraId="6F47D6DD" w14:textId="77777777" w:rsidR="0075407C" w:rsidRPr="00876ECA" w:rsidRDefault="0075407C" w:rsidP="0075407C">
            <w:pPr>
              <w:rPr>
                <w:rFonts w:ascii="Calibri" w:hAnsi="Calibri" w:cs="Lucida Sans Unicode"/>
                <w:b/>
                <w:bCs/>
              </w:rPr>
            </w:pPr>
            <w:r w:rsidRPr="00876ECA">
              <w:rPr>
                <w:rFonts w:ascii="Calibri" w:hAnsi="Calibri" w:cs="Lucida Sans Unicode"/>
                <w:b/>
                <w:bCs/>
              </w:rPr>
              <w:t>Total</w:t>
            </w:r>
          </w:p>
          <w:p w14:paraId="320AC09E" w14:textId="77777777" w:rsidR="0075407C" w:rsidRPr="00876ECA" w:rsidRDefault="0075407C" w:rsidP="0075407C">
            <w:pPr>
              <w:pStyle w:val="BodyTextIndent"/>
              <w:spacing w:after="0"/>
              <w:ind w:left="0" w:right="-720"/>
              <w:rPr>
                <w:rFonts w:ascii="Calibri" w:hAnsi="Calibri" w:cs="Lucida Sans Unicode"/>
                <w:b/>
                <w:bCs/>
              </w:rPr>
            </w:pPr>
          </w:p>
        </w:tc>
      </w:tr>
      <w:tr w:rsidR="0075407C" w:rsidRPr="004E50E7" w14:paraId="396FDA9A" w14:textId="77777777" w:rsidTr="0075407C">
        <w:tc>
          <w:tcPr>
            <w:tcW w:w="940" w:type="pct"/>
          </w:tcPr>
          <w:p w14:paraId="5917F490"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lastRenderedPageBreak/>
              <w:t>Elderly Renters</w:t>
            </w:r>
          </w:p>
        </w:tc>
        <w:tc>
          <w:tcPr>
            <w:tcW w:w="673" w:type="pct"/>
          </w:tcPr>
          <w:p w14:paraId="070E108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260/30-105</w:t>
            </w:r>
          </w:p>
        </w:tc>
        <w:tc>
          <w:tcPr>
            <w:tcW w:w="642" w:type="pct"/>
          </w:tcPr>
          <w:p w14:paraId="419BF6AF"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250/35-150</w:t>
            </w:r>
          </w:p>
        </w:tc>
        <w:tc>
          <w:tcPr>
            <w:tcW w:w="639" w:type="pct"/>
          </w:tcPr>
          <w:p w14:paraId="17537EE7"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60/20-0</w:t>
            </w:r>
          </w:p>
        </w:tc>
        <w:tc>
          <w:tcPr>
            <w:tcW w:w="642" w:type="pct"/>
          </w:tcPr>
          <w:p w14:paraId="793829E6"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175/25-35</w:t>
            </w:r>
          </w:p>
        </w:tc>
        <w:tc>
          <w:tcPr>
            <w:tcW w:w="685" w:type="pct"/>
          </w:tcPr>
          <w:p w14:paraId="7AAC4F6B"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150/30-15</w:t>
            </w:r>
          </w:p>
        </w:tc>
        <w:tc>
          <w:tcPr>
            <w:tcW w:w="779" w:type="pct"/>
          </w:tcPr>
          <w:p w14:paraId="3F6FA73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895/140-305</w:t>
            </w:r>
          </w:p>
        </w:tc>
      </w:tr>
      <w:tr w:rsidR="0075407C" w:rsidRPr="004E50E7" w14:paraId="05164B97" w14:textId="77777777" w:rsidTr="0075407C">
        <w:tc>
          <w:tcPr>
            <w:tcW w:w="940" w:type="pct"/>
          </w:tcPr>
          <w:p w14:paraId="13222110"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Small Family Renters</w:t>
            </w:r>
          </w:p>
        </w:tc>
        <w:tc>
          <w:tcPr>
            <w:tcW w:w="673" w:type="pct"/>
          </w:tcPr>
          <w:p w14:paraId="1F5B117F"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45/0-0</w:t>
            </w:r>
          </w:p>
        </w:tc>
        <w:tc>
          <w:tcPr>
            <w:tcW w:w="642" w:type="pct"/>
          </w:tcPr>
          <w:p w14:paraId="03BAEED6"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100/0-10</w:t>
            </w:r>
          </w:p>
        </w:tc>
        <w:tc>
          <w:tcPr>
            <w:tcW w:w="639" w:type="pct"/>
          </w:tcPr>
          <w:p w14:paraId="356935F9"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70/70-0</w:t>
            </w:r>
          </w:p>
        </w:tc>
        <w:tc>
          <w:tcPr>
            <w:tcW w:w="642" w:type="pct"/>
          </w:tcPr>
          <w:p w14:paraId="20486E1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30/0-0</w:t>
            </w:r>
          </w:p>
        </w:tc>
        <w:tc>
          <w:tcPr>
            <w:tcW w:w="685" w:type="pct"/>
          </w:tcPr>
          <w:p w14:paraId="15B36F80"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270/0-0</w:t>
            </w:r>
          </w:p>
        </w:tc>
        <w:tc>
          <w:tcPr>
            <w:tcW w:w="779" w:type="pct"/>
          </w:tcPr>
          <w:p w14:paraId="1FC93581"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515/70-10</w:t>
            </w:r>
          </w:p>
        </w:tc>
      </w:tr>
      <w:tr w:rsidR="0075407C" w:rsidRPr="004E50E7" w14:paraId="52123A13" w14:textId="77777777" w:rsidTr="0075407C">
        <w:tc>
          <w:tcPr>
            <w:tcW w:w="940" w:type="pct"/>
          </w:tcPr>
          <w:p w14:paraId="435E9C66"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Large Family Renters</w:t>
            </w:r>
          </w:p>
        </w:tc>
        <w:tc>
          <w:tcPr>
            <w:tcW w:w="673" w:type="pct"/>
          </w:tcPr>
          <w:p w14:paraId="1FA2C5E8"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42" w:type="pct"/>
          </w:tcPr>
          <w:p w14:paraId="428F086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10/10-0</w:t>
            </w:r>
          </w:p>
        </w:tc>
        <w:tc>
          <w:tcPr>
            <w:tcW w:w="639" w:type="pct"/>
          </w:tcPr>
          <w:p w14:paraId="04416CCD"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42" w:type="pct"/>
          </w:tcPr>
          <w:p w14:paraId="5CF795BD"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85" w:type="pct"/>
          </w:tcPr>
          <w:p w14:paraId="21386661"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15/0-0</w:t>
            </w:r>
          </w:p>
        </w:tc>
        <w:tc>
          <w:tcPr>
            <w:tcW w:w="779" w:type="pct"/>
          </w:tcPr>
          <w:p w14:paraId="0BBC4E3D"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25/10-0</w:t>
            </w:r>
          </w:p>
        </w:tc>
      </w:tr>
      <w:tr w:rsidR="0075407C" w:rsidRPr="004E50E7" w14:paraId="5624B11D" w14:textId="77777777" w:rsidTr="0075407C">
        <w:tc>
          <w:tcPr>
            <w:tcW w:w="940" w:type="pct"/>
          </w:tcPr>
          <w:p w14:paraId="204AC26C"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Other Renters</w:t>
            </w:r>
          </w:p>
        </w:tc>
        <w:tc>
          <w:tcPr>
            <w:tcW w:w="673" w:type="pct"/>
          </w:tcPr>
          <w:p w14:paraId="6F1162B4"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145/0-110</w:t>
            </w:r>
          </w:p>
        </w:tc>
        <w:tc>
          <w:tcPr>
            <w:tcW w:w="642" w:type="pct"/>
          </w:tcPr>
          <w:p w14:paraId="0904797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45/30-20</w:t>
            </w:r>
          </w:p>
        </w:tc>
        <w:tc>
          <w:tcPr>
            <w:tcW w:w="639" w:type="pct"/>
          </w:tcPr>
          <w:p w14:paraId="0BB3CD2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45/30-0</w:t>
            </w:r>
          </w:p>
        </w:tc>
        <w:tc>
          <w:tcPr>
            <w:tcW w:w="642" w:type="pct"/>
          </w:tcPr>
          <w:p w14:paraId="0BD30B1F"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85" w:type="pct"/>
          </w:tcPr>
          <w:p w14:paraId="3A5E5A96"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140/0-15</w:t>
            </w:r>
          </w:p>
        </w:tc>
        <w:tc>
          <w:tcPr>
            <w:tcW w:w="779" w:type="pct"/>
          </w:tcPr>
          <w:p w14:paraId="50C5FA6B"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375/60-145</w:t>
            </w:r>
          </w:p>
        </w:tc>
      </w:tr>
      <w:tr w:rsidR="0075407C" w:rsidRPr="004E50E7" w14:paraId="3C01B85F" w14:textId="77777777" w:rsidTr="0075407C">
        <w:tc>
          <w:tcPr>
            <w:tcW w:w="940" w:type="pct"/>
            <w:shd w:val="clear" w:color="auto" w:fill="B6DDE8" w:themeFill="accent5" w:themeFillTint="66"/>
          </w:tcPr>
          <w:p w14:paraId="58AB81FF" w14:textId="77777777" w:rsidR="0075407C" w:rsidRPr="00D14640" w:rsidRDefault="0075407C" w:rsidP="0075407C">
            <w:pPr>
              <w:pStyle w:val="BodyTextIndent"/>
              <w:spacing w:after="0"/>
              <w:ind w:left="0" w:right="-720"/>
              <w:rPr>
                <w:rFonts w:ascii="Calibri" w:hAnsi="Calibri" w:cs="Lucida Sans Unicode"/>
                <w:b/>
                <w:bCs/>
                <w:sz w:val="20"/>
              </w:rPr>
            </w:pPr>
            <w:r w:rsidRPr="00D14640">
              <w:rPr>
                <w:rFonts w:ascii="Calibri" w:hAnsi="Calibri" w:cs="Lucida Sans Unicode"/>
                <w:b/>
                <w:bCs/>
                <w:sz w:val="20"/>
              </w:rPr>
              <w:t>Total Renters</w:t>
            </w:r>
          </w:p>
        </w:tc>
        <w:tc>
          <w:tcPr>
            <w:tcW w:w="673" w:type="pct"/>
            <w:shd w:val="clear" w:color="auto" w:fill="B6DDE8" w:themeFill="accent5" w:themeFillTint="66"/>
          </w:tcPr>
          <w:p w14:paraId="46A6F305"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450/30-215</w:t>
            </w:r>
          </w:p>
        </w:tc>
        <w:tc>
          <w:tcPr>
            <w:tcW w:w="642" w:type="pct"/>
            <w:shd w:val="clear" w:color="auto" w:fill="B6DDE8" w:themeFill="accent5" w:themeFillTint="66"/>
          </w:tcPr>
          <w:p w14:paraId="0DC5E96D"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405/75-180</w:t>
            </w:r>
          </w:p>
        </w:tc>
        <w:tc>
          <w:tcPr>
            <w:tcW w:w="639" w:type="pct"/>
            <w:shd w:val="clear" w:color="auto" w:fill="B6DDE8" w:themeFill="accent5" w:themeFillTint="66"/>
          </w:tcPr>
          <w:p w14:paraId="7C98AF92"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175/120-0</w:t>
            </w:r>
          </w:p>
        </w:tc>
        <w:tc>
          <w:tcPr>
            <w:tcW w:w="642" w:type="pct"/>
            <w:shd w:val="clear" w:color="auto" w:fill="B6DDE8" w:themeFill="accent5" w:themeFillTint="66"/>
          </w:tcPr>
          <w:p w14:paraId="08945DFE"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205/25-35</w:t>
            </w:r>
          </w:p>
        </w:tc>
        <w:tc>
          <w:tcPr>
            <w:tcW w:w="685" w:type="pct"/>
            <w:shd w:val="clear" w:color="auto" w:fill="B6DDE8" w:themeFill="accent5" w:themeFillTint="66"/>
          </w:tcPr>
          <w:p w14:paraId="3EE686C1"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575/30-30</w:t>
            </w:r>
          </w:p>
        </w:tc>
        <w:tc>
          <w:tcPr>
            <w:tcW w:w="779" w:type="pct"/>
            <w:shd w:val="clear" w:color="auto" w:fill="B6DDE8" w:themeFill="accent5" w:themeFillTint="66"/>
          </w:tcPr>
          <w:p w14:paraId="2CCC7DC5"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1,810/280-460</w:t>
            </w:r>
          </w:p>
        </w:tc>
      </w:tr>
      <w:tr w:rsidR="0075407C" w:rsidRPr="004E50E7" w14:paraId="12C17519" w14:textId="77777777" w:rsidTr="0075407C">
        <w:tc>
          <w:tcPr>
            <w:tcW w:w="940" w:type="pct"/>
          </w:tcPr>
          <w:p w14:paraId="290AEB21"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Elderly Owners</w:t>
            </w:r>
          </w:p>
        </w:tc>
        <w:tc>
          <w:tcPr>
            <w:tcW w:w="673" w:type="pct"/>
          </w:tcPr>
          <w:p w14:paraId="22EB29E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285/15-260</w:t>
            </w:r>
          </w:p>
        </w:tc>
        <w:tc>
          <w:tcPr>
            <w:tcW w:w="642" w:type="pct"/>
          </w:tcPr>
          <w:p w14:paraId="32B45A3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160/125-14</w:t>
            </w:r>
          </w:p>
        </w:tc>
        <w:tc>
          <w:tcPr>
            <w:tcW w:w="639" w:type="pct"/>
          </w:tcPr>
          <w:p w14:paraId="4BF6BAA3"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270/30-45</w:t>
            </w:r>
          </w:p>
        </w:tc>
        <w:tc>
          <w:tcPr>
            <w:tcW w:w="642" w:type="pct"/>
          </w:tcPr>
          <w:p w14:paraId="5362EF4F"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215/50-35</w:t>
            </w:r>
          </w:p>
        </w:tc>
        <w:tc>
          <w:tcPr>
            <w:tcW w:w="685" w:type="pct"/>
          </w:tcPr>
          <w:p w14:paraId="1583795A"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1,785/175-40</w:t>
            </w:r>
          </w:p>
        </w:tc>
        <w:tc>
          <w:tcPr>
            <w:tcW w:w="779" w:type="pct"/>
          </w:tcPr>
          <w:p w14:paraId="6FD32864"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2,715/395-394</w:t>
            </w:r>
          </w:p>
        </w:tc>
      </w:tr>
      <w:tr w:rsidR="0075407C" w:rsidRPr="004E50E7" w14:paraId="3D28A087" w14:textId="77777777" w:rsidTr="0075407C">
        <w:tc>
          <w:tcPr>
            <w:tcW w:w="940" w:type="pct"/>
          </w:tcPr>
          <w:p w14:paraId="22B601CC"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Small Family Owners</w:t>
            </w:r>
          </w:p>
        </w:tc>
        <w:tc>
          <w:tcPr>
            <w:tcW w:w="673" w:type="pct"/>
          </w:tcPr>
          <w:p w14:paraId="3B6FAE0D"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20/0-20</w:t>
            </w:r>
          </w:p>
        </w:tc>
        <w:tc>
          <w:tcPr>
            <w:tcW w:w="642" w:type="pct"/>
          </w:tcPr>
          <w:p w14:paraId="4674F261"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20/0-20</w:t>
            </w:r>
          </w:p>
        </w:tc>
        <w:tc>
          <w:tcPr>
            <w:tcW w:w="639" w:type="pct"/>
          </w:tcPr>
          <w:p w14:paraId="0F833BEC"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225/50-80</w:t>
            </w:r>
          </w:p>
        </w:tc>
        <w:tc>
          <w:tcPr>
            <w:tcW w:w="642" w:type="pct"/>
          </w:tcPr>
          <w:p w14:paraId="389E878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160/30-65</w:t>
            </w:r>
          </w:p>
        </w:tc>
        <w:tc>
          <w:tcPr>
            <w:tcW w:w="685" w:type="pct"/>
          </w:tcPr>
          <w:p w14:paraId="34C31C9E"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4,630/635-55</w:t>
            </w:r>
          </w:p>
        </w:tc>
        <w:tc>
          <w:tcPr>
            <w:tcW w:w="779" w:type="pct"/>
          </w:tcPr>
          <w:p w14:paraId="3C2D9E8F"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5,055/715-240</w:t>
            </w:r>
          </w:p>
        </w:tc>
      </w:tr>
      <w:tr w:rsidR="0075407C" w:rsidRPr="004E50E7" w14:paraId="40419E3F" w14:textId="77777777" w:rsidTr="0075407C">
        <w:tc>
          <w:tcPr>
            <w:tcW w:w="940" w:type="pct"/>
          </w:tcPr>
          <w:p w14:paraId="5AA326F2"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Large Family Owners</w:t>
            </w:r>
          </w:p>
        </w:tc>
        <w:tc>
          <w:tcPr>
            <w:tcW w:w="673" w:type="pct"/>
          </w:tcPr>
          <w:p w14:paraId="4019EBD4"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42" w:type="pct"/>
          </w:tcPr>
          <w:p w14:paraId="3D78FCA8"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20/0-20</w:t>
            </w:r>
          </w:p>
        </w:tc>
        <w:tc>
          <w:tcPr>
            <w:tcW w:w="639" w:type="pct"/>
          </w:tcPr>
          <w:p w14:paraId="65818E4C"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15/0-0</w:t>
            </w:r>
          </w:p>
        </w:tc>
        <w:tc>
          <w:tcPr>
            <w:tcW w:w="642" w:type="pct"/>
          </w:tcPr>
          <w:p w14:paraId="363CEE93"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85" w:type="pct"/>
          </w:tcPr>
          <w:p w14:paraId="5A9945A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855/35-0</w:t>
            </w:r>
          </w:p>
        </w:tc>
        <w:tc>
          <w:tcPr>
            <w:tcW w:w="779" w:type="pct"/>
          </w:tcPr>
          <w:p w14:paraId="45113596"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890/35-20</w:t>
            </w:r>
          </w:p>
        </w:tc>
      </w:tr>
      <w:tr w:rsidR="0075407C" w:rsidRPr="004E50E7" w14:paraId="3C9DD93B" w14:textId="77777777" w:rsidTr="0075407C">
        <w:tc>
          <w:tcPr>
            <w:tcW w:w="940" w:type="pct"/>
          </w:tcPr>
          <w:p w14:paraId="3060C02A" w14:textId="77777777" w:rsidR="0075407C" w:rsidRPr="004D1CEA" w:rsidRDefault="0075407C" w:rsidP="0075407C">
            <w:pPr>
              <w:pStyle w:val="BodyTextIndent"/>
              <w:spacing w:after="0"/>
              <w:ind w:left="0" w:right="-720"/>
              <w:rPr>
                <w:rFonts w:ascii="Calibri" w:hAnsi="Calibri" w:cs="Lucida Sans Unicode"/>
                <w:bCs/>
                <w:sz w:val="20"/>
              </w:rPr>
            </w:pPr>
            <w:r w:rsidRPr="004D1CEA">
              <w:rPr>
                <w:rFonts w:ascii="Calibri" w:hAnsi="Calibri" w:cs="Lucida Sans Unicode"/>
                <w:bCs/>
                <w:sz w:val="20"/>
              </w:rPr>
              <w:t>Other Owners</w:t>
            </w:r>
          </w:p>
        </w:tc>
        <w:tc>
          <w:tcPr>
            <w:tcW w:w="673" w:type="pct"/>
          </w:tcPr>
          <w:p w14:paraId="0AB8C69B"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25/0-25</w:t>
            </w:r>
          </w:p>
        </w:tc>
        <w:tc>
          <w:tcPr>
            <w:tcW w:w="642" w:type="pct"/>
          </w:tcPr>
          <w:p w14:paraId="6DA7D663"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20/0-4</w:t>
            </w:r>
          </w:p>
        </w:tc>
        <w:tc>
          <w:tcPr>
            <w:tcW w:w="639" w:type="pct"/>
          </w:tcPr>
          <w:p w14:paraId="5AD88900"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42" w:type="pct"/>
          </w:tcPr>
          <w:p w14:paraId="400CBAB6"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0/0-0</w:t>
            </w:r>
          </w:p>
        </w:tc>
        <w:tc>
          <w:tcPr>
            <w:tcW w:w="685" w:type="pct"/>
          </w:tcPr>
          <w:p w14:paraId="4363BFAB"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250/0-20</w:t>
            </w:r>
          </w:p>
        </w:tc>
        <w:tc>
          <w:tcPr>
            <w:tcW w:w="779" w:type="pct"/>
          </w:tcPr>
          <w:p w14:paraId="64BCDE02" w14:textId="77777777" w:rsidR="0075407C" w:rsidRPr="004E50E7" w:rsidRDefault="0075407C" w:rsidP="0075407C">
            <w:pPr>
              <w:pStyle w:val="BodyTextIndent"/>
              <w:spacing w:after="0"/>
              <w:ind w:left="0" w:right="-720"/>
              <w:rPr>
                <w:rFonts w:ascii="Calibri" w:hAnsi="Calibri" w:cs="Lucida Sans Unicode"/>
                <w:sz w:val="20"/>
              </w:rPr>
            </w:pPr>
            <w:r>
              <w:rPr>
                <w:rFonts w:ascii="Calibri" w:hAnsi="Calibri" w:cs="Lucida Sans Unicode"/>
                <w:sz w:val="20"/>
              </w:rPr>
              <w:t>295/0-49</w:t>
            </w:r>
          </w:p>
        </w:tc>
      </w:tr>
      <w:tr w:rsidR="0075407C" w:rsidRPr="004E50E7" w14:paraId="62E5E156" w14:textId="77777777" w:rsidTr="0075407C">
        <w:tc>
          <w:tcPr>
            <w:tcW w:w="940" w:type="pct"/>
            <w:shd w:val="clear" w:color="auto" w:fill="B6DDE8" w:themeFill="accent5" w:themeFillTint="66"/>
          </w:tcPr>
          <w:p w14:paraId="0EA3727F" w14:textId="77777777" w:rsidR="0075407C" w:rsidRPr="00D14640" w:rsidRDefault="0075407C" w:rsidP="0075407C">
            <w:pPr>
              <w:pStyle w:val="BodyTextIndent"/>
              <w:spacing w:after="0"/>
              <w:ind w:left="0" w:right="-720"/>
              <w:rPr>
                <w:rFonts w:ascii="Calibri" w:hAnsi="Calibri" w:cs="Lucida Sans Unicode"/>
                <w:b/>
                <w:bCs/>
                <w:sz w:val="20"/>
              </w:rPr>
            </w:pPr>
            <w:r w:rsidRPr="00D14640">
              <w:rPr>
                <w:rFonts w:ascii="Calibri" w:hAnsi="Calibri" w:cs="Lucida Sans Unicode"/>
                <w:b/>
                <w:bCs/>
                <w:sz w:val="20"/>
              </w:rPr>
              <w:t>Total Owners</w:t>
            </w:r>
          </w:p>
        </w:tc>
        <w:tc>
          <w:tcPr>
            <w:tcW w:w="673" w:type="pct"/>
            <w:shd w:val="clear" w:color="auto" w:fill="B6DDE8" w:themeFill="accent5" w:themeFillTint="66"/>
          </w:tcPr>
          <w:p w14:paraId="2F6C1F3F"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330/15-305</w:t>
            </w:r>
          </w:p>
        </w:tc>
        <w:tc>
          <w:tcPr>
            <w:tcW w:w="642" w:type="pct"/>
            <w:shd w:val="clear" w:color="auto" w:fill="B6DDE8" w:themeFill="accent5" w:themeFillTint="66"/>
          </w:tcPr>
          <w:p w14:paraId="61F774B3"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220/125-58</w:t>
            </w:r>
          </w:p>
        </w:tc>
        <w:tc>
          <w:tcPr>
            <w:tcW w:w="639" w:type="pct"/>
            <w:shd w:val="clear" w:color="auto" w:fill="B6DDE8" w:themeFill="accent5" w:themeFillTint="66"/>
          </w:tcPr>
          <w:p w14:paraId="6D44D56F"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510/80-125</w:t>
            </w:r>
          </w:p>
        </w:tc>
        <w:tc>
          <w:tcPr>
            <w:tcW w:w="642" w:type="pct"/>
            <w:shd w:val="clear" w:color="auto" w:fill="B6DDE8" w:themeFill="accent5" w:themeFillTint="66"/>
          </w:tcPr>
          <w:p w14:paraId="04BCFE6F"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375/80-100</w:t>
            </w:r>
          </w:p>
        </w:tc>
        <w:tc>
          <w:tcPr>
            <w:tcW w:w="685" w:type="pct"/>
            <w:shd w:val="clear" w:color="auto" w:fill="B6DDE8" w:themeFill="accent5" w:themeFillTint="66"/>
          </w:tcPr>
          <w:p w14:paraId="6179AC95"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7,520/845-115</w:t>
            </w:r>
          </w:p>
        </w:tc>
        <w:tc>
          <w:tcPr>
            <w:tcW w:w="779" w:type="pct"/>
            <w:shd w:val="clear" w:color="auto" w:fill="B6DDE8" w:themeFill="accent5" w:themeFillTint="66"/>
          </w:tcPr>
          <w:p w14:paraId="13DEBC2E"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8,955/1,145-703</w:t>
            </w:r>
          </w:p>
        </w:tc>
      </w:tr>
      <w:tr w:rsidR="0075407C" w:rsidRPr="004E50E7" w14:paraId="474AE60C" w14:textId="77777777" w:rsidTr="0075407C">
        <w:tc>
          <w:tcPr>
            <w:tcW w:w="940" w:type="pct"/>
          </w:tcPr>
          <w:p w14:paraId="28029C07" w14:textId="77777777" w:rsidR="0075407C" w:rsidRPr="00D14640" w:rsidRDefault="0075407C" w:rsidP="0075407C">
            <w:pPr>
              <w:pStyle w:val="BodyTextIndent"/>
              <w:spacing w:after="0"/>
              <w:ind w:left="0" w:right="-720"/>
              <w:rPr>
                <w:rFonts w:ascii="Calibri" w:hAnsi="Calibri" w:cs="Lucida Sans Unicode"/>
                <w:b/>
                <w:bCs/>
                <w:sz w:val="20"/>
              </w:rPr>
            </w:pPr>
            <w:r w:rsidRPr="00D14640">
              <w:rPr>
                <w:rFonts w:ascii="Calibri" w:hAnsi="Calibri" w:cs="Lucida Sans Unicode"/>
                <w:b/>
                <w:bCs/>
                <w:sz w:val="20"/>
              </w:rPr>
              <w:t>Total</w:t>
            </w:r>
          </w:p>
        </w:tc>
        <w:tc>
          <w:tcPr>
            <w:tcW w:w="673" w:type="pct"/>
          </w:tcPr>
          <w:p w14:paraId="07286EB8"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780/45-520</w:t>
            </w:r>
          </w:p>
        </w:tc>
        <w:tc>
          <w:tcPr>
            <w:tcW w:w="642" w:type="pct"/>
          </w:tcPr>
          <w:p w14:paraId="352C48D5"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625/200-238</w:t>
            </w:r>
          </w:p>
        </w:tc>
        <w:tc>
          <w:tcPr>
            <w:tcW w:w="639" w:type="pct"/>
          </w:tcPr>
          <w:p w14:paraId="7EF2F1DC"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685/200-125</w:t>
            </w:r>
          </w:p>
        </w:tc>
        <w:tc>
          <w:tcPr>
            <w:tcW w:w="642" w:type="pct"/>
          </w:tcPr>
          <w:p w14:paraId="493586FF"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580/105-135</w:t>
            </w:r>
          </w:p>
        </w:tc>
        <w:tc>
          <w:tcPr>
            <w:tcW w:w="685" w:type="pct"/>
          </w:tcPr>
          <w:p w14:paraId="2588CB11"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8,095/875-145</w:t>
            </w:r>
          </w:p>
        </w:tc>
        <w:tc>
          <w:tcPr>
            <w:tcW w:w="779" w:type="pct"/>
          </w:tcPr>
          <w:p w14:paraId="0BE30A45" w14:textId="77777777" w:rsidR="0075407C"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10,765/1,425-</w:t>
            </w:r>
          </w:p>
          <w:p w14:paraId="200DAA4C" w14:textId="77777777" w:rsidR="0075407C" w:rsidRPr="00D14640" w:rsidRDefault="0075407C" w:rsidP="0075407C">
            <w:pPr>
              <w:pStyle w:val="BodyTextIndent"/>
              <w:spacing w:after="0"/>
              <w:ind w:left="0" w:right="-720"/>
              <w:rPr>
                <w:rFonts w:ascii="Calibri" w:hAnsi="Calibri" w:cs="Lucida Sans Unicode"/>
                <w:b/>
                <w:sz w:val="20"/>
              </w:rPr>
            </w:pPr>
            <w:r>
              <w:rPr>
                <w:rFonts w:ascii="Calibri" w:hAnsi="Calibri" w:cs="Lucida Sans Unicode"/>
                <w:b/>
                <w:sz w:val="20"/>
              </w:rPr>
              <w:t>1,163</w:t>
            </w:r>
          </w:p>
        </w:tc>
      </w:tr>
    </w:tbl>
    <w:p w14:paraId="7A4310D5" w14:textId="52B96E10" w:rsidR="0075407C" w:rsidRDefault="0075407C" w:rsidP="0075407C">
      <w:pPr>
        <w:pStyle w:val="FootnoteText"/>
        <w:jc w:val="both"/>
        <w:rPr>
          <w:rFonts w:asciiTheme="minorHAnsi" w:hAnsiTheme="minorHAnsi"/>
          <w:sz w:val="22"/>
          <w:szCs w:val="22"/>
        </w:rPr>
      </w:pPr>
      <w:r w:rsidRPr="004E50E7">
        <w:rPr>
          <w:rFonts w:ascii="Calibri" w:hAnsi="Calibri" w:cs="Lucida Sans Unicode"/>
        </w:rPr>
        <w:t>Source: U.S. Department of Housing and Urban Development (HUD), SOCDS CHAS Data, American Community Survey, 20</w:t>
      </w:r>
      <w:r>
        <w:rPr>
          <w:rFonts w:ascii="Calibri" w:hAnsi="Calibri" w:cs="Lucida Sans Unicode"/>
        </w:rPr>
        <w:t>1</w:t>
      </w:r>
      <w:r w:rsidR="00A600AD">
        <w:rPr>
          <w:rFonts w:ascii="Calibri" w:hAnsi="Calibri" w:cs="Lucida Sans Unicode"/>
        </w:rPr>
        <w:t>4</w:t>
      </w:r>
      <w:r>
        <w:rPr>
          <w:rFonts w:ascii="Calibri" w:hAnsi="Calibri" w:cs="Lucida Sans Unicode"/>
        </w:rPr>
        <w:t>-201</w:t>
      </w:r>
      <w:r w:rsidR="00A600AD">
        <w:rPr>
          <w:rFonts w:ascii="Calibri" w:hAnsi="Calibri" w:cs="Lucida Sans Unicode"/>
        </w:rPr>
        <w:t>8</w:t>
      </w:r>
      <w:r>
        <w:rPr>
          <w:rFonts w:ascii="Calibri" w:hAnsi="Calibri" w:cs="Lucida Sans Unicode"/>
        </w:rPr>
        <w:t xml:space="preserve"> 5-Year Estimate</w:t>
      </w:r>
      <w:r w:rsidR="00A600AD">
        <w:rPr>
          <w:rFonts w:ascii="Calibri" w:hAnsi="Calibri" w:cs="Lucida Sans Unicode"/>
        </w:rPr>
        <w:t xml:space="preserve"> (latest figures available based on HUD special table data)</w:t>
      </w:r>
      <w:r>
        <w:rPr>
          <w:rFonts w:ascii="Calibri" w:hAnsi="Calibri" w:cs="Lucida Sans Unicode"/>
        </w:rPr>
        <w:t>.</w:t>
      </w:r>
      <w:r w:rsidRPr="005A6B09">
        <w:rPr>
          <w:rFonts w:asciiTheme="minorHAnsi" w:hAnsiTheme="minorHAnsi"/>
          <w:sz w:val="22"/>
          <w:szCs w:val="22"/>
        </w:rPr>
        <w:t xml:space="preserve"> </w:t>
      </w:r>
    </w:p>
    <w:p w14:paraId="79E9C41F" w14:textId="2AD91C9E" w:rsidR="0075407C" w:rsidRDefault="0075407C" w:rsidP="0075407C">
      <w:pPr>
        <w:pStyle w:val="FootnoteText"/>
        <w:jc w:val="both"/>
        <w:rPr>
          <w:rFonts w:ascii="Calibri" w:hAnsi="Calibri" w:cs="Lucida Sans Unicode"/>
        </w:rPr>
      </w:pPr>
      <w:r w:rsidRPr="004E50E7">
        <w:rPr>
          <w:rFonts w:ascii="Calibri" w:hAnsi="Calibri" w:cs="Lucida Sans Unicode"/>
        </w:rPr>
        <w:t xml:space="preserve">*First number is total number of households in each category/second is the number of households paying </w:t>
      </w:r>
      <w:r>
        <w:rPr>
          <w:rFonts w:ascii="Calibri" w:hAnsi="Calibri" w:cs="Lucida Sans Unicode"/>
        </w:rPr>
        <w:t>between</w:t>
      </w:r>
      <w:r w:rsidRPr="004E50E7">
        <w:rPr>
          <w:rFonts w:ascii="Calibri" w:hAnsi="Calibri" w:cs="Lucida Sans Unicode"/>
        </w:rPr>
        <w:t xml:space="preserve"> 30% </w:t>
      </w:r>
      <w:r>
        <w:rPr>
          <w:rFonts w:ascii="Calibri" w:hAnsi="Calibri" w:cs="Lucida Sans Unicode"/>
        </w:rPr>
        <w:t xml:space="preserve">and 50% </w:t>
      </w:r>
      <w:r w:rsidRPr="004E50E7">
        <w:rPr>
          <w:rFonts w:ascii="Calibri" w:hAnsi="Calibri" w:cs="Lucida Sans Unicode"/>
        </w:rPr>
        <w:t xml:space="preserve">of their income on housing – and third number includes those that are paying more than half of their income on housing expenses (with severe cost burdens). </w:t>
      </w:r>
      <w:r w:rsidR="009C64F0">
        <w:rPr>
          <w:rFonts w:ascii="Calibri" w:hAnsi="Calibri" w:cs="Lucida Sans Unicode"/>
        </w:rPr>
        <w:t xml:space="preserve">Elderly households involve heads 62 years of age or older. </w:t>
      </w:r>
      <w:r w:rsidRPr="004E50E7">
        <w:rPr>
          <w:rFonts w:ascii="Calibri" w:hAnsi="Calibri" w:cs="Lucida Sans Unicode"/>
        </w:rPr>
        <w:t xml:space="preserve"> Small families have four or fewer family members while larger families include five or more members.  The “Other” category, for both renters and owners, includes non-elderly and non-family households</w:t>
      </w:r>
      <w:r>
        <w:rPr>
          <w:rFonts w:ascii="Calibri" w:hAnsi="Calibri" w:cs="Lucida Sans Unicode"/>
        </w:rPr>
        <w:t>, basically single individuals.</w:t>
      </w:r>
    </w:p>
    <w:p w14:paraId="0726A8E8" w14:textId="77777777" w:rsidR="0044610F" w:rsidRDefault="0044610F" w:rsidP="00C8348C">
      <w:pPr>
        <w:pStyle w:val="CommentText"/>
        <w:spacing w:line="240" w:lineRule="auto"/>
        <w:ind w:left="360"/>
        <w:jc w:val="both"/>
        <w:rPr>
          <w:rFonts w:ascii="Calibri" w:hAnsi="Calibri"/>
          <w:b/>
          <w:i/>
          <w:iCs/>
        </w:rPr>
      </w:pPr>
    </w:p>
    <w:p w14:paraId="31F7C289" w14:textId="77777777" w:rsidR="0044610F" w:rsidRDefault="0044610F" w:rsidP="0044610F">
      <w:pPr>
        <w:ind w:left="5040" w:right="-720" w:hanging="5040"/>
        <w:jc w:val="both"/>
        <w:rPr>
          <w:rFonts w:ascii="Calibri" w:hAnsi="Calibri"/>
          <w:sz w:val="22"/>
          <w:szCs w:val="22"/>
        </w:rPr>
      </w:pPr>
      <w:r>
        <w:rPr>
          <w:rFonts w:ascii="Calibri" w:hAnsi="Calibri"/>
          <w:sz w:val="22"/>
          <w:szCs w:val="22"/>
        </w:rPr>
        <w:t>Other key findings from this data include the following:</w:t>
      </w:r>
    </w:p>
    <w:p w14:paraId="08EEE008" w14:textId="77777777" w:rsidR="0044610F" w:rsidRDefault="0044610F" w:rsidP="0044610F">
      <w:pPr>
        <w:jc w:val="both"/>
        <w:rPr>
          <w:rFonts w:ascii="Calibri" w:hAnsi="Calibri"/>
          <w:sz w:val="22"/>
          <w:szCs w:val="22"/>
        </w:rPr>
      </w:pPr>
    </w:p>
    <w:p w14:paraId="4F1559B7" w14:textId="77777777" w:rsidR="0044610F" w:rsidRPr="00AE0351" w:rsidRDefault="0044610F" w:rsidP="0044610F">
      <w:pPr>
        <w:pStyle w:val="CommentText"/>
        <w:spacing w:line="240" w:lineRule="auto"/>
        <w:ind w:left="-360" w:firstLine="720"/>
        <w:jc w:val="both"/>
        <w:rPr>
          <w:rFonts w:ascii="Calibri" w:hAnsi="Calibri" w:cs="Lucida Sans Unicode"/>
          <w:b/>
          <w:i/>
          <w:szCs w:val="22"/>
        </w:rPr>
      </w:pPr>
      <w:r w:rsidRPr="00AE0351">
        <w:rPr>
          <w:rFonts w:ascii="Calibri" w:hAnsi="Calibri" w:cs="Lucida Sans Unicode"/>
          <w:b/>
          <w:i/>
          <w:szCs w:val="22"/>
        </w:rPr>
        <w:t>Total Households</w:t>
      </w:r>
    </w:p>
    <w:p w14:paraId="011F8DE9" w14:textId="77777777" w:rsidR="0044610F" w:rsidRPr="009D55B7" w:rsidRDefault="0044610F" w:rsidP="0044610F">
      <w:pPr>
        <w:pStyle w:val="CommentText"/>
        <w:numPr>
          <w:ilvl w:val="0"/>
          <w:numId w:val="6"/>
        </w:numPr>
        <w:tabs>
          <w:tab w:val="clear" w:pos="1440"/>
          <w:tab w:val="num" w:pos="720"/>
        </w:tabs>
        <w:spacing w:line="240" w:lineRule="auto"/>
        <w:ind w:left="720"/>
        <w:jc w:val="both"/>
        <w:rPr>
          <w:rFonts w:ascii="Calibri" w:hAnsi="Calibri"/>
          <w:b/>
        </w:rPr>
      </w:pPr>
      <w:r w:rsidRPr="009D55B7">
        <w:rPr>
          <w:rFonts w:ascii="Calibri" w:hAnsi="Calibri"/>
          <w:b/>
        </w:rPr>
        <w:t xml:space="preserve">Of the </w:t>
      </w:r>
      <w:r>
        <w:rPr>
          <w:rFonts w:ascii="Calibri" w:hAnsi="Calibri"/>
          <w:b/>
        </w:rPr>
        <w:t xml:space="preserve">2,090 </w:t>
      </w:r>
      <w:r w:rsidRPr="009D55B7">
        <w:rPr>
          <w:rFonts w:ascii="Calibri" w:hAnsi="Calibri"/>
          <w:b/>
        </w:rPr>
        <w:t xml:space="preserve">total households earning at or below 80% of </w:t>
      </w:r>
      <w:r>
        <w:rPr>
          <w:rFonts w:ascii="Calibri" w:hAnsi="Calibri"/>
          <w:b/>
        </w:rPr>
        <w:t>area median</w:t>
      </w:r>
      <w:r w:rsidRPr="009D55B7">
        <w:rPr>
          <w:rFonts w:ascii="Calibri" w:hAnsi="Calibri"/>
          <w:b/>
        </w:rPr>
        <w:t xml:space="preserve"> income (</w:t>
      </w:r>
      <w:r>
        <w:rPr>
          <w:rFonts w:ascii="Calibri" w:hAnsi="Calibri"/>
          <w:b/>
        </w:rPr>
        <w:t>A</w:t>
      </w:r>
      <w:r w:rsidRPr="009D55B7">
        <w:rPr>
          <w:rFonts w:ascii="Calibri" w:hAnsi="Calibri"/>
          <w:b/>
        </w:rPr>
        <w:t>MI)</w:t>
      </w:r>
      <w:r>
        <w:rPr>
          <w:rFonts w:ascii="Calibri" w:hAnsi="Calibri"/>
          <w:b/>
        </w:rPr>
        <w:t xml:space="preserve">,  1,328 or 63.5% were experiencing cost burdens including 883 or 42.2% with severe cost burdens as they were spending more than half of their income on housing costs.  This is down from 1,489 households or 71% and 1,059 and 51% with cost burdens versus severe cost burdens, respectively in 2015. </w:t>
      </w:r>
    </w:p>
    <w:p w14:paraId="3293E19D" w14:textId="77777777" w:rsidR="0044610F" w:rsidRDefault="0044610F" w:rsidP="0044610F">
      <w:pPr>
        <w:pStyle w:val="CommentText"/>
        <w:numPr>
          <w:ilvl w:val="0"/>
          <w:numId w:val="6"/>
        </w:numPr>
        <w:tabs>
          <w:tab w:val="clear" w:pos="1440"/>
          <w:tab w:val="num" w:pos="720"/>
        </w:tabs>
        <w:spacing w:line="240" w:lineRule="auto"/>
        <w:ind w:left="720"/>
        <w:jc w:val="both"/>
        <w:rPr>
          <w:rFonts w:ascii="Calibri" w:hAnsi="Calibri"/>
          <w:iCs/>
        </w:rPr>
      </w:pPr>
      <w:r w:rsidRPr="00FF2FF7">
        <w:rPr>
          <w:rFonts w:ascii="Calibri" w:hAnsi="Calibri"/>
          <w:iCs/>
          <w:szCs w:val="22"/>
        </w:rPr>
        <w:t xml:space="preserve">Of the </w:t>
      </w:r>
      <w:r>
        <w:rPr>
          <w:rFonts w:ascii="Calibri" w:hAnsi="Calibri"/>
          <w:iCs/>
          <w:szCs w:val="22"/>
        </w:rPr>
        <w:t xml:space="preserve">780 households with incomes below 30% AMI, 565 or 72.4% were overspending with 520 or 66.7% </w:t>
      </w:r>
      <w:r w:rsidRPr="00AE0351">
        <w:rPr>
          <w:rFonts w:ascii="Calibri" w:hAnsi="Calibri"/>
          <w:iCs/>
        </w:rPr>
        <w:t>spending more than half of their income on housing costs</w:t>
      </w:r>
      <w:r>
        <w:rPr>
          <w:rFonts w:ascii="Calibri" w:hAnsi="Calibri"/>
          <w:iCs/>
        </w:rPr>
        <w:t xml:space="preserve">.  While the number of households in this income category decreased from </w:t>
      </w:r>
      <w:r w:rsidRPr="00FF2FF7">
        <w:rPr>
          <w:rFonts w:ascii="Calibri" w:hAnsi="Calibri"/>
          <w:iCs/>
          <w:szCs w:val="22"/>
        </w:rPr>
        <w:t xml:space="preserve"> 929 households </w:t>
      </w:r>
      <w:r>
        <w:rPr>
          <w:rFonts w:ascii="Calibri" w:hAnsi="Calibri"/>
          <w:iCs/>
          <w:szCs w:val="22"/>
        </w:rPr>
        <w:t xml:space="preserve">in 2015, the proportion of those with cost burdens increased from </w:t>
      </w:r>
      <w:r w:rsidRPr="00FF2FF7">
        <w:rPr>
          <w:rFonts w:ascii="Calibri" w:hAnsi="Calibri"/>
          <w:iCs/>
          <w:szCs w:val="22"/>
        </w:rPr>
        <w:t>61%</w:t>
      </w:r>
      <w:r w:rsidRPr="00AE0351">
        <w:rPr>
          <w:rFonts w:ascii="Calibri" w:hAnsi="Calibri"/>
          <w:iCs/>
        </w:rPr>
        <w:t xml:space="preserve"> </w:t>
      </w:r>
      <w:r>
        <w:rPr>
          <w:rFonts w:ascii="Calibri" w:hAnsi="Calibri"/>
          <w:iCs/>
        </w:rPr>
        <w:t>and 54</w:t>
      </w:r>
      <w:r w:rsidRPr="00AE0351">
        <w:rPr>
          <w:rFonts w:ascii="Calibri" w:hAnsi="Calibri"/>
          <w:iCs/>
        </w:rPr>
        <w:t>%</w:t>
      </w:r>
      <w:r>
        <w:rPr>
          <w:rFonts w:ascii="Calibri" w:hAnsi="Calibri"/>
          <w:iCs/>
        </w:rPr>
        <w:t>, respectively, with cost burdens and severe cost burdens. Many households in this income range without cost burdens were likely living in subsidized units.</w:t>
      </w:r>
    </w:p>
    <w:p w14:paraId="6E42FFD4" w14:textId="77777777" w:rsidR="0044610F" w:rsidRDefault="0044610F" w:rsidP="0044610F">
      <w:pPr>
        <w:pStyle w:val="CommentText"/>
        <w:numPr>
          <w:ilvl w:val="0"/>
          <w:numId w:val="6"/>
        </w:numPr>
        <w:tabs>
          <w:tab w:val="clear" w:pos="1440"/>
          <w:tab w:val="num" w:pos="720"/>
        </w:tabs>
        <w:spacing w:line="240" w:lineRule="auto"/>
        <w:ind w:left="720"/>
        <w:jc w:val="both"/>
        <w:rPr>
          <w:rFonts w:ascii="Calibri" w:hAnsi="Calibri"/>
          <w:iCs/>
        </w:rPr>
      </w:pPr>
      <w:r>
        <w:rPr>
          <w:rFonts w:ascii="Calibri" w:hAnsi="Calibri"/>
          <w:iCs/>
        </w:rPr>
        <w:t>There were also high cost burdens among those with incomes between 30% and 50% AMI including 438 or 70.1% with cost burdens, and of these 238 or 38.1% with severe cost burdens.</w:t>
      </w:r>
    </w:p>
    <w:p w14:paraId="1B5D4B69" w14:textId="77777777" w:rsidR="0044610F" w:rsidRDefault="0044610F" w:rsidP="0044610F">
      <w:pPr>
        <w:pStyle w:val="CommentText"/>
        <w:numPr>
          <w:ilvl w:val="0"/>
          <w:numId w:val="6"/>
        </w:numPr>
        <w:tabs>
          <w:tab w:val="clear" w:pos="1440"/>
          <w:tab w:val="num" w:pos="720"/>
        </w:tabs>
        <w:spacing w:line="240" w:lineRule="auto"/>
        <w:ind w:left="720"/>
        <w:jc w:val="both"/>
        <w:rPr>
          <w:rFonts w:ascii="Calibri" w:hAnsi="Calibri"/>
          <w:iCs/>
        </w:rPr>
      </w:pPr>
      <w:r>
        <w:rPr>
          <w:rFonts w:ascii="Calibri" w:hAnsi="Calibri"/>
          <w:iCs/>
        </w:rPr>
        <w:t>While still high, cost burdens decreased somewhat for those in the 50% to 80% AMI range declining to 47.4% and 18.2%, respectively for those spending more than 30% of their income on housing compared to spending more than half their income.</w:t>
      </w:r>
    </w:p>
    <w:p w14:paraId="6522BFDA" w14:textId="77777777" w:rsidR="0044610F" w:rsidRPr="00FF2FF7" w:rsidRDefault="0044610F" w:rsidP="0044610F">
      <w:pPr>
        <w:pStyle w:val="ListParagraph"/>
        <w:numPr>
          <w:ilvl w:val="0"/>
          <w:numId w:val="6"/>
        </w:numPr>
        <w:tabs>
          <w:tab w:val="clear" w:pos="1440"/>
          <w:tab w:val="num" w:pos="720"/>
        </w:tabs>
        <w:ind w:left="720"/>
        <w:jc w:val="both"/>
        <w:rPr>
          <w:rFonts w:ascii="Calibri" w:hAnsi="Calibri"/>
          <w:sz w:val="22"/>
          <w:szCs w:val="22"/>
        </w:rPr>
      </w:pPr>
      <w:r>
        <w:rPr>
          <w:rFonts w:ascii="Calibri" w:hAnsi="Calibri"/>
          <w:sz w:val="22"/>
          <w:szCs w:val="22"/>
        </w:rPr>
        <w:t>E</w:t>
      </w:r>
      <w:r w:rsidRPr="00FF2FF7">
        <w:rPr>
          <w:rFonts w:ascii="Calibri" w:hAnsi="Calibri"/>
          <w:sz w:val="22"/>
          <w:szCs w:val="22"/>
        </w:rPr>
        <w:t>ven those with incomes above 80%</w:t>
      </w:r>
      <w:r>
        <w:rPr>
          <w:rFonts w:ascii="Calibri" w:hAnsi="Calibri"/>
          <w:sz w:val="22"/>
          <w:szCs w:val="22"/>
        </w:rPr>
        <w:t xml:space="preserve"> A</w:t>
      </w:r>
      <w:r w:rsidRPr="00FF2FF7">
        <w:rPr>
          <w:rFonts w:ascii="Calibri" w:hAnsi="Calibri"/>
          <w:sz w:val="22"/>
          <w:szCs w:val="22"/>
        </w:rPr>
        <w:t>MI were overspending including 980 households spending between 30% and 50% of their income on housing and another 280 spending more than half of their income.</w:t>
      </w:r>
      <w:r>
        <w:rPr>
          <w:rFonts w:ascii="Calibri" w:hAnsi="Calibri"/>
          <w:sz w:val="22"/>
          <w:szCs w:val="22"/>
        </w:rPr>
        <w:t xml:space="preserve">  This is down from</w:t>
      </w:r>
      <w:r w:rsidRPr="00FF2FF7">
        <w:rPr>
          <w:rFonts w:ascii="Calibri" w:hAnsi="Calibri"/>
          <w:sz w:val="22"/>
          <w:szCs w:val="22"/>
        </w:rPr>
        <w:t xml:space="preserve"> 1,465 or 17%</w:t>
      </w:r>
      <w:r>
        <w:rPr>
          <w:rFonts w:ascii="Calibri" w:hAnsi="Calibri"/>
          <w:sz w:val="22"/>
          <w:szCs w:val="22"/>
        </w:rPr>
        <w:t xml:space="preserve"> of those in this income range</w:t>
      </w:r>
      <w:r w:rsidRPr="00FF2FF7">
        <w:rPr>
          <w:rFonts w:ascii="Calibri" w:hAnsi="Calibri"/>
          <w:sz w:val="22"/>
          <w:szCs w:val="22"/>
        </w:rPr>
        <w:t xml:space="preserve"> </w:t>
      </w:r>
      <w:r>
        <w:rPr>
          <w:rFonts w:ascii="Calibri" w:hAnsi="Calibri"/>
          <w:sz w:val="22"/>
          <w:szCs w:val="22"/>
        </w:rPr>
        <w:t xml:space="preserve">who </w:t>
      </w:r>
      <w:r w:rsidRPr="00FF2FF7">
        <w:rPr>
          <w:rFonts w:ascii="Calibri" w:hAnsi="Calibri"/>
          <w:sz w:val="22"/>
          <w:szCs w:val="22"/>
        </w:rPr>
        <w:t>were spending too much on their housing</w:t>
      </w:r>
      <w:r>
        <w:rPr>
          <w:rFonts w:ascii="Calibri" w:hAnsi="Calibri"/>
          <w:sz w:val="22"/>
          <w:szCs w:val="22"/>
        </w:rPr>
        <w:t xml:space="preserve"> in 2015</w:t>
      </w:r>
      <w:r w:rsidRPr="00FF2FF7">
        <w:rPr>
          <w:rFonts w:ascii="Calibri" w:hAnsi="Calibri"/>
          <w:sz w:val="22"/>
          <w:szCs w:val="22"/>
        </w:rPr>
        <w:t xml:space="preserve">, </w:t>
      </w:r>
      <w:r>
        <w:rPr>
          <w:rFonts w:ascii="Calibri" w:hAnsi="Calibri"/>
          <w:sz w:val="22"/>
          <w:szCs w:val="22"/>
        </w:rPr>
        <w:t>and a further decline</w:t>
      </w:r>
      <w:r w:rsidRPr="00FF2FF7">
        <w:rPr>
          <w:rFonts w:ascii="Calibri" w:hAnsi="Calibri"/>
          <w:sz w:val="22"/>
          <w:szCs w:val="22"/>
        </w:rPr>
        <w:t xml:space="preserve"> from 1,710 and 20% in 2011.  </w:t>
      </w:r>
    </w:p>
    <w:p w14:paraId="07AA792F" w14:textId="77777777" w:rsidR="0044610F" w:rsidRDefault="0044610F" w:rsidP="00C8348C">
      <w:pPr>
        <w:pStyle w:val="CommentText"/>
        <w:spacing w:line="240" w:lineRule="auto"/>
        <w:ind w:left="360"/>
        <w:jc w:val="both"/>
        <w:rPr>
          <w:rFonts w:ascii="Calibri" w:hAnsi="Calibri"/>
          <w:b/>
          <w:i/>
          <w:iCs/>
        </w:rPr>
      </w:pPr>
    </w:p>
    <w:p w14:paraId="4B789CB8" w14:textId="712A87D9" w:rsidR="00C8348C" w:rsidRPr="00AE0351" w:rsidRDefault="00C8348C" w:rsidP="00C8348C">
      <w:pPr>
        <w:pStyle w:val="CommentText"/>
        <w:spacing w:line="240" w:lineRule="auto"/>
        <w:ind w:left="360"/>
        <w:jc w:val="both"/>
        <w:rPr>
          <w:rFonts w:ascii="Calibri" w:hAnsi="Calibri"/>
          <w:b/>
          <w:i/>
          <w:iCs/>
        </w:rPr>
      </w:pPr>
      <w:r w:rsidRPr="00AE0351">
        <w:rPr>
          <w:rFonts w:ascii="Calibri" w:hAnsi="Calibri"/>
          <w:b/>
          <w:i/>
          <w:iCs/>
        </w:rPr>
        <w:t>Renter Households</w:t>
      </w:r>
    </w:p>
    <w:p w14:paraId="6D21274B" w14:textId="77777777" w:rsidR="00C8348C" w:rsidRPr="00DA7F5A" w:rsidRDefault="00C8348C" w:rsidP="00C8348C">
      <w:pPr>
        <w:pStyle w:val="CommentText"/>
        <w:numPr>
          <w:ilvl w:val="0"/>
          <w:numId w:val="6"/>
        </w:numPr>
        <w:tabs>
          <w:tab w:val="clear" w:pos="1440"/>
          <w:tab w:val="num" w:pos="720"/>
        </w:tabs>
        <w:spacing w:line="240" w:lineRule="auto"/>
        <w:ind w:left="720"/>
        <w:jc w:val="both"/>
        <w:rPr>
          <w:rFonts w:ascii="Calibri" w:hAnsi="Calibri"/>
          <w:b/>
          <w:i/>
          <w:iCs/>
        </w:rPr>
      </w:pPr>
      <w:r>
        <w:rPr>
          <w:rFonts w:ascii="Calibri" w:hAnsi="Calibri"/>
          <w:b/>
        </w:rPr>
        <w:lastRenderedPageBreak/>
        <w:t>Of the 1,810 reported renter households, 740 or 40.9% were cost burdened that included 460 or 25.4% with severe cost burdens.  This is somewhat higher than the 37.8% and 22.0% with cost burdens versus severe cost burdens identified in 2015.</w:t>
      </w:r>
    </w:p>
    <w:p w14:paraId="2BED4A07" w14:textId="77777777" w:rsidR="00C8348C" w:rsidRPr="005A1695" w:rsidRDefault="00C8348C" w:rsidP="00C8348C">
      <w:pPr>
        <w:pStyle w:val="CommentText"/>
        <w:numPr>
          <w:ilvl w:val="0"/>
          <w:numId w:val="6"/>
        </w:numPr>
        <w:tabs>
          <w:tab w:val="clear" w:pos="1440"/>
          <w:tab w:val="num" w:pos="720"/>
        </w:tabs>
        <w:spacing w:line="240" w:lineRule="auto"/>
        <w:ind w:left="720"/>
        <w:jc w:val="both"/>
        <w:rPr>
          <w:rFonts w:ascii="Calibri" w:hAnsi="Calibri"/>
          <w:b/>
          <w:i/>
          <w:iCs/>
        </w:rPr>
      </w:pPr>
      <w:r>
        <w:rPr>
          <w:rFonts w:ascii="Calibri" w:hAnsi="Calibri"/>
          <w:b/>
        </w:rPr>
        <w:t xml:space="preserve">There was an increase in the number and percentage of renter households with incomes at or below 80% AMI between 2015 and 2018, from 939 to 1,030 households or from 52.9% to 56.9% of all renter households.  The level of cost burdens also increased from 59.1% to 60.2% during this period including an increase in severe cost burdens from 37.8% to 38.4%. </w:t>
      </w:r>
      <w:r w:rsidRPr="005A1695">
        <w:rPr>
          <w:rFonts w:ascii="Calibri" w:hAnsi="Calibri"/>
          <w:b/>
        </w:rPr>
        <w:t xml:space="preserve">These figures are higher than those for 2011 when </w:t>
      </w:r>
      <w:r>
        <w:rPr>
          <w:rFonts w:ascii="Calibri" w:hAnsi="Calibri"/>
          <w:b/>
        </w:rPr>
        <w:t>36.6%</w:t>
      </w:r>
      <w:r w:rsidRPr="005A1695">
        <w:rPr>
          <w:rFonts w:ascii="Calibri" w:hAnsi="Calibri"/>
          <w:b/>
        </w:rPr>
        <w:t xml:space="preserve"> in this income range had severe cost burdens. </w:t>
      </w:r>
    </w:p>
    <w:p w14:paraId="493DCA08" w14:textId="77777777" w:rsidR="00C8348C" w:rsidRDefault="00C8348C" w:rsidP="00C8348C">
      <w:pPr>
        <w:pStyle w:val="CommentText"/>
        <w:numPr>
          <w:ilvl w:val="0"/>
          <w:numId w:val="6"/>
        </w:numPr>
        <w:tabs>
          <w:tab w:val="clear" w:pos="1440"/>
          <w:tab w:val="num" w:pos="720"/>
        </w:tabs>
        <w:spacing w:line="240" w:lineRule="auto"/>
        <w:ind w:left="720"/>
        <w:jc w:val="both"/>
        <w:rPr>
          <w:rFonts w:ascii="Calibri" w:hAnsi="Calibri"/>
          <w:iCs/>
        </w:rPr>
      </w:pPr>
      <w:r>
        <w:rPr>
          <w:rFonts w:ascii="Calibri" w:hAnsi="Calibri"/>
          <w:iCs/>
        </w:rPr>
        <w:t>There were 450 renter households with incomes at or below 30% AMI, referred to as extremely low-income households by HUD.  Of these, 245 or 54% were experiencing cost burdens, 215 or 48% with severe cost burdens which is up from 41% and 40% with severe cost burdens in 2015 and 2011, respectively.</w:t>
      </w:r>
    </w:p>
    <w:p w14:paraId="627C666D" w14:textId="77777777" w:rsidR="00C8348C" w:rsidRPr="00A31111" w:rsidRDefault="00C8348C" w:rsidP="00C8348C">
      <w:pPr>
        <w:pStyle w:val="CommentText"/>
        <w:numPr>
          <w:ilvl w:val="0"/>
          <w:numId w:val="6"/>
        </w:numPr>
        <w:tabs>
          <w:tab w:val="clear" w:pos="1440"/>
          <w:tab w:val="num" w:pos="720"/>
        </w:tabs>
        <w:spacing w:line="240" w:lineRule="auto"/>
        <w:ind w:left="720"/>
        <w:jc w:val="both"/>
        <w:rPr>
          <w:rFonts w:ascii="Calibri" w:hAnsi="Calibri"/>
          <w:i/>
          <w:iCs/>
        </w:rPr>
      </w:pPr>
      <w:r w:rsidRPr="00A31111">
        <w:rPr>
          <w:rFonts w:ascii="Calibri" w:hAnsi="Calibri"/>
          <w:iCs/>
        </w:rPr>
        <w:t xml:space="preserve">Of the </w:t>
      </w:r>
      <w:r>
        <w:rPr>
          <w:rFonts w:ascii="Calibri" w:hAnsi="Calibri"/>
          <w:iCs/>
        </w:rPr>
        <w:t xml:space="preserve">580 </w:t>
      </w:r>
      <w:r w:rsidRPr="00A31111">
        <w:rPr>
          <w:rFonts w:ascii="Calibri" w:hAnsi="Calibri"/>
          <w:iCs/>
        </w:rPr>
        <w:t xml:space="preserve">renter households earning between 30% and 80% </w:t>
      </w:r>
      <w:r>
        <w:rPr>
          <w:rFonts w:ascii="Calibri" w:hAnsi="Calibri"/>
          <w:iCs/>
        </w:rPr>
        <w:t>A</w:t>
      </w:r>
      <w:r w:rsidRPr="00A31111">
        <w:rPr>
          <w:rFonts w:ascii="Calibri" w:hAnsi="Calibri"/>
          <w:iCs/>
        </w:rPr>
        <w:t>MI</w:t>
      </w:r>
      <w:r>
        <w:rPr>
          <w:rFonts w:ascii="Calibri" w:hAnsi="Calibri"/>
          <w:iCs/>
        </w:rPr>
        <w:t xml:space="preserve"> (up from 465 in 2015)</w:t>
      </w:r>
      <w:r w:rsidRPr="00A31111">
        <w:rPr>
          <w:rFonts w:ascii="Calibri" w:hAnsi="Calibri"/>
          <w:iCs/>
        </w:rPr>
        <w:t xml:space="preserve">, </w:t>
      </w:r>
      <w:r>
        <w:rPr>
          <w:rFonts w:ascii="Calibri" w:hAnsi="Calibri"/>
          <w:iCs/>
        </w:rPr>
        <w:t xml:space="preserve">285 or about half were overspending including 180 or 31% of households with incomes in the 30% to 50% AMI range that had severe cost burdens.  None of the households in the 50% to 80% AMI income category were reported to have had severe cost burdens.  The level of cost burdens is down, however, from 2015 that included </w:t>
      </w:r>
      <w:r w:rsidRPr="00A31111">
        <w:rPr>
          <w:rFonts w:ascii="Calibri" w:hAnsi="Calibri"/>
          <w:iCs/>
        </w:rPr>
        <w:t>325</w:t>
      </w:r>
      <w:r>
        <w:rPr>
          <w:rFonts w:ascii="Calibri" w:hAnsi="Calibri"/>
          <w:iCs/>
        </w:rPr>
        <w:t xml:space="preserve"> or 70% of renter households in the 30% to 80% AMI range</w:t>
      </w:r>
      <w:r w:rsidRPr="00A31111">
        <w:rPr>
          <w:rFonts w:ascii="Calibri" w:hAnsi="Calibri"/>
          <w:iCs/>
        </w:rPr>
        <w:t xml:space="preserve"> </w:t>
      </w:r>
      <w:r>
        <w:rPr>
          <w:rFonts w:ascii="Calibri" w:hAnsi="Calibri"/>
          <w:iCs/>
        </w:rPr>
        <w:t>which</w:t>
      </w:r>
      <w:r w:rsidRPr="00A31111">
        <w:rPr>
          <w:rFonts w:ascii="Calibri" w:hAnsi="Calibri"/>
          <w:iCs/>
        </w:rPr>
        <w:t xml:space="preserve"> were overspending including 160 or 34% with severe cost burdens, up from 54% and 30% in 2011, respectively.  </w:t>
      </w:r>
    </w:p>
    <w:p w14:paraId="5972556A" w14:textId="77777777" w:rsidR="00C8348C" w:rsidRPr="00A31111" w:rsidRDefault="00C8348C" w:rsidP="00C8348C">
      <w:pPr>
        <w:pStyle w:val="CommentText"/>
        <w:numPr>
          <w:ilvl w:val="0"/>
          <w:numId w:val="6"/>
        </w:numPr>
        <w:tabs>
          <w:tab w:val="clear" w:pos="1440"/>
          <w:tab w:val="num" w:pos="720"/>
        </w:tabs>
        <w:spacing w:line="240" w:lineRule="auto"/>
        <w:ind w:left="720"/>
        <w:jc w:val="both"/>
        <w:rPr>
          <w:rFonts w:ascii="Calibri" w:hAnsi="Calibri"/>
          <w:i/>
          <w:iCs/>
        </w:rPr>
      </w:pPr>
      <w:r>
        <w:rPr>
          <w:rFonts w:ascii="Calibri" w:hAnsi="Calibri"/>
          <w:iCs/>
        </w:rPr>
        <w:t>I</w:t>
      </w:r>
      <w:r w:rsidRPr="00A31111">
        <w:rPr>
          <w:rFonts w:ascii="Calibri" w:hAnsi="Calibri"/>
          <w:iCs/>
        </w:rPr>
        <w:t xml:space="preserve">t can </w:t>
      </w:r>
      <w:r>
        <w:rPr>
          <w:rFonts w:ascii="Calibri" w:hAnsi="Calibri"/>
          <w:iCs/>
        </w:rPr>
        <w:t>largely b</w:t>
      </w:r>
      <w:r w:rsidRPr="00A31111">
        <w:rPr>
          <w:rFonts w:ascii="Calibri" w:hAnsi="Calibri"/>
          <w:iCs/>
        </w:rPr>
        <w:t xml:space="preserve">e assumed that </w:t>
      </w:r>
      <w:r>
        <w:rPr>
          <w:rFonts w:ascii="Calibri" w:hAnsi="Calibri"/>
          <w:iCs/>
        </w:rPr>
        <w:t>many if not most of the 410 renter households earning below the 80% AMI level and</w:t>
      </w:r>
      <w:r w:rsidRPr="00A31111">
        <w:rPr>
          <w:rFonts w:ascii="Calibri" w:hAnsi="Calibri"/>
          <w:iCs/>
        </w:rPr>
        <w:t xml:space="preserve"> without cost burdens were living in subsidized housing given the high costs of rentals in Needham.</w:t>
      </w:r>
    </w:p>
    <w:p w14:paraId="124399FA" w14:textId="77777777" w:rsidR="00C8348C" w:rsidRDefault="00C8348C" w:rsidP="00C8348C">
      <w:pPr>
        <w:pStyle w:val="CommentText"/>
        <w:numPr>
          <w:ilvl w:val="0"/>
          <w:numId w:val="6"/>
        </w:numPr>
        <w:tabs>
          <w:tab w:val="clear" w:pos="1440"/>
          <w:tab w:val="num" w:pos="720"/>
        </w:tabs>
        <w:spacing w:line="240" w:lineRule="auto"/>
        <w:ind w:left="720"/>
        <w:jc w:val="both"/>
        <w:rPr>
          <w:rFonts w:ascii="Calibri" w:hAnsi="Calibri"/>
          <w:iCs/>
        </w:rPr>
      </w:pPr>
      <w:r>
        <w:rPr>
          <w:rFonts w:ascii="Calibri" w:hAnsi="Calibri"/>
          <w:iCs/>
        </w:rPr>
        <w:t xml:space="preserve">The highest number and proportion of renters included those 62 years of age or older, representing 895 households or about half of all renters.  Families involved about 30% of all renter households with non-family, non-elderly households at 21%, down from almost 30% in 2015. </w:t>
      </w:r>
    </w:p>
    <w:p w14:paraId="4676D6D3" w14:textId="77777777" w:rsidR="00C8348C" w:rsidRPr="00D541D3" w:rsidRDefault="00C8348C" w:rsidP="00C8348C">
      <w:pPr>
        <w:pStyle w:val="CommentText"/>
        <w:numPr>
          <w:ilvl w:val="0"/>
          <w:numId w:val="6"/>
        </w:numPr>
        <w:tabs>
          <w:tab w:val="clear" w:pos="1440"/>
          <w:tab w:val="num" w:pos="720"/>
        </w:tabs>
        <w:spacing w:line="240" w:lineRule="auto"/>
        <w:ind w:left="720"/>
        <w:jc w:val="both"/>
        <w:rPr>
          <w:rFonts w:ascii="Calibri" w:hAnsi="Calibri"/>
          <w:i/>
          <w:iCs/>
        </w:rPr>
      </w:pPr>
      <w:r>
        <w:rPr>
          <w:rFonts w:ascii="Calibri" w:hAnsi="Calibri"/>
          <w:iCs/>
        </w:rPr>
        <w:t>About 60%</w:t>
      </w:r>
      <w:r w:rsidRPr="008928F5">
        <w:rPr>
          <w:rFonts w:ascii="Calibri" w:hAnsi="Calibri"/>
          <w:iCs/>
        </w:rPr>
        <w:t xml:space="preserve"> of the </w:t>
      </w:r>
      <w:r>
        <w:rPr>
          <w:rFonts w:ascii="Calibri" w:hAnsi="Calibri"/>
          <w:iCs/>
        </w:rPr>
        <w:t>570</w:t>
      </w:r>
      <w:r w:rsidRPr="008928F5">
        <w:rPr>
          <w:rFonts w:ascii="Calibri" w:hAnsi="Calibri"/>
          <w:iCs/>
        </w:rPr>
        <w:t xml:space="preserve"> elderly renter</w:t>
      </w:r>
      <w:r>
        <w:rPr>
          <w:rFonts w:ascii="Calibri" w:hAnsi="Calibri"/>
          <w:iCs/>
        </w:rPr>
        <w:t xml:space="preserve"> household</w:t>
      </w:r>
      <w:r w:rsidRPr="008928F5">
        <w:rPr>
          <w:rFonts w:ascii="Calibri" w:hAnsi="Calibri"/>
          <w:iCs/>
        </w:rPr>
        <w:t xml:space="preserve">s </w:t>
      </w:r>
      <w:r>
        <w:rPr>
          <w:rFonts w:ascii="Calibri" w:hAnsi="Calibri"/>
          <w:iCs/>
        </w:rPr>
        <w:t>with incomes at or below</w:t>
      </w:r>
      <w:r w:rsidRPr="008928F5">
        <w:rPr>
          <w:rFonts w:ascii="Calibri" w:hAnsi="Calibri"/>
          <w:iCs/>
        </w:rPr>
        <w:t xml:space="preserve"> 80% </w:t>
      </w:r>
      <w:r>
        <w:rPr>
          <w:rFonts w:ascii="Calibri" w:hAnsi="Calibri"/>
          <w:iCs/>
        </w:rPr>
        <w:t>A</w:t>
      </w:r>
      <w:r w:rsidRPr="008928F5">
        <w:rPr>
          <w:rFonts w:ascii="Calibri" w:hAnsi="Calibri"/>
          <w:iCs/>
        </w:rPr>
        <w:t xml:space="preserve">MI were overspending on their housing, </w:t>
      </w:r>
      <w:r>
        <w:rPr>
          <w:rFonts w:ascii="Calibri" w:hAnsi="Calibri"/>
          <w:iCs/>
        </w:rPr>
        <w:t xml:space="preserve">including 255 or about 45% </w:t>
      </w:r>
      <w:r w:rsidRPr="008928F5">
        <w:rPr>
          <w:rFonts w:ascii="Calibri" w:hAnsi="Calibri"/>
          <w:iCs/>
        </w:rPr>
        <w:t xml:space="preserve">with severe cost burdens.  Those remaining </w:t>
      </w:r>
      <w:r>
        <w:rPr>
          <w:rFonts w:ascii="Calibri" w:hAnsi="Calibri"/>
          <w:iCs/>
        </w:rPr>
        <w:t>230</w:t>
      </w:r>
      <w:r w:rsidRPr="008928F5">
        <w:rPr>
          <w:rFonts w:ascii="Calibri" w:hAnsi="Calibri"/>
          <w:iCs/>
        </w:rPr>
        <w:t xml:space="preserve"> seniors earning below 80% </w:t>
      </w:r>
      <w:r>
        <w:rPr>
          <w:rFonts w:ascii="Calibri" w:hAnsi="Calibri"/>
          <w:iCs/>
        </w:rPr>
        <w:t>A</w:t>
      </w:r>
      <w:r w:rsidRPr="008928F5">
        <w:rPr>
          <w:rFonts w:ascii="Calibri" w:hAnsi="Calibri"/>
          <w:iCs/>
        </w:rPr>
        <w:t xml:space="preserve">MI and not overspending were likely living in Needham’s subsidized housing reserved for seniors (265 units) or </w:t>
      </w:r>
      <w:r>
        <w:rPr>
          <w:rFonts w:ascii="Calibri" w:hAnsi="Calibri"/>
          <w:iCs/>
        </w:rPr>
        <w:t>other subsidized or 40B developments</w:t>
      </w:r>
      <w:r w:rsidRPr="008928F5">
        <w:rPr>
          <w:rFonts w:ascii="Calibri" w:hAnsi="Calibri"/>
          <w:iCs/>
        </w:rPr>
        <w:t xml:space="preserve">.  These figures also suggest increased cost burdens from 2011 data when only one-third of the 495 seniors in this income range were experiencing cost burdens, 29% with severe cost burdens.  </w:t>
      </w:r>
    </w:p>
    <w:p w14:paraId="581C2FAC" w14:textId="00842841" w:rsidR="00C8348C" w:rsidRDefault="003B65F3" w:rsidP="00C8348C">
      <w:pPr>
        <w:pStyle w:val="CommentText"/>
        <w:numPr>
          <w:ilvl w:val="0"/>
          <w:numId w:val="6"/>
        </w:numPr>
        <w:tabs>
          <w:tab w:val="clear" w:pos="1440"/>
          <w:tab w:val="num" w:pos="720"/>
        </w:tabs>
        <w:spacing w:line="240" w:lineRule="auto"/>
        <w:ind w:left="720"/>
        <w:jc w:val="both"/>
        <w:rPr>
          <w:rFonts w:ascii="Calibri" w:hAnsi="Calibri"/>
          <w:iCs/>
        </w:rPr>
      </w:pPr>
      <w:r>
        <w:rPr>
          <w:rFonts w:ascii="Calibri" w:hAnsi="Calibri"/>
          <w:iCs/>
          <w:szCs w:val="22"/>
        </w:rPr>
        <w:t>A total of 80 or 37%</w:t>
      </w:r>
      <w:r w:rsidR="00C8348C" w:rsidRPr="008928F5">
        <w:rPr>
          <w:rFonts w:ascii="Calibri" w:hAnsi="Calibri"/>
          <w:iCs/>
        </w:rPr>
        <w:t xml:space="preserve"> of the </w:t>
      </w:r>
      <w:r w:rsidR="00C8348C">
        <w:rPr>
          <w:rFonts w:ascii="Calibri" w:hAnsi="Calibri"/>
          <w:iCs/>
        </w:rPr>
        <w:t>215</w:t>
      </w:r>
      <w:r w:rsidR="00C8348C" w:rsidRPr="008928F5">
        <w:rPr>
          <w:rFonts w:ascii="Calibri" w:hAnsi="Calibri"/>
          <w:iCs/>
        </w:rPr>
        <w:t xml:space="preserve"> small families (2 to 4 household members)</w:t>
      </w:r>
      <w:r w:rsidR="00C8348C" w:rsidRPr="008928F5">
        <w:rPr>
          <w:rFonts w:ascii="Calibri" w:hAnsi="Calibri"/>
        </w:rPr>
        <w:t xml:space="preserve"> </w:t>
      </w:r>
      <w:r w:rsidR="00C8348C" w:rsidRPr="008928F5">
        <w:rPr>
          <w:rFonts w:ascii="Calibri" w:hAnsi="Calibri"/>
          <w:iCs/>
        </w:rPr>
        <w:t xml:space="preserve">who earned within 80% </w:t>
      </w:r>
      <w:r w:rsidR="00C8348C">
        <w:rPr>
          <w:rFonts w:ascii="Calibri" w:hAnsi="Calibri"/>
          <w:iCs/>
        </w:rPr>
        <w:t>A</w:t>
      </w:r>
      <w:r w:rsidR="00C8348C" w:rsidRPr="008928F5">
        <w:rPr>
          <w:rFonts w:ascii="Calibri" w:hAnsi="Calibri"/>
          <w:iCs/>
        </w:rPr>
        <w:t>MI were paying too much for their housing</w:t>
      </w:r>
      <w:r w:rsidR="00C8348C">
        <w:rPr>
          <w:rFonts w:ascii="Calibri" w:hAnsi="Calibri"/>
          <w:iCs/>
        </w:rPr>
        <w:t xml:space="preserve">. It is likely that those without cost burdens were living in affordable housing. Additionally, the number of small family renter households has grown from 100 in 2015 and 109 in 2011, which may be a result of the opportunities offered as part of the  larger Chapter 40B developments. </w:t>
      </w:r>
    </w:p>
    <w:p w14:paraId="4C5DBD37" w14:textId="6CFDD4D1" w:rsidR="00C8348C" w:rsidRPr="00C4374E" w:rsidRDefault="00C8348C" w:rsidP="00C8348C">
      <w:pPr>
        <w:pStyle w:val="CommentText"/>
        <w:numPr>
          <w:ilvl w:val="0"/>
          <w:numId w:val="6"/>
        </w:numPr>
        <w:tabs>
          <w:tab w:val="clear" w:pos="1440"/>
          <w:tab w:val="num" w:pos="720"/>
        </w:tabs>
        <w:spacing w:line="240" w:lineRule="auto"/>
        <w:ind w:left="720"/>
        <w:jc w:val="both"/>
      </w:pPr>
      <w:r>
        <w:rPr>
          <w:rFonts w:ascii="Calibri" w:hAnsi="Calibri"/>
          <w:iCs/>
        </w:rPr>
        <w:t xml:space="preserve">The data identifies only 25 large families </w:t>
      </w:r>
      <w:r w:rsidRPr="00C4374E">
        <w:rPr>
          <w:rFonts w:ascii="Calibri" w:hAnsi="Calibri"/>
          <w:iCs/>
        </w:rPr>
        <w:t xml:space="preserve">(5 or more members) </w:t>
      </w:r>
      <w:r>
        <w:rPr>
          <w:rFonts w:ascii="Calibri" w:hAnsi="Calibri"/>
          <w:iCs/>
        </w:rPr>
        <w:t>that were renting in Needham, 10 with cost burdens.  The number of such households is down from 45 in 2015 and 65 in 2011, all of which were experiencing severe cost burdens.  This reduction of large family renters likely reflects some erosion of relatively affordable larger units for rent in the private market over time</w:t>
      </w:r>
      <w:r w:rsidR="0010303B">
        <w:rPr>
          <w:rFonts w:ascii="Calibri" w:hAnsi="Calibri"/>
          <w:iCs/>
        </w:rPr>
        <w:t xml:space="preserve"> including the teardown of two-family homes with rentals units and reconstruction of much larger condominiums that are owned, not rented out</w:t>
      </w:r>
      <w:r>
        <w:rPr>
          <w:rFonts w:ascii="Calibri" w:hAnsi="Calibri"/>
          <w:iCs/>
        </w:rPr>
        <w:t xml:space="preserve">. </w:t>
      </w:r>
    </w:p>
    <w:p w14:paraId="4330B7C1" w14:textId="77777777" w:rsidR="00C8348C" w:rsidRPr="00221D84" w:rsidRDefault="00C8348C" w:rsidP="00C8348C">
      <w:pPr>
        <w:pStyle w:val="CommentText"/>
        <w:numPr>
          <w:ilvl w:val="0"/>
          <w:numId w:val="6"/>
        </w:numPr>
        <w:tabs>
          <w:tab w:val="clear" w:pos="1440"/>
          <w:tab w:val="num" w:pos="720"/>
        </w:tabs>
        <w:spacing w:line="240" w:lineRule="auto"/>
        <w:ind w:left="720"/>
        <w:jc w:val="both"/>
        <w:rPr>
          <w:rFonts w:ascii="Calibri" w:hAnsi="Calibri"/>
          <w:b/>
          <w:i/>
          <w:iCs/>
        </w:rPr>
      </w:pPr>
      <w:r w:rsidRPr="004D53AD">
        <w:rPr>
          <w:rFonts w:ascii="Calibri" w:hAnsi="Calibri"/>
          <w:iCs/>
        </w:rPr>
        <w:t>There were also 2</w:t>
      </w:r>
      <w:r>
        <w:rPr>
          <w:rFonts w:ascii="Calibri" w:hAnsi="Calibri"/>
          <w:iCs/>
        </w:rPr>
        <w:t>35</w:t>
      </w:r>
      <w:r w:rsidRPr="004D53AD">
        <w:rPr>
          <w:rFonts w:ascii="Calibri" w:hAnsi="Calibri"/>
          <w:iCs/>
        </w:rPr>
        <w:t xml:space="preserve"> non-elderly, non-family households (</w:t>
      </w:r>
      <w:r>
        <w:rPr>
          <w:rFonts w:ascii="Calibri" w:hAnsi="Calibri"/>
          <w:iCs/>
        </w:rPr>
        <w:t xml:space="preserve">largely </w:t>
      </w:r>
      <w:r w:rsidRPr="004D53AD">
        <w:rPr>
          <w:rFonts w:ascii="Calibri" w:hAnsi="Calibri"/>
          <w:iCs/>
        </w:rPr>
        <w:t xml:space="preserve">single individuals) </w:t>
      </w:r>
      <w:r>
        <w:rPr>
          <w:rFonts w:ascii="Calibri" w:hAnsi="Calibri"/>
          <w:iCs/>
        </w:rPr>
        <w:t>with incomes</w:t>
      </w:r>
      <w:r w:rsidRPr="004D53AD">
        <w:rPr>
          <w:rFonts w:ascii="Calibri" w:hAnsi="Calibri"/>
          <w:iCs/>
        </w:rPr>
        <w:t xml:space="preserve"> at or below 80% </w:t>
      </w:r>
      <w:r>
        <w:rPr>
          <w:rFonts w:ascii="Calibri" w:hAnsi="Calibri"/>
          <w:iCs/>
        </w:rPr>
        <w:t>A</w:t>
      </w:r>
      <w:r w:rsidRPr="004D53AD">
        <w:rPr>
          <w:rFonts w:ascii="Calibri" w:hAnsi="Calibri"/>
          <w:iCs/>
        </w:rPr>
        <w:t xml:space="preserve">MI, of which </w:t>
      </w:r>
      <w:r>
        <w:rPr>
          <w:rFonts w:ascii="Calibri" w:hAnsi="Calibri"/>
          <w:iCs/>
        </w:rPr>
        <w:t xml:space="preserve">190 or 81% </w:t>
      </w:r>
      <w:r w:rsidRPr="004D53AD">
        <w:rPr>
          <w:rFonts w:ascii="Calibri" w:hAnsi="Calibri"/>
          <w:iCs/>
        </w:rPr>
        <w:t xml:space="preserve">were overspending on their housing, including </w:t>
      </w:r>
      <w:r>
        <w:rPr>
          <w:rFonts w:ascii="Calibri" w:hAnsi="Calibri"/>
          <w:iCs/>
        </w:rPr>
        <w:t>130</w:t>
      </w:r>
      <w:r w:rsidRPr="004D53AD">
        <w:rPr>
          <w:rFonts w:ascii="Calibri" w:hAnsi="Calibri"/>
          <w:iCs/>
        </w:rPr>
        <w:t xml:space="preserve"> or </w:t>
      </w:r>
      <w:r>
        <w:rPr>
          <w:rFonts w:ascii="Calibri" w:hAnsi="Calibri"/>
          <w:iCs/>
        </w:rPr>
        <w:lastRenderedPageBreak/>
        <w:t>5</w:t>
      </w:r>
      <w:r w:rsidRPr="004D53AD">
        <w:rPr>
          <w:rFonts w:ascii="Calibri" w:hAnsi="Calibri"/>
          <w:iCs/>
        </w:rPr>
        <w:t>5% with severe cost burdens. This is up from 31%</w:t>
      </w:r>
      <w:r>
        <w:rPr>
          <w:rFonts w:ascii="Calibri" w:hAnsi="Calibri"/>
          <w:iCs/>
        </w:rPr>
        <w:t xml:space="preserve"> and 35%</w:t>
      </w:r>
      <w:r w:rsidRPr="004D53AD">
        <w:rPr>
          <w:rFonts w:ascii="Calibri" w:hAnsi="Calibri"/>
          <w:iCs/>
        </w:rPr>
        <w:t xml:space="preserve"> with severe cost burdens in 2011 and</w:t>
      </w:r>
      <w:r>
        <w:rPr>
          <w:rFonts w:ascii="Calibri" w:hAnsi="Calibri"/>
          <w:iCs/>
        </w:rPr>
        <w:t xml:space="preserve"> 2015, respectively. </w:t>
      </w:r>
      <w:r w:rsidRPr="004D53AD">
        <w:rPr>
          <w:rFonts w:ascii="Calibri" w:hAnsi="Calibri"/>
          <w:iCs/>
        </w:rPr>
        <w:t xml:space="preserve"> </w:t>
      </w:r>
    </w:p>
    <w:p w14:paraId="3F06399C" w14:textId="77777777" w:rsidR="00C8348C" w:rsidRDefault="00C8348C" w:rsidP="00C8348C">
      <w:pPr>
        <w:pStyle w:val="CommentText"/>
        <w:spacing w:line="240" w:lineRule="auto"/>
        <w:ind w:left="720"/>
        <w:jc w:val="both"/>
      </w:pPr>
    </w:p>
    <w:p w14:paraId="52905687" w14:textId="4F3A72BD" w:rsidR="004D53AD" w:rsidRPr="00AE0351" w:rsidRDefault="004D53AD" w:rsidP="00031933">
      <w:pPr>
        <w:pStyle w:val="CommentText"/>
        <w:spacing w:line="240" w:lineRule="auto"/>
        <w:jc w:val="both"/>
        <w:rPr>
          <w:rFonts w:ascii="Calibri" w:hAnsi="Calibri"/>
          <w:b/>
          <w:i/>
          <w:iCs/>
        </w:rPr>
      </w:pPr>
      <w:r w:rsidRPr="00AE0351">
        <w:rPr>
          <w:rFonts w:ascii="Calibri" w:hAnsi="Calibri"/>
          <w:b/>
          <w:i/>
          <w:iCs/>
        </w:rPr>
        <w:t>Owner Households</w:t>
      </w:r>
    </w:p>
    <w:p w14:paraId="06545FB3" w14:textId="7BFF8CEA" w:rsidR="004D53AD" w:rsidRPr="00313B4A" w:rsidRDefault="00266EAE" w:rsidP="005D3FC9">
      <w:pPr>
        <w:pStyle w:val="CommentText"/>
        <w:numPr>
          <w:ilvl w:val="0"/>
          <w:numId w:val="6"/>
        </w:numPr>
        <w:tabs>
          <w:tab w:val="clear" w:pos="1440"/>
          <w:tab w:val="num" w:pos="720"/>
        </w:tabs>
        <w:spacing w:line="240" w:lineRule="auto"/>
        <w:ind w:left="720"/>
        <w:jc w:val="both"/>
        <w:rPr>
          <w:rFonts w:ascii="Calibri" w:hAnsi="Calibri"/>
          <w:b/>
        </w:rPr>
      </w:pPr>
      <w:r>
        <w:rPr>
          <w:rFonts w:ascii="Calibri" w:hAnsi="Calibri"/>
          <w:b/>
        </w:rPr>
        <w:t xml:space="preserve">Of the 8,955 owner households, </w:t>
      </w:r>
      <w:r w:rsidR="009446B2">
        <w:rPr>
          <w:rFonts w:ascii="Calibri" w:hAnsi="Calibri"/>
          <w:b/>
        </w:rPr>
        <w:t>1,148 or 12.8% were overspending on their housing, including 703 or 7.8% with severe cost burdens.  This is down from</w:t>
      </w:r>
      <w:r w:rsidR="004D53AD" w:rsidRPr="00313B4A">
        <w:rPr>
          <w:rFonts w:ascii="Calibri" w:hAnsi="Calibri"/>
          <w:b/>
        </w:rPr>
        <w:t xml:space="preserve"> </w:t>
      </w:r>
      <w:r w:rsidR="004D53AD">
        <w:rPr>
          <w:rFonts w:ascii="Calibri" w:hAnsi="Calibri"/>
          <w:b/>
        </w:rPr>
        <w:t>2,084</w:t>
      </w:r>
      <w:r w:rsidR="009446B2">
        <w:rPr>
          <w:rFonts w:ascii="Calibri" w:hAnsi="Calibri"/>
          <w:b/>
        </w:rPr>
        <w:t xml:space="preserve"> households</w:t>
      </w:r>
      <w:r w:rsidR="004D53AD" w:rsidRPr="00313B4A">
        <w:rPr>
          <w:rFonts w:ascii="Calibri" w:hAnsi="Calibri"/>
          <w:b/>
        </w:rPr>
        <w:t xml:space="preserve"> or 2</w:t>
      </w:r>
      <w:r w:rsidR="004D53AD">
        <w:rPr>
          <w:rFonts w:ascii="Calibri" w:hAnsi="Calibri"/>
          <w:b/>
        </w:rPr>
        <w:t>4</w:t>
      </w:r>
      <w:r w:rsidR="004D53AD" w:rsidRPr="00313B4A">
        <w:rPr>
          <w:rFonts w:ascii="Calibri" w:hAnsi="Calibri"/>
          <w:b/>
        </w:rPr>
        <w:t xml:space="preserve">% </w:t>
      </w:r>
      <w:r w:rsidR="009446B2">
        <w:rPr>
          <w:rFonts w:ascii="Calibri" w:hAnsi="Calibri"/>
          <w:b/>
        </w:rPr>
        <w:t>with cost burdens in 2015</w:t>
      </w:r>
      <w:r w:rsidR="00214F66">
        <w:rPr>
          <w:rFonts w:ascii="Calibri" w:hAnsi="Calibri"/>
          <w:b/>
        </w:rPr>
        <w:t xml:space="preserve"> including </w:t>
      </w:r>
      <w:r w:rsidR="004D53AD">
        <w:rPr>
          <w:rFonts w:ascii="Calibri" w:hAnsi="Calibri"/>
          <w:b/>
        </w:rPr>
        <w:t>764</w:t>
      </w:r>
      <w:r w:rsidR="004D53AD" w:rsidRPr="00313B4A">
        <w:rPr>
          <w:rFonts w:ascii="Calibri" w:hAnsi="Calibri"/>
          <w:b/>
        </w:rPr>
        <w:t xml:space="preserve"> or </w:t>
      </w:r>
      <w:r w:rsidR="004D53AD">
        <w:rPr>
          <w:rFonts w:ascii="Calibri" w:hAnsi="Calibri"/>
          <w:b/>
        </w:rPr>
        <w:t>8.7</w:t>
      </w:r>
      <w:r w:rsidR="004D53AD" w:rsidRPr="00313B4A">
        <w:rPr>
          <w:rFonts w:ascii="Calibri" w:hAnsi="Calibri"/>
          <w:b/>
        </w:rPr>
        <w:t xml:space="preserve">% </w:t>
      </w:r>
      <w:r w:rsidR="009446B2">
        <w:rPr>
          <w:rFonts w:ascii="Calibri" w:hAnsi="Calibri"/>
          <w:b/>
        </w:rPr>
        <w:t>encountering</w:t>
      </w:r>
      <w:r w:rsidR="004D53AD" w:rsidRPr="00313B4A">
        <w:rPr>
          <w:rFonts w:ascii="Calibri" w:hAnsi="Calibri"/>
          <w:b/>
        </w:rPr>
        <w:t xml:space="preserve"> severe cost burdens</w:t>
      </w:r>
      <w:r w:rsidR="00E37472">
        <w:rPr>
          <w:rFonts w:ascii="Calibri" w:hAnsi="Calibri"/>
          <w:b/>
        </w:rPr>
        <w:t xml:space="preserve">. </w:t>
      </w:r>
      <w:r w:rsidR="004D53AD" w:rsidRPr="00313B4A">
        <w:rPr>
          <w:rFonts w:ascii="Calibri" w:hAnsi="Calibri"/>
          <w:b/>
        </w:rPr>
        <w:t xml:space="preserve"> </w:t>
      </w:r>
      <w:r w:rsidR="009446B2">
        <w:rPr>
          <w:rFonts w:ascii="Calibri" w:hAnsi="Calibri"/>
          <w:b/>
        </w:rPr>
        <w:t xml:space="preserve">More recent </w:t>
      </w:r>
      <w:r w:rsidR="004D53AD" w:rsidRPr="00313B4A">
        <w:rPr>
          <w:rFonts w:ascii="Calibri" w:hAnsi="Calibri"/>
          <w:b/>
        </w:rPr>
        <w:t>levels are</w:t>
      </w:r>
      <w:r w:rsidR="009446B2">
        <w:rPr>
          <w:rFonts w:ascii="Calibri" w:hAnsi="Calibri"/>
          <w:b/>
        </w:rPr>
        <w:t xml:space="preserve"> also</w:t>
      </w:r>
      <w:r w:rsidR="004D53AD" w:rsidRPr="00313B4A">
        <w:rPr>
          <w:rFonts w:ascii="Calibri" w:hAnsi="Calibri"/>
          <w:b/>
        </w:rPr>
        <w:t xml:space="preserve"> down a bit from 2011</w:t>
      </w:r>
      <w:r w:rsidR="004D53AD">
        <w:rPr>
          <w:rFonts w:ascii="Calibri" w:hAnsi="Calibri"/>
          <w:b/>
        </w:rPr>
        <w:t xml:space="preserve"> </w:t>
      </w:r>
      <w:r w:rsidR="004D53AD" w:rsidRPr="00313B4A">
        <w:rPr>
          <w:rFonts w:ascii="Calibri" w:hAnsi="Calibri"/>
          <w:b/>
        </w:rPr>
        <w:t>w</w:t>
      </w:r>
      <w:r w:rsidR="004D53AD">
        <w:rPr>
          <w:rFonts w:ascii="Calibri" w:hAnsi="Calibri"/>
          <w:b/>
        </w:rPr>
        <w:t>hen</w:t>
      </w:r>
      <w:r w:rsidR="004D53AD" w:rsidRPr="00313B4A">
        <w:rPr>
          <w:rFonts w:ascii="Calibri" w:hAnsi="Calibri"/>
          <w:b/>
        </w:rPr>
        <w:t xml:space="preserve"> 26.7% </w:t>
      </w:r>
      <w:r w:rsidR="004D53AD">
        <w:rPr>
          <w:rFonts w:ascii="Calibri" w:hAnsi="Calibri"/>
          <w:b/>
        </w:rPr>
        <w:t xml:space="preserve">were </w:t>
      </w:r>
      <w:r w:rsidR="004D53AD" w:rsidRPr="00313B4A">
        <w:rPr>
          <w:rFonts w:ascii="Calibri" w:hAnsi="Calibri"/>
          <w:b/>
        </w:rPr>
        <w:t xml:space="preserve">overspending and 10% </w:t>
      </w:r>
      <w:r w:rsidR="004D53AD">
        <w:rPr>
          <w:rFonts w:ascii="Calibri" w:hAnsi="Calibri"/>
          <w:b/>
        </w:rPr>
        <w:t xml:space="preserve">had </w:t>
      </w:r>
      <w:r w:rsidR="004D53AD" w:rsidRPr="00313B4A">
        <w:rPr>
          <w:rFonts w:ascii="Calibri" w:hAnsi="Calibri"/>
          <w:b/>
        </w:rPr>
        <w:t xml:space="preserve">severe cost burdens. </w:t>
      </w:r>
    </w:p>
    <w:p w14:paraId="44605173" w14:textId="09734198" w:rsidR="004C2336" w:rsidRPr="006164FE" w:rsidRDefault="004C2336" w:rsidP="005D3FC9">
      <w:pPr>
        <w:pStyle w:val="CommentText"/>
        <w:numPr>
          <w:ilvl w:val="0"/>
          <w:numId w:val="6"/>
        </w:numPr>
        <w:tabs>
          <w:tab w:val="clear" w:pos="1440"/>
          <w:tab w:val="num" w:pos="720"/>
        </w:tabs>
        <w:spacing w:line="240" w:lineRule="auto"/>
        <w:ind w:left="720"/>
        <w:jc w:val="both"/>
        <w:rPr>
          <w:rFonts w:ascii="Calibri" w:hAnsi="Calibri"/>
        </w:rPr>
      </w:pPr>
      <w:r>
        <w:rPr>
          <w:rFonts w:ascii="Calibri" w:hAnsi="Calibri"/>
        </w:rPr>
        <w:t xml:space="preserve">Small families comprised the majority of homeowners at 56.4% with large families at about 10%.  Seniors at age 62 or over represented a 30.3% </w:t>
      </w:r>
      <w:r w:rsidR="00574AED">
        <w:rPr>
          <w:rFonts w:ascii="Calibri" w:hAnsi="Calibri"/>
        </w:rPr>
        <w:t xml:space="preserve">of local owners </w:t>
      </w:r>
      <w:r>
        <w:rPr>
          <w:rFonts w:ascii="Calibri" w:hAnsi="Calibri"/>
        </w:rPr>
        <w:t>with non-family non-elderly owners at only 3.3%</w:t>
      </w:r>
      <w:r w:rsidR="00976E29">
        <w:rPr>
          <w:rFonts w:ascii="Calibri" w:hAnsi="Calibri"/>
        </w:rPr>
        <w:t xml:space="preserve"> of all homeowners</w:t>
      </w:r>
      <w:r>
        <w:rPr>
          <w:rFonts w:ascii="Calibri" w:hAnsi="Calibri"/>
        </w:rPr>
        <w:t xml:space="preserve">. </w:t>
      </w:r>
    </w:p>
    <w:p w14:paraId="6DE803A8" w14:textId="783EF83E" w:rsidR="004D53AD" w:rsidRDefault="004D53AD" w:rsidP="005D3FC9">
      <w:pPr>
        <w:pStyle w:val="CommentText"/>
        <w:numPr>
          <w:ilvl w:val="0"/>
          <w:numId w:val="6"/>
        </w:numPr>
        <w:tabs>
          <w:tab w:val="clear" w:pos="1440"/>
          <w:tab w:val="num" w:pos="720"/>
        </w:tabs>
        <w:spacing w:line="240" w:lineRule="auto"/>
        <w:ind w:left="720"/>
        <w:jc w:val="both"/>
        <w:rPr>
          <w:rFonts w:ascii="Calibri" w:hAnsi="Calibri"/>
        </w:rPr>
      </w:pPr>
      <w:r w:rsidRPr="006164FE">
        <w:rPr>
          <w:rFonts w:ascii="Calibri" w:hAnsi="Calibri"/>
        </w:rPr>
        <w:t xml:space="preserve">Of the </w:t>
      </w:r>
      <w:r w:rsidR="006164FE" w:rsidRPr="006164FE">
        <w:rPr>
          <w:rFonts w:ascii="Calibri" w:hAnsi="Calibri"/>
        </w:rPr>
        <w:t>1,060</w:t>
      </w:r>
      <w:r w:rsidRPr="006164FE">
        <w:rPr>
          <w:rFonts w:ascii="Calibri" w:hAnsi="Calibri"/>
        </w:rPr>
        <w:t xml:space="preserve"> owner households </w:t>
      </w:r>
      <w:r w:rsidR="00214F66">
        <w:rPr>
          <w:rFonts w:ascii="Calibri" w:hAnsi="Calibri"/>
        </w:rPr>
        <w:t>with incomes</w:t>
      </w:r>
      <w:r w:rsidRPr="006164FE">
        <w:rPr>
          <w:rFonts w:ascii="Calibri" w:hAnsi="Calibri"/>
        </w:rPr>
        <w:t xml:space="preserve"> </w:t>
      </w:r>
      <w:r w:rsidR="009446B2" w:rsidRPr="006164FE">
        <w:rPr>
          <w:rFonts w:ascii="Calibri" w:hAnsi="Calibri"/>
        </w:rPr>
        <w:t>at or below</w:t>
      </w:r>
      <w:r w:rsidRPr="006164FE">
        <w:rPr>
          <w:rFonts w:ascii="Calibri" w:hAnsi="Calibri"/>
        </w:rPr>
        <w:t xml:space="preserve"> 80% </w:t>
      </w:r>
      <w:r w:rsidR="006B5A0D">
        <w:rPr>
          <w:rFonts w:ascii="Calibri" w:hAnsi="Calibri"/>
        </w:rPr>
        <w:t>A</w:t>
      </w:r>
      <w:r w:rsidRPr="006164FE">
        <w:rPr>
          <w:rFonts w:ascii="Calibri" w:hAnsi="Calibri"/>
        </w:rPr>
        <w:t xml:space="preserve">MI, </w:t>
      </w:r>
      <w:r w:rsidR="006164FE" w:rsidRPr="006164FE">
        <w:rPr>
          <w:rFonts w:ascii="Calibri" w:hAnsi="Calibri"/>
        </w:rPr>
        <w:t>708 or two-thirds had cost burdens with 488 or 46% experiencing sever</w:t>
      </w:r>
      <w:r w:rsidR="007C6F27">
        <w:rPr>
          <w:rFonts w:ascii="Calibri" w:hAnsi="Calibri"/>
        </w:rPr>
        <w:t>e</w:t>
      </w:r>
      <w:r w:rsidR="006164FE" w:rsidRPr="006164FE">
        <w:rPr>
          <w:rFonts w:ascii="Calibri" w:hAnsi="Calibri"/>
        </w:rPr>
        <w:t xml:space="preserve"> cost burdens. There were more</w:t>
      </w:r>
      <w:r w:rsidR="006164FE">
        <w:rPr>
          <w:rFonts w:ascii="Calibri" w:hAnsi="Calibri"/>
        </w:rPr>
        <w:t xml:space="preserve"> owner</w:t>
      </w:r>
      <w:r w:rsidR="006164FE" w:rsidRPr="006164FE">
        <w:rPr>
          <w:rFonts w:ascii="Calibri" w:hAnsi="Calibri"/>
        </w:rPr>
        <w:t xml:space="preserve"> households in this income range in 2015, at 1,154 households, </w:t>
      </w:r>
      <w:r w:rsidR="006164FE">
        <w:rPr>
          <w:rFonts w:ascii="Calibri" w:hAnsi="Calibri"/>
        </w:rPr>
        <w:t xml:space="preserve">but the </w:t>
      </w:r>
      <w:r w:rsidR="00775E5E">
        <w:rPr>
          <w:rFonts w:ascii="Calibri" w:hAnsi="Calibri"/>
        </w:rPr>
        <w:t xml:space="preserve">percentage of those with cost burdens was </w:t>
      </w:r>
      <w:r w:rsidR="007C6F27">
        <w:rPr>
          <w:rFonts w:ascii="Calibri" w:hAnsi="Calibri"/>
        </w:rPr>
        <w:t>lower</w:t>
      </w:r>
      <w:r w:rsidR="00775E5E">
        <w:rPr>
          <w:rFonts w:ascii="Calibri" w:hAnsi="Calibri"/>
        </w:rPr>
        <w:t xml:space="preserve"> with</w:t>
      </w:r>
      <w:r w:rsidR="006164FE" w:rsidRPr="006164FE">
        <w:rPr>
          <w:rFonts w:ascii="Calibri" w:hAnsi="Calibri"/>
        </w:rPr>
        <w:t xml:space="preserve"> </w:t>
      </w:r>
      <w:r w:rsidRPr="006164FE">
        <w:rPr>
          <w:rFonts w:ascii="Calibri" w:hAnsi="Calibri"/>
        </w:rPr>
        <w:t xml:space="preserve">64% spending too much and 44% </w:t>
      </w:r>
      <w:r w:rsidR="00775E5E">
        <w:rPr>
          <w:rFonts w:ascii="Calibri" w:hAnsi="Calibri"/>
        </w:rPr>
        <w:t>with severe cost burdens</w:t>
      </w:r>
      <w:r w:rsidRPr="006164FE">
        <w:rPr>
          <w:rFonts w:ascii="Calibri" w:hAnsi="Calibri"/>
        </w:rPr>
        <w:t xml:space="preserve">.  </w:t>
      </w:r>
      <w:r w:rsidR="007C6F27">
        <w:rPr>
          <w:rFonts w:ascii="Calibri" w:hAnsi="Calibri"/>
        </w:rPr>
        <w:t>L</w:t>
      </w:r>
      <w:r w:rsidRPr="006164FE">
        <w:rPr>
          <w:rFonts w:ascii="Calibri" w:hAnsi="Calibri"/>
        </w:rPr>
        <w:t xml:space="preserve">evels of cost burdens </w:t>
      </w:r>
      <w:r w:rsidR="006164FE">
        <w:rPr>
          <w:rFonts w:ascii="Calibri" w:hAnsi="Calibri"/>
        </w:rPr>
        <w:t>we</w:t>
      </w:r>
      <w:r w:rsidRPr="006164FE">
        <w:rPr>
          <w:rFonts w:ascii="Calibri" w:hAnsi="Calibri"/>
        </w:rPr>
        <w:t>re</w:t>
      </w:r>
      <w:r w:rsidR="00775E5E">
        <w:rPr>
          <w:rFonts w:ascii="Calibri" w:hAnsi="Calibri"/>
        </w:rPr>
        <w:t xml:space="preserve"> also equivalent o</w:t>
      </w:r>
      <w:r w:rsidR="00214F66">
        <w:rPr>
          <w:rFonts w:ascii="Calibri" w:hAnsi="Calibri"/>
        </w:rPr>
        <w:t>r</w:t>
      </w:r>
      <w:r w:rsidR="00775E5E">
        <w:rPr>
          <w:rFonts w:ascii="Calibri" w:hAnsi="Calibri"/>
        </w:rPr>
        <w:t xml:space="preserve"> up</w:t>
      </w:r>
      <w:r w:rsidRPr="006164FE">
        <w:rPr>
          <w:rFonts w:ascii="Calibri" w:hAnsi="Calibri"/>
        </w:rPr>
        <w:t xml:space="preserve"> somewhat from 2011 </w:t>
      </w:r>
      <w:r w:rsidR="006557C6">
        <w:rPr>
          <w:rFonts w:ascii="Calibri" w:hAnsi="Calibri"/>
        </w:rPr>
        <w:t>when 6</w:t>
      </w:r>
      <w:r w:rsidRPr="006164FE">
        <w:rPr>
          <w:rFonts w:ascii="Calibri" w:hAnsi="Calibri"/>
        </w:rPr>
        <w:t>8%</w:t>
      </w:r>
      <w:r w:rsidR="006557C6">
        <w:rPr>
          <w:rFonts w:ascii="Calibri" w:hAnsi="Calibri"/>
        </w:rPr>
        <w:t xml:space="preserve"> had cost burdens</w:t>
      </w:r>
      <w:r w:rsidRPr="006164FE">
        <w:rPr>
          <w:rFonts w:ascii="Calibri" w:hAnsi="Calibri"/>
        </w:rPr>
        <w:t xml:space="preserve"> and 55%</w:t>
      </w:r>
      <w:r w:rsidR="006557C6">
        <w:rPr>
          <w:rFonts w:ascii="Calibri" w:hAnsi="Calibri"/>
        </w:rPr>
        <w:t xml:space="preserve"> were experiencing severe cost burdens</w:t>
      </w:r>
      <w:r w:rsidRPr="006164FE">
        <w:rPr>
          <w:rFonts w:ascii="Calibri" w:hAnsi="Calibri"/>
        </w:rPr>
        <w:t xml:space="preserve">. </w:t>
      </w:r>
    </w:p>
    <w:p w14:paraId="2E4C8513" w14:textId="5D77EBA0" w:rsidR="000C7CDE" w:rsidRPr="007C6F27" w:rsidRDefault="000C7CDE" w:rsidP="000C7CDE">
      <w:pPr>
        <w:pStyle w:val="CommentText"/>
        <w:numPr>
          <w:ilvl w:val="0"/>
          <w:numId w:val="6"/>
        </w:numPr>
        <w:tabs>
          <w:tab w:val="clear" w:pos="1440"/>
          <w:tab w:val="num" w:pos="720"/>
        </w:tabs>
        <w:spacing w:line="240" w:lineRule="auto"/>
        <w:ind w:left="720"/>
        <w:jc w:val="both"/>
        <w:rPr>
          <w:rFonts w:ascii="Calibri" w:hAnsi="Calibri"/>
          <w:i/>
          <w:iCs/>
        </w:rPr>
      </w:pPr>
      <w:r>
        <w:rPr>
          <w:rFonts w:ascii="Calibri" w:hAnsi="Calibri"/>
          <w:i/>
          <w:iCs/>
        </w:rPr>
        <w:t>A</w:t>
      </w:r>
      <w:r w:rsidR="007C6F27" w:rsidRPr="007C6F27">
        <w:rPr>
          <w:rFonts w:ascii="Calibri" w:hAnsi="Calibri"/>
          <w:i/>
          <w:iCs/>
        </w:rPr>
        <w:t xml:space="preserve">lmost all owners with incomes at or below 30% </w:t>
      </w:r>
      <w:r w:rsidR="006B5A0D">
        <w:rPr>
          <w:rFonts w:ascii="Calibri" w:hAnsi="Calibri"/>
          <w:i/>
          <w:iCs/>
        </w:rPr>
        <w:t>A</w:t>
      </w:r>
      <w:r w:rsidR="007C6F27" w:rsidRPr="007C6F27">
        <w:rPr>
          <w:rFonts w:ascii="Calibri" w:hAnsi="Calibri"/>
          <w:i/>
          <w:iCs/>
        </w:rPr>
        <w:t xml:space="preserve">MI were overspending including 92.4% with severe cost burdens.  This suggests that the Town continue to explore options to reduce housing costs for these extremely low-income households, most of whom are </w:t>
      </w:r>
      <w:r w:rsidR="00976E29">
        <w:rPr>
          <w:rFonts w:ascii="Calibri" w:hAnsi="Calibri"/>
          <w:i/>
          <w:iCs/>
        </w:rPr>
        <w:t>older adult</w:t>
      </w:r>
      <w:r w:rsidR="007C6F27" w:rsidRPr="007C6F27">
        <w:rPr>
          <w:rFonts w:ascii="Calibri" w:hAnsi="Calibri"/>
          <w:i/>
          <w:iCs/>
        </w:rPr>
        <w:t>s.  Efforts such as the Small Repair Grant Program and additional tax deferrals could  provide much needed assistance.</w:t>
      </w:r>
      <w:r w:rsidRPr="000C7CDE">
        <w:rPr>
          <w:rFonts w:ascii="Calibri" w:hAnsi="Calibri"/>
          <w:i/>
          <w:iCs/>
        </w:rPr>
        <w:t xml:space="preserve"> </w:t>
      </w:r>
      <w:r>
        <w:rPr>
          <w:rFonts w:ascii="Calibri" w:hAnsi="Calibri"/>
          <w:i/>
          <w:iCs/>
        </w:rPr>
        <w:t>ADUs may become another source of income for these households with zoning changes.</w:t>
      </w:r>
    </w:p>
    <w:p w14:paraId="523897EE" w14:textId="45277B1D" w:rsidR="007C6F27" w:rsidRDefault="007C6F27" w:rsidP="005D3FC9">
      <w:pPr>
        <w:pStyle w:val="CommentText"/>
        <w:numPr>
          <w:ilvl w:val="0"/>
          <w:numId w:val="6"/>
        </w:numPr>
        <w:tabs>
          <w:tab w:val="clear" w:pos="1440"/>
          <w:tab w:val="num" w:pos="720"/>
        </w:tabs>
        <w:spacing w:line="240" w:lineRule="auto"/>
        <w:ind w:left="720"/>
        <w:jc w:val="both"/>
        <w:rPr>
          <w:rFonts w:ascii="Calibri" w:hAnsi="Calibri"/>
          <w:i/>
        </w:rPr>
      </w:pPr>
      <w:r w:rsidRPr="00E10A15">
        <w:rPr>
          <w:rFonts w:ascii="Calibri" w:hAnsi="Calibri"/>
        </w:rPr>
        <w:t xml:space="preserve">There were </w:t>
      </w:r>
      <w:r>
        <w:rPr>
          <w:rFonts w:ascii="Calibri" w:hAnsi="Calibri"/>
        </w:rPr>
        <w:t>7</w:t>
      </w:r>
      <w:r w:rsidR="006C1522">
        <w:rPr>
          <w:rFonts w:ascii="Calibri" w:hAnsi="Calibri"/>
        </w:rPr>
        <w:t>1</w:t>
      </w:r>
      <w:r>
        <w:rPr>
          <w:rFonts w:ascii="Calibri" w:hAnsi="Calibri"/>
        </w:rPr>
        <w:t>5</w:t>
      </w:r>
      <w:r w:rsidRPr="00E10A15">
        <w:rPr>
          <w:rFonts w:ascii="Calibri" w:hAnsi="Calibri"/>
        </w:rPr>
        <w:t xml:space="preserve"> elderly owners earning at or below 80% </w:t>
      </w:r>
      <w:r w:rsidR="006B5A0D">
        <w:rPr>
          <w:rFonts w:ascii="Calibri" w:hAnsi="Calibri"/>
        </w:rPr>
        <w:t>A</w:t>
      </w:r>
      <w:r w:rsidRPr="00E10A15">
        <w:rPr>
          <w:rFonts w:ascii="Calibri" w:hAnsi="Calibri"/>
        </w:rPr>
        <w:t xml:space="preserve">MI, </w:t>
      </w:r>
      <w:r w:rsidR="006C1522">
        <w:rPr>
          <w:rFonts w:ascii="Calibri" w:hAnsi="Calibri"/>
        </w:rPr>
        <w:t>down from 750 in 2015 but up somewhat</w:t>
      </w:r>
      <w:r w:rsidRPr="00E10A15">
        <w:rPr>
          <w:rFonts w:ascii="Calibri" w:hAnsi="Calibri"/>
        </w:rPr>
        <w:t xml:space="preserve"> from 710 in 2011. </w:t>
      </w:r>
      <w:r w:rsidR="006C1522">
        <w:rPr>
          <w:rFonts w:ascii="Calibri" w:hAnsi="Calibri"/>
        </w:rPr>
        <w:t xml:space="preserve"> By 2018, 489 or 68.4% had cost burdens including 319 or 44.6% with severe cost burdens.  This is higher than the cost burdens in </w:t>
      </w:r>
      <w:r w:rsidRPr="00E10A15">
        <w:rPr>
          <w:rFonts w:ascii="Calibri" w:hAnsi="Calibri"/>
        </w:rPr>
        <w:t>201</w:t>
      </w:r>
      <w:r>
        <w:rPr>
          <w:rFonts w:ascii="Calibri" w:hAnsi="Calibri"/>
        </w:rPr>
        <w:t>5</w:t>
      </w:r>
      <w:r w:rsidR="006C1522">
        <w:rPr>
          <w:rFonts w:ascii="Calibri" w:hAnsi="Calibri"/>
        </w:rPr>
        <w:t xml:space="preserve"> with</w:t>
      </w:r>
      <w:r w:rsidRPr="00E10A15">
        <w:rPr>
          <w:rFonts w:ascii="Calibri" w:hAnsi="Calibri"/>
        </w:rPr>
        <w:t xml:space="preserve"> </w:t>
      </w:r>
      <w:r>
        <w:rPr>
          <w:rFonts w:ascii="Calibri" w:hAnsi="Calibri"/>
        </w:rPr>
        <w:t>420</w:t>
      </w:r>
      <w:r w:rsidRPr="00E10A15">
        <w:rPr>
          <w:rFonts w:ascii="Calibri" w:hAnsi="Calibri"/>
        </w:rPr>
        <w:t xml:space="preserve"> households or </w:t>
      </w:r>
      <w:r>
        <w:rPr>
          <w:rFonts w:ascii="Calibri" w:hAnsi="Calibri"/>
        </w:rPr>
        <w:t>56</w:t>
      </w:r>
      <w:r w:rsidRPr="00E10A15">
        <w:rPr>
          <w:rFonts w:ascii="Calibri" w:hAnsi="Calibri"/>
        </w:rPr>
        <w:t xml:space="preserve">% were overspending, including </w:t>
      </w:r>
      <w:r>
        <w:rPr>
          <w:rFonts w:ascii="Calibri" w:hAnsi="Calibri"/>
        </w:rPr>
        <w:t>275</w:t>
      </w:r>
      <w:r w:rsidRPr="00E10A15">
        <w:rPr>
          <w:rFonts w:ascii="Calibri" w:hAnsi="Calibri"/>
        </w:rPr>
        <w:t xml:space="preserve"> or </w:t>
      </w:r>
      <w:r>
        <w:rPr>
          <w:rFonts w:ascii="Calibri" w:hAnsi="Calibri"/>
        </w:rPr>
        <w:t>37</w:t>
      </w:r>
      <w:r w:rsidRPr="00E10A15">
        <w:rPr>
          <w:rFonts w:ascii="Calibri" w:hAnsi="Calibri"/>
        </w:rPr>
        <w:t xml:space="preserve">% with severe cost burdens.  </w:t>
      </w:r>
      <w:r w:rsidR="004C2336">
        <w:rPr>
          <w:rFonts w:ascii="Calibri" w:hAnsi="Calibri"/>
        </w:rPr>
        <w:t>In comparison, t</w:t>
      </w:r>
      <w:r w:rsidRPr="00E10A15">
        <w:rPr>
          <w:rFonts w:ascii="Calibri" w:hAnsi="Calibri"/>
        </w:rPr>
        <w:t>he</w:t>
      </w:r>
      <w:r w:rsidR="004C2336">
        <w:rPr>
          <w:rFonts w:ascii="Calibri" w:hAnsi="Calibri"/>
        </w:rPr>
        <w:t xml:space="preserve"> 2011</w:t>
      </w:r>
      <w:r w:rsidRPr="00E10A15">
        <w:rPr>
          <w:rFonts w:ascii="Calibri" w:hAnsi="Calibri"/>
        </w:rPr>
        <w:t xml:space="preserve"> levels of</w:t>
      </w:r>
      <w:r w:rsidR="004C2336">
        <w:rPr>
          <w:rFonts w:ascii="Calibri" w:hAnsi="Calibri"/>
        </w:rPr>
        <w:t xml:space="preserve"> those with</w:t>
      </w:r>
      <w:r w:rsidRPr="00E10A15">
        <w:rPr>
          <w:rFonts w:ascii="Calibri" w:hAnsi="Calibri"/>
        </w:rPr>
        <w:t xml:space="preserve"> cost burdens </w:t>
      </w:r>
      <w:r w:rsidR="004C2336">
        <w:rPr>
          <w:rFonts w:ascii="Calibri" w:hAnsi="Calibri"/>
        </w:rPr>
        <w:t>was somewhat lower at</w:t>
      </w:r>
      <w:r w:rsidRPr="00E10A15">
        <w:rPr>
          <w:rFonts w:ascii="Calibri" w:hAnsi="Calibri"/>
        </w:rPr>
        <w:t xml:space="preserve"> 63% </w:t>
      </w:r>
      <w:r w:rsidR="004C2336">
        <w:rPr>
          <w:rFonts w:ascii="Calibri" w:hAnsi="Calibri"/>
        </w:rPr>
        <w:t>but higher in the case of severe cost burdens at</w:t>
      </w:r>
      <w:r w:rsidRPr="00E10A15">
        <w:rPr>
          <w:rFonts w:ascii="Calibri" w:hAnsi="Calibri"/>
        </w:rPr>
        <w:t xml:space="preserve"> 50%. </w:t>
      </w:r>
      <w:r w:rsidRPr="00E10A15">
        <w:rPr>
          <w:rFonts w:ascii="Calibri" w:hAnsi="Calibri"/>
          <w:i/>
        </w:rPr>
        <w:t xml:space="preserve">These high levels of cost burdens point to a situation where </w:t>
      </w:r>
      <w:r>
        <w:rPr>
          <w:rFonts w:ascii="Calibri" w:hAnsi="Calibri"/>
          <w:i/>
        </w:rPr>
        <w:t xml:space="preserve">long-term </w:t>
      </w:r>
      <w:r w:rsidRPr="00E10A15">
        <w:rPr>
          <w:rFonts w:ascii="Calibri" w:hAnsi="Calibri"/>
          <w:i/>
        </w:rPr>
        <w:t>senior</w:t>
      </w:r>
      <w:r>
        <w:rPr>
          <w:rFonts w:ascii="Calibri" w:hAnsi="Calibri"/>
          <w:i/>
        </w:rPr>
        <w:t xml:space="preserve"> resident</w:t>
      </w:r>
      <w:r w:rsidRPr="00E10A15">
        <w:rPr>
          <w:rFonts w:ascii="Calibri" w:hAnsi="Calibri"/>
          <w:i/>
        </w:rPr>
        <w:t>s who are retired and living on fixed incomes are experiencing challenges affording the high housing costs in Needham, including rising energy, insurance costs and property taxes.  Many of these owners are likely empty nesters living in single-family homes that cost too much for them to maintain and with more space than they require at this stage of their lives.</w:t>
      </w:r>
    </w:p>
    <w:p w14:paraId="72D2FCAF" w14:textId="273770BB" w:rsidR="004D53AD" w:rsidRPr="00E10A15" w:rsidRDefault="004D53AD" w:rsidP="005D3FC9">
      <w:pPr>
        <w:pStyle w:val="CommentText"/>
        <w:numPr>
          <w:ilvl w:val="0"/>
          <w:numId w:val="6"/>
        </w:numPr>
        <w:tabs>
          <w:tab w:val="clear" w:pos="1440"/>
          <w:tab w:val="num" w:pos="720"/>
        </w:tabs>
        <w:spacing w:line="240" w:lineRule="auto"/>
        <w:ind w:left="720"/>
        <w:jc w:val="both"/>
        <w:rPr>
          <w:rFonts w:ascii="Calibri" w:hAnsi="Calibri"/>
          <w:i/>
        </w:rPr>
      </w:pPr>
      <w:r>
        <w:rPr>
          <w:rFonts w:ascii="Calibri" w:hAnsi="Calibri"/>
        </w:rPr>
        <w:t xml:space="preserve">Of the </w:t>
      </w:r>
      <w:r w:rsidR="00C115DC">
        <w:rPr>
          <w:rFonts w:ascii="Calibri" w:hAnsi="Calibri"/>
        </w:rPr>
        <w:t>265</w:t>
      </w:r>
      <w:r>
        <w:rPr>
          <w:rFonts w:ascii="Calibri" w:hAnsi="Calibri"/>
        </w:rPr>
        <w:t xml:space="preserve"> small family households </w:t>
      </w:r>
      <w:r w:rsidR="004C2336">
        <w:rPr>
          <w:rFonts w:ascii="Calibri" w:hAnsi="Calibri"/>
        </w:rPr>
        <w:t>with incomes</w:t>
      </w:r>
      <w:r>
        <w:rPr>
          <w:rFonts w:ascii="Calibri" w:hAnsi="Calibri"/>
        </w:rPr>
        <w:t xml:space="preserve"> at or below 80% </w:t>
      </w:r>
      <w:r w:rsidR="006B5A0D">
        <w:rPr>
          <w:rFonts w:ascii="Calibri" w:hAnsi="Calibri"/>
        </w:rPr>
        <w:t>A</w:t>
      </w:r>
      <w:r>
        <w:rPr>
          <w:rFonts w:ascii="Calibri" w:hAnsi="Calibri"/>
        </w:rPr>
        <w:t>MI,</w:t>
      </w:r>
      <w:r w:rsidR="00C115DC">
        <w:rPr>
          <w:rFonts w:ascii="Calibri" w:hAnsi="Calibri"/>
        </w:rPr>
        <w:t xml:space="preserve"> 170 or 64.2% were experiencing cost burdens including 120 or 45.3% with severe cost burdens.  The level of cost burdens is down somewhat from 2015 w</w:t>
      </w:r>
      <w:r w:rsidR="00337CB1">
        <w:rPr>
          <w:rFonts w:ascii="Calibri" w:hAnsi="Calibri"/>
        </w:rPr>
        <w:t>hen</w:t>
      </w:r>
      <w:r w:rsidR="00C115DC">
        <w:rPr>
          <w:rFonts w:ascii="Calibri" w:hAnsi="Calibri"/>
        </w:rPr>
        <w:t xml:space="preserve"> </w:t>
      </w:r>
      <w:r>
        <w:rPr>
          <w:rFonts w:ascii="Calibri" w:hAnsi="Calibri"/>
        </w:rPr>
        <w:t>almost 90%</w:t>
      </w:r>
      <w:r w:rsidR="00337CB1">
        <w:rPr>
          <w:rFonts w:ascii="Calibri" w:hAnsi="Calibri"/>
        </w:rPr>
        <w:t xml:space="preserve"> were</w:t>
      </w:r>
      <w:r>
        <w:rPr>
          <w:rFonts w:ascii="Calibri" w:hAnsi="Calibri"/>
        </w:rPr>
        <w:t xml:space="preserve"> spending too much, including 66% with severe cost burdens.  </w:t>
      </w:r>
      <w:r w:rsidR="00333448">
        <w:rPr>
          <w:rFonts w:ascii="Calibri" w:hAnsi="Calibri"/>
        </w:rPr>
        <w:t>T</w:t>
      </w:r>
      <w:r>
        <w:rPr>
          <w:rFonts w:ascii="Calibri" w:hAnsi="Calibri"/>
        </w:rPr>
        <w:t xml:space="preserve">he number of households in this income range was lower in 2011, at 225 households, </w:t>
      </w:r>
      <w:r w:rsidR="00C115DC">
        <w:rPr>
          <w:rFonts w:ascii="Calibri" w:hAnsi="Calibri"/>
        </w:rPr>
        <w:t>but</w:t>
      </w:r>
      <w:r w:rsidR="00333448">
        <w:rPr>
          <w:rFonts w:ascii="Calibri" w:hAnsi="Calibri"/>
        </w:rPr>
        <w:t xml:space="preserve"> </w:t>
      </w:r>
      <w:r>
        <w:rPr>
          <w:rFonts w:ascii="Calibri" w:hAnsi="Calibri"/>
        </w:rPr>
        <w:t xml:space="preserve">the percentage with cost burdens was at 73% with a higher proportion of those with severe cost burdens at 69%. </w:t>
      </w:r>
    </w:p>
    <w:p w14:paraId="2334C362" w14:textId="6C6EE629" w:rsidR="004D53AD" w:rsidRPr="008D6C4C" w:rsidRDefault="004D53AD" w:rsidP="005D3FC9">
      <w:pPr>
        <w:pStyle w:val="CommentText"/>
        <w:numPr>
          <w:ilvl w:val="0"/>
          <w:numId w:val="6"/>
        </w:numPr>
        <w:tabs>
          <w:tab w:val="clear" w:pos="1440"/>
          <w:tab w:val="num" w:pos="720"/>
        </w:tabs>
        <w:spacing w:line="240" w:lineRule="auto"/>
        <w:ind w:left="720"/>
        <w:jc w:val="both"/>
        <w:rPr>
          <w:rFonts w:ascii="Calibri" w:hAnsi="Calibri"/>
          <w:i/>
        </w:rPr>
      </w:pPr>
      <w:r w:rsidRPr="008D6C4C">
        <w:rPr>
          <w:rFonts w:ascii="Calibri" w:hAnsi="Calibri"/>
        </w:rPr>
        <w:t>There were only 3</w:t>
      </w:r>
      <w:r w:rsidR="004C2336">
        <w:rPr>
          <w:rFonts w:ascii="Calibri" w:hAnsi="Calibri"/>
        </w:rPr>
        <w:t>5</w:t>
      </w:r>
      <w:r w:rsidRPr="008D6C4C">
        <w:rPr>
          <w:rFonts w:ascii="Calibri" w:hAnsi="Calibri"/>
        </w:rPr>
        <w:t xml:space="preserve"> large families </w:t>
      </w:r>
      <w:r w:rsidR="00337CB1">
        <w:rPr>
          <w:rFonts w:ascii="Calibri" w:hAnsi="Calibri"/>
        </w:rPr>
        <w:t>with incomes</w:t>
      </w:r>
      <w:r w:rsidRPr="008D6C4C">
        <w:rPr>
          <w:rFonts w:ascii="Calibri" w:hAnsi="Calibri"/>
        </w:rPr>
        <w:t xml:space="preserve"> </w:t>
      </w:r>
      <w:r w:rsidR="004C2336">
        <w:rPr>
          <w:rFonts w:ascii="Calibri" w:hAnsi="Calibri"/>
        </w:rPr>
        <w:t>at or below</w:t>
      </w:r>
      <w:r w:rsidRPr="008D6C4C">
        <w:rPr>
          <w:rFonts w:ascii="Calibri" w:hAnsi="Calibri"/>
        </w:rPr>
        <w:t xml:space="preserve"> 80% </w:t>
      </w:r>
      <w:r w:rsidR="006B5A0D">
        <w:rPr>
          <w:rFonts w:ascii="Calibri" w:hAnsi="Calibri"/>
        </w:rPr>
        <w:t>A</w:t>
      </w:r>
      <w:r w:rsidRPr="008D6C4C">
        <w:rPr>
          <w:rFonts w:ascii="Calibri" w:hAnsi="Calibri"/>
        </w:rPr>
        <w:t xml:space="preserve">MI, of which </w:t>
      </w:r>
      <w:r w:rsidR="004C2336">
        <w:rPr>
          <w:rFonts w:ascii="Calibri" w:hAnsi="Calibri"/>
        </w:rPr>
        <w:t>20</w:t>
      </w:r>
      <w:r w:rsidRPr="008D6C4C">
        <w:rPr>
          <w:rFonts w:ascii="Calibri" w:hAnsi="Calibri"/>
        </w:rPr>
        <w:t xml:space="preserve"> or </w:t>
      </w:r>
      <w:r>
        <w:rPr>
          <w:rFonts w:ascii="Calibri" w:hAnsi="Calibri"/>
        </w:rPr>
        <w:t>5</w:t>
      </w:r>
      <w:r w:rsidR="004C2336">
        <w:rPr>
          <w:rFonts w:ascii="Calibri" w:hAnsi="Calibri"/>
        </w:rPr>
        <w:t>7</w:t>
      </w:r>
      <w:r w:rsidRPr="008D6C4C">
        <w:rPr>
          <w:rFonts w:ascii="Calibri" w:hAnsi="Calibri"/>
        </w:rPr>
        <w:t xml:space="preserve">% had severe cost burdens, all earning </w:t>
      </w:r>
      <w:r w:rsidR="004C2336">
        <w:rPr>
          <w:rFonts w:ascii="Calibri" w:hAnsi="Calibri"/>
        </w:rPr>
        <w:t>between 30% and</w:t>
      </w:r>
      <w:r w:rsidRPr="008D6C4C">
        <w:rPr>
          <w:rFonts w:ascii="Calibri" w:hAnsi="Calibri"/>
        </w:rPr>
        <w:t xml:space="preserve"> </w:t>
      </w:r>
      <w:r>
        <w:rPr>
          <w:rFonts w:ascii="Calibri" w:hAnsi="Calibri"/>
        </w:rPr>
        <w:t>5</w:t>
      </w:r>
      <w:r w:rsidRPr="008D6C4C">
        <w:rPr>
          <w:rFonts w:ascii="Calibri" w:hAnsi="Calibri"/>
        </w:rPr>
        <w:t xml:space="preserve">0% </w:t>
      </w:r>
      <w:r w:rsidR="006B5A0D">
        <w:rPr>
          <w:rFonts w:ascii="Calibri" w:hAnsi="Calibri"/>
        </w:rPr>
        <w:t>A</w:t>
      </w:r>
      <w:r w:rsidRPr="008D6C4C">
        <w:rPr>
          <w:rFonts w:ascii="Calibri" w:hAnsi="Calibri"/>
        </w:rPr>
        <w:t xml:space="preserve">MI. </w:t>
      </w:r>
      <w:r>
        <w:rPr>
          <w:rFonts w:ascii="Calibri" w:hAnsi="Calibri"/>
        </w:rPr>
        <w:t xml:space="preserve"> This represents a slight increase from 14 large</w:t>
      </w:r>
      <w:r w:rsidR="004C2336">
        <w:rPr>
          <w:rFonts w:ascii="Calibri" w:hAnsi="Calibri"/>
        </w:rPr>
        <w:t>-family owner</w:t>
      </w:r>
      <w:r>
        <w:rPr>
          <w:rFonts w:ascii="Calibri" w:hAnsi="Calibri"/>
        </w:rPr>
        <w:t xml:space="preserve"> households in 2011, 10 having severe cost burdens and earning less than 30% </w:t>
      </w:r>
      <w:r w:rsidR="006B5A0D">
        <w:rPr>
          <w:rFonts w:ascii="Calibri" w:hAnsi="Calibri"/>
        </w:rPr>
        <w:t>A</w:t>
      </w:r>
      <w:r>
        <w:rPr>
          <w:rFonts w:ascii="Calibri" w:hAnsi="Calibri"/>
        </w:rPr>
        <w:t>MI.</w:t>
      </w:r>
    </w:p>
    <w:p w14:paraId="3A38392E" w14:textId="27830CFB" w:rsidR="004D53AD" w:rsidRPr="00956A72" w:rsidRDefault="004D53AD" w:rsidP="005D3FC9">
      <w:pPr>
        <w:pStyle w:val="CommentText"/>
        <w:numPr>
          <w:ilvl w:val="0"/>
          <w:numId w:val="6"/>
        </w:numPr>
        <w:tabs>
          <w:tab w:val="clear" w:pos="1440"/>
          <w:tab w:val="num" w:pos="720"/>
        </w:tabs>
        <w:spacing w:line="240" w:lineRule="auto"/>
        <w:ind w:left="720"/>
        <w:jc w:val="both"/>
        <w:rPr>
          <w:rFonts w:ascii="Calibri" w:hAnsi="Calibri"/>
          <w:i/>
        </w:rPr>
      </w:pPr>
      <w:r w:rsidRPr="00956A72">
        <w:rPr>
          <w:rFonts w:ascii="Calibri" w:hAnsi="Calibri"/>
        </w:rPr>
        <w:t xml:space="preserve">There were also </w:t>
      </w:r>
      <w:r w:rsidR="00956A72" w:rsidRPr="00956A72">
        <w:rPr>
          <w:rFonts w:ascii="Calibri" w:hAnsi="Calibri"/>
        </w:rPr>
        <w:t>45</w:t>
      </w:r>
      <w:r w:rsidRPr="00956A72">
        <w:rPr>
          <w:rFonts w:ascii="Calibri" w:hAnsi="Calibri"/>
        </w:rPr>
        <w:t xml:space="preserve"> non-elderly, non-family owner households </w:t>
      </w:r>
      <w:r w:rsidR="00337CB1">
        <w:rPr>
          <w:rFonts w:ascii="Calibri" w:hAnsi="Calibri"/>
        </w:rPr>
        <w:t>with incomes</w:t>
      </w:r>
      <w:r w:rsidRPr="00956A72">
        <w:rPr>
          <w:rFonts w:ascii="Calibri" w:hAnsi="Calibri"/>
        </w:rPr>
        <w:t xml:space="preserve"> </w:t>
      </w:r>
      <w:r w:rsidR="00333448" w:rsidRPr="00956A72">
        <w:rPr>
          <w:rFonts w:ascii="Calibri" w:hAnsi="Calibri"/>
        </w:rPr>
        <w:t>at or below</w:t>
      </w:r>
      <w:r w:rsidRPr="00956A72">
        <w:rPr>
          <w:rFonts w:ascii="Calibri" w:hAnsi="Calibri"/>
        </w:rPr>
        <w:t xml:space="preserve"> 80% </w:t>
      </w:r>
      <w:r w:rsidR="006B5A0D">
        <w:rPr>
          <w:rFonts w:ascii="Calibri" w:hAnsi="Calibri"/>
        </w:rPr>
        <w:t>A</w:t>
      </w:r>
      <w:r w:rsidRPr="00956A72">
        <w:rPr>
          <w:rFonts w:ascii="Calibri" w:hAnsi="Calibri"/>
        </w:rPr>
        <w:t xml:space="preserve">MI of which </w:t>
      </w:r>
      <w:r w:rsidR="00956A72" w:rsidRPr="00956A72">
        <w:rPr>
          <w:rFonts w:ascii="Calibri" w:hAnsi="Calibri"/>
        </w:rPr>
        <w:t xml:space="preserve">29 or 64.4% had cost burdens, all with severe cost burdens.  </w:t>
      </w:r>
      <w:r w:rsidR="00956A72">
        <w:rPr>
          <w:rFonts w:ascii="Calibri" w:hAnsi="Calibri"/>
        </w:rPr>
        <w:t xml:space="preserve">While the total </w:t>
      </w:r>
      <w:r w:rsidR="00956A72">
        <w:rPr>
          <w:rFonts w:ascii="Calibri" w:hAnsi="Calibri"/>
        </w:rPr>
        <w:lastRenderedPageBreak/>
        <w:t xml:space="preserve">number of households were higher in 2015, with 80 such households, cost burdens were lower with </w:t>
      </w:r>
      <w:r w:rsidRPr="00956A72">
        <w:rPr>
          <w:rFonts w:ascii="Calibri" w:hAnsi="Calibri"/>
        </w:rPr>
        <w:t>44% spending too much for their housing and one-quarter pending more than half of their income on housing costs</w:t>
      </w:r>
      <w:r w:rsidR="00956A72">
        <w:rPr>
          <w:rFonts w:ascii="Calibri" w:hAnsi="Calibri"/>
        </w:rPr>
        <w:t xml:space="preserve"> in 2015</w:t>
      </w:r>
      <w:r w:rsidRPr="00956A72">
        <w:rPr>
          <w:rFonts w:ascii="Calibri" w:hAnsi="Calibri"/>
        </w:rPr>
        <w:t>.  The 2011 data also shows 80 households in this category with</w:t>
      </w:r>
      <w:r w:rsidR="00956A72">
        <w:rPr>
          <w:rFonts w:ascii="Calibri" w:hAnsi="Calibri"/>
        </w:rPr>
        <w:t xml:space="preserve"> a bit</w:t>
      </w:r>
      <w:r w:rsidRPr="00956A72">
        <w:rPr>
          <w:rFonts w:ascii="Calibri" w:hAnsi="Calibri"/>
        </w:rPr>
        <w:t xml:space="preserve"> </w:t>
      </w:r>
      <w:r w:rsidR="00956A72">
        <w:rPr>
          <w:rFonts w:ascii="Calibri" w:hAnsi="Calibri"/>
        </w:rPr>
        <w:t>lower</w:t>
      </w:r>
      <w:r w:rsidRPr="00956A72">
        <w:rPr>
          <w:rFonts w:ascii="Calibri" w:hAnsi="Calibri"/>
        </w:rPr>
        <w:t xml:space="preserve"> cost burdens including </w:t>
      </w:r>
      <w:r w:rsidR="00956A72">
        <w:rPr>
          <w:rFonts w:ascii="Calibri" w:hAnsi="Calibri"/>
        </w:rPr>
        <w:t xml:space="preserve">61.2% </w:t>
      </w:r>
      <w:r w:rsidRPr="00956A72">
        <w:rPr>
          <w:rFonts w:ascii="Calibri" w:hAnsi="Calibri"/>
        </w:rPr>
        <w:t>with severe cost burdens.</w:t>
      </w:r>
    </w:p>
    <w:p w14:paraId="19F6647E" w14:textId="3692261D" w:rsidR="005A4B15" w:rsidRDefault="005A4B15" w:rsidP="005A4B15">
      <w:pPr>
        <w:pStyle w:val="CommentText"/>
        <w:spacing w:line="240" w:lineRule="auto"/>
        <w:ind w:left="720"/>
        <w:jc w:val="both"/>
        <w:rPr>
          <w:rFonts w:ascii="Calibri" w:hAnsi="Calibri"/>
        </w:rPr>
      </w:pPr>
    </w:p>
    <w:p w14:paraId="248FAC9A" w14:textId="77777777" w:rsidR="008772FC" w:rsidRPr="00876ECA" w:rsidRDefault="008772FC" w:rsidP="00615DA4">
      <w:pPr>
        <w:jc w:val="both"/>
        <w:rPr>
          <w:rFonts w:ascii="Calibri" w:hAnsi="Calibri"/>
          <w:b/>
          <w:bCs/>
          <w:color w:val="1F497D" w:themeColor="text2"/>
        </w:rPr>
      </w:pPr>
      <w:r w:rsidRPr="00876ECA">
        <w:rPr>
          <w:rFonts w:ascii="Calibri" w:hAnsi="Calibri"/>
          <w:b/>
          <w:bCs/>
          <w:color w:val="1F497D" w:themeColor="text2"/>
        </w:rPr>
        <w:t>6.</w:t>
      </w:r>
      <w:r w:rsidRPr="00876ECA">
        <w:rPr>
          <w:rFonts w:ascii="Calibri" w:hAnsi="Calibri"/>
          <w:b/>
          <w:bCs/>
          <w:color w:val="1F497D" w:themeColor="text2"/>
        </w:rPr>
        <w:tab/>
        <w:t>Subsidized Housing Inventory (SHI)</w:t>
      </w:r>
    </w:p>
    <w:p w14:paraId="36DD46A5" w14:textId="1C3DB2F4" w:rsidR="00084BC6" w:rsidRDefault="00084BC6" w:rsidP="00084BC6">
      <w:pPr>
        <w:pStyle w:val="BodyTextIndent"/>
        <w:spacing w:after="0"/>
        <w:ind w:left="0"/>
        <w:jc w:val="both"/>
        <w:rPr>
          <w:rFonts w:ascii="Calibri" w:hAnsi="Calibri"/>
          <w:sz w:val="22"/>
          <w:szCs w:val="22"/>
        </w:rPr>
      </w:pPr>
      <w:r w:rsidRPr="00876ECA">
        <w:rPr>
          <w:rFonts w:ascii="Calibri" w:hAnsi="Calibri"/>
          <w:sz w:val="22"/>
          <w:szCs w:val="22"/>
        </w:rPr>
        <w:t>Of the 11,</w:t>
      </w:r>
      <w:r w:rsidR="00C00C0F">
        <w:rPr>
          <w:rFonts w:ascii="Calibri" w:hAnsi="Calibri"/>
          <w:sz w:val="22"/>
          <w:szCs w:val="22"/>
        </w:rPr>
        <w:t>891</w:t>
      </w:r>
      <w:r w:rsidRPr="00876ECA">
        <w:rPr>
          <w:rFonts w:ascii="Calibri" w:hAnsi="Calibri"/>
          <w:sz w:val="22"/>
          <w:szCs w:val="22"/>
        </w:rPr>
        <w:t xml:space="preserve"> year-round housing units in Needham,</w:t>
      </w:r>
      <w:r w:rsidR="00333448">
        <w:rPr>
          <w:rStyle w:val="FootnoteReference"/>
          <w:rFonts w:ascii="Calibri" w:hAnsi="Calibri"/>
          <w:sz w:val="22"/>
          <w:szCs w:val="22"/>
        </w:rPr>
        <w:footnoteReference w:id="28"/>
      </w:r>
      <w:r>
        <w:rPr>
          <w:rFonts w:ascii="Calibri" w:hAnsi="Calibri"/>
          <w:sz w:val="22"/>
          <w:szCs w:val="22"/>
        </w:rPr>
        <w:t xml:space="preserve"> 1,</w:t>
      </w:r>
      <w:r w:rsidR="001B2505">
        <w:rPr>
          <w:rFonts w:ascii="Calibri" w:hAnsi="Calibri"/>
          <w:sz w:val="22"/>
          <w:szCs w:val="22"/>
        </w:rPr>
        <w:t>410</w:t>
      </w:r>
      <w:r>
        <w:rPr>
          <w:rFonts w:ascii="Calibri" w:hAnsi="Calibri"/>
          <w:sz w:val="22"/>
          <w:szCs w:val="22"/>
        </w:rPr>
        <w:t xml:space="preserve"> or </w:t>
      </w:r>
      <w:r w:rsidR="00C00C0F">
        <w:rPr>
          <w:rFonts w:ascii="Calibri" w:hAnsi="Calibri"/>
          <w:sz w:val="22"/>
          <w:szCs w:val="22"/>
        </w:rPr>
        <w:t>11.86</w:t>
      </w:r>
      <w:r>
        <w:rPr>
          <w:rFonts w:ascii="Calibri" w:hAnsi="Calibri"/>
          <w:sz w:val="22"/>
          <w:szCs w:val="22"/>
        </w:rPr>
        <w:t xml:space="preserve">% are </w:t>
      </w:r>
      <w:r w:rsidR="003E2622">
        <w:rPr>
          <w:rFonts w:ascii="Calibri" w:hAnsi="Calibri"/>
          <w:sz w:val="22"/>
          <w:szCs w:val="22"/>
        </w:rPr>
        <w:t>included in the Subsidized Housing Inventory (SHI) maintained</w:t>
      </w:r>
      <w:r>
        <w:rPr>
          <w:rFonts w:ascii="Calibri" w:hAnsi="Calibri"/>
          <w:sz w:val="22"/>
          <w:szCs w:val="22"/>
        </w:rPr>
        <w:t xml:space="preserve"> by the Commonwealth of Massachusetts, up from 841</w:t>
      </w:r>
      <w:r w:rsidRPr="00876ECA">
        <w:rPr>
          <w:rFonts w:ascii="Calibri" w:hAnsi="Calibri"/>
          <w:sz w:val="22"/>
          <w:szCs w:val="22"/>
        </w:rPr>
        <w:t xml:space="preserve"> </w:t>
      </w:r>
      <w:r>
        <w:rPr>
          <w:rFonts w:ascii="Calibri" w:hAnsi="Calibri"/>
          <w:sz w:val="22"/>
          <w:szCs w:val="22"/>
        </w:rPr>
        <w:t>or</w:t>
      </w:r>
      <w:r w:rsidRPr="00876ECA">
        <w:rPr>
          <w:rFonts w:ascii="Calibri" w:hAnsi="Calibri"/>
          <w:sz w:val="22"/>
          <w:szCs w:val="22"/>
        </w:rPr>
        <w:t xml:space="preserve"> 7.6% </w:t>
      </w:r>
      <w:r>
        <w:rPr>
          <w:rFonts w:ascii="Calibri" w:hAnsi="Calibri"/>
          <w:sz w:val="22"/>
          <w:szCs w:val="22"/>
        </w:rPr>
        <w:t xml:space="preserve">in 2015 and </w:t>
      </w:r>
      <w:r w:rsidRPr="00876ECA">
        <w:rPr>
          <w:rFonts w:ascii="Calibri" w:hAnsi="Calibri"/>
          <w:sz w:val="22"/>
          <w:szCs w:val="22"/>
        </w:rPr>
        <w:t xml:space="preserve">425 units </w:t>
      </w:r>
      <w:r>
        <w:rPr>
          <w:rFonts w:ascii="Calibri" w:hAnsi="Calibri"/>
          <w:sz w:val="22"/>
          <w:szCs w:val="22"/>
        </w:rPr>
        <w:t>or</w:t>
      </w:r>
      <w:r w:rsidRPr="00876ECA">
        <w:rPr>
          <w:rFonts w:ascii="Calibri" w:hAnsi="Calibri"/>
          <w:sz w:val="22"/>
          <w:szCs w:val="22"/>
        </w:rPr>
        <w:t xml:space="preserve"> 3.9% in January 2006.</w:t>
      </w:r>
      <w:r w:rsidR="00F93585">
        <w:rPr>
          <w:rStyle w:val="FootnoteReference"/>
          <w:rFonts w:ascii="Calibri" w:hAnsi="Calibri"/>
          <w:sz w:val="22"/>
          <w:szCs w:val="22"/>
        </w:rPr>
        <w:footnoteReference w:id="29"/>
      </w:r>
      <w:r>
        <w:rPr>
          <w:rFonts w:ascii="Calibri" w:hAnsi="Calibri"/>
          <w:sz w:val="22"/>
          <w:szCs w:val="22"/>
        </w:rPr>
        <w:t xml:space="preserve">  </w:t>
      </w:r>
    </w:p>
    <w:p w14:paraId="61EBF258" w14:textId="77777777" w:rsidR="00084BC6" w:rsidRDefault="00084BC6" w:rsidP="00084BC6">
      <w:pPr>
        <w:pStyle w:val="BodyTextIndent"/>
        <w:spacing w:after="0"/>
        <w:ind w:left="0"/>
        <w:jc w:val="both"/>
        <w:rPr>
          <w:rFonts w:ascii="Calibri" w:hAnsi="Calibri"/>
          <w:sz w:val="22"/>
          <w:szCs w:val="22"/>
        </w:rPr>
      </w:pPr>
    </w:p>
    <w:p w14:paraId="33BD01F8" w14:textId="0209B3D4" w:rsidR="00084BC6" w:rsidRPr="00876ECA" w:rsidRDefault="00084BC6" w:rsidP="00084BC6">
      <w:pPr>
        <w:pStyle w:val="BodyTextIndent"/>
        <w:spacing w:after="0"/>
        <w:ind w:left="0"/>
        <w:jc w:val="both"/>
        <w:rPr>
          <w:rFonts w:ascii="Calibri" w:hAnsi="Calibri"/>
          <w:sz w:val="22"/>
          <w:szCs w:val="22"/>
        </w:rPr>
      </w:pPr>
      <w:r w:rsidRPr="00876ECA">
        <w:rPr>
          <w:rFonts w:ascii="Calibri" w:hAnsi="Calibri"/>
          <w:sz w:val="22"/>
          <w:szCs w:val="22"/>
        </w:rPr>
        <w:t>State</w:t>
      </w:r>
      <w:r w:rsidR="00241732">
        <w:rPr>
          <w:rFonts w:ascii="Calibri" w:hAnsi="Calibri"/>
          <w:sz w:val="22"/>
          <w:szCs w:val="22"/>
        </w:rPr>
        <w:t xml:space="preserve"> law through Chapter 40B</w:t>
      </w:r>
      <w:r w:rsidRPr="00876ECA">
        <w:rPr>
          <w:rFonts w:ascii="Calibri" w:hAnsi="Calibri"/>
          <w:sz w:val="22"/>
          <w:szCs w:val="22"/>
        </w:rPr>
        <w:t xml:space="preserve"> has </w:t>
      </w:r>
      <w:r w:rsidR="00241732">
        <w:rPr>
          <w:rFonts w:ascii="Calibri" w:hAnsi="Calibri"/>
          <w:sz w:val="22"/>
          <w:szCs w:val="22"/>
        </w:rPr>
        <w:t>decreed</w:t>
      </w:r>
      <w:r w:rsidRPr="00876ECA">
        <w:rPr>
          <w:rFonts w:ascii="Calibri" w:hAnsi="Calibri"/>
          <w:sz w:val="22"/>
          <w:szCs w:val="22"/>
        </w:rPr>
        <w:t xml:space="preserve"> that if a municipality has less than 10% of its year-round housing stock set-aside for low- and moderate-income residents, it is not meeting the </w:t>
      </w:r>
      <w:r>
        <w:rPr>
          <w:rFonts w:ascii="Calibri" w:hAnsi="Calibri"/>
          <w:sz w:val="22"/>
          <w:szCs w:val="22"/>
        </w:rPr>
        <w:t xml:space="preserve">local and </w:t>
      </w:r>
      <w:r w:rsidRPr="00876ECA">
        <w:rPr>
          <w:rFonts w:ascii="Calibri" w:hAnsi="Calibri"/>
          <w:sz w:val="22"/>
          <w:szCs w:val="22"/>
        </w:rPr>
        <w:t>regional need for affordable housing.  Not meeting this affordability standard makes the locality vulnerable to an override of local zoning if a developer wants to build housing through the comprehensive permit process.</w:t>
      </w:r>
      <w:r w:rsidRPr="00876ECA">
        <w:rPr>
          <w:rStyle w:val="FootnoteReference"/>
          <w:rFonts w:eastAsiaTheme="majorEastAsia"/>
          <w:sz w:val="22"/>
          <w:szCs w:val="22"/>
        </w:rPr>
        <w:footnoteReference w:id="30"/>
      </w:r>
      <w:r w:rsidRPr="00876ECA">
        <w:rPr>
          <w:rFonts w:ascii="Calibri" w:hAnsi="Calibri"/>
          <w:sz w:val="22"/>
          <w:szCs w:val="22"/>
        </w:rPr>
        <w:t xml:space="preserve">  </w:t>
      </w:r>
      <w:r>
        <w:rPr>
          <w:rFonts w:ascii="Calibri" w:hAnsi="Calibri"/>
          <w:sz w:val="22"/>
          <w:szCs w:val="22"/>
        </w:rPr>
        <w:t xml:space="preserve">Consequently, by surpassing the 10% affordable housing threshold, </w:t>
      </w:r>
      <w:r w:rsidRPr="00876ECA">
        <w:rPr>
          <w:rFonts w:ascii="Calibri" w:hAnsi="Calibri"/>
          <w:sz w:val="22"/>
          <w:szCs w:val="22"/>
        </w:rPr>
        <w:t xml:space="preserve">Needham </w:t>
      </w:r>
      <w:r>
        <w:rPr>
          <w:rFonts w:ascii="Calibri" w:hAnsi="Calibri"/>
          <w:sz w:val="22"/>
          <w:szCs w:val="22"/>
        </w:rPr>
        <w:t>will no longer be required to process Chapter 40B comprehensive permit applications that it determines are inappropriate and do not address local housing needs</w:t>
      </w:r>
      <w:r w:rsidRPr="00876ECA">
        <w:rPr>
          <w:rFonts w:ascii="Calibri" w:hAnsi="Calibri"/>
          <w:sz w:val="22"/>
          <w:szCs w:val="22"/>
        </w:rPr>
        <w:t xml:space="preserve">. </w:t>
      </w:r>
      <w:r w:rsidR="001B2505">
        <w:rPr>
          <w:rFonts w:ascii="Calibri" w:hAnsi="Calibri"/>
          <w:sz w:val="22"/>
          <w:szCs w:val="22"/>
        </w:rPr>
        <w:t>This means that Needham has much more control over future development.</w:t>
      </w:r>
      <w:r w:rsidR="00C04CAD">
        <w:rPr>
          <w:rFonts w:ascii="Calibri" w:hAnsi="Calibri"/>
          <w:sz w:val="22"/>
          <w:szCs w:val="22"/>
        </w:rPr>
        <w:t xml:space="preserve">  Maintaining this 10% plus</w:t>
      </w:r>
      <w:r w:rsidR="0091545A">
        <w:rPr>
          <w:rFonts w:ascii="Calibri" w:hAnsi="Calibri"/>
          <w:sz w:val="22"/>
          <w:szCs w:val="22"/>
        </w:rPr>
        <w:t xml:space="preserve"> level of</w:t>
      </w:r>
      <w:r w:rsidR="00C04CAD">
        <w:rPr>
          <w:rFonts w:ascii="Calibri" w:hAnsi="Calibri"/>
          <w:sz w:val="22"/>
          <w:szCs w:val="22"/>
        </w:rPr>
        <w:t xml:space="preserve"> SHI</w:t>
      </w:r>
      <w:r w:rsidR="0091545A">
        <w:rPr>
          <w:rFonts w:ascii="Calibri" w:hAnsi="Calibri"/>
          <w:sz w:val="22"/>
          <w:szCs w:val="22"/>
        </w:rPr>
        <w:t xml:space="preserve"> units</w:t>
      </w:r>
      <w:r w:rsidR="00C04CAD">
        <w:rPr>
          <w:rFonts w:ascii="Calibri" w:hAnsi="Calibri"/>
          <w:sz w:val="22"/>
          <w:szCs w:val="22"/>
        </w:rPr>
        <w:t xml:space="preserve"> is a baseline priority for the Town.</w:t>
      </w:r>
    </w:p>
    <w:p w14:paraId="7501656D" w14:textId="2293A2FB" w:rsidR="00084BC6" w:rsidRDefault="00084BC6" w:rsidP="00084BC6">
      <w:pPr>
        <w:pStyle w:val="BlockText"/>
        <w:ind w:left="0" w:right="0"/>
        <w:jc w:val="both"/>
      </w:pPr>
      <w:r>
        <w:tab/>
      </w:r>
    </w:p>
    <w:p w14:paraId="7A522D43" w14:textId="1421EAA9" w:rsidR="00084BC6" w:rsidRDefault="00084BC6" w:rsidP="001B2505">
      <w:pPr>
        <w:pStyle w:val="BlockText"/>
        <w:ind w:left="0" w:right="0"/>
        <w:jc w:val="both"/>
        <w:rPr>
          <w:rFonts w:asciiTheme="minorHAnsi" w:hAnsiTheme="minorHAnsi"/>
          <w:sz w:val="22"/>
          <w:szCs w:val="22"/>
        </w:rPr>
      </w:pPr>
      <w:r>
        <w:tab/>
      </w:r>
      <w:r w:rsidRPr="001D6272">
        <w:rPr>
          <w:rFonts w:asciiTheme="minorHAnsi" w:hAnsiTheme="minorHAnsi"/>
          <w:sz w:val="22"/>
          <w:szCs w:val="22"/>
        </w:rPr>
        <w:t>Table</w:t>
      </w:r>
      <w:r>
        <w:rPr>
          <w:rFonts w:asciiTheme="minorHAnsi" w:hAnsiTheme="minorHAnsi"/>
          <w:sz w:val="22"/>
          <w:szCs w:val="22"/>
        </w:rPr>
        <w:t xml:space="preserve"> </w:t>
      </w:r>
      <w:r w:rsidR="001B2505">
        <w:rPr>
          <w:rFonts w:asciiTheme="minorHAnsi" w:hAnsiTheme="minorHAnsi"/>
          <w:sz w:val="22"/>
          <w:szCs w:val="22"/>
        </w:rPr>
        <w:t>III-42</w:t>
      </w:r>
      <w:r w:rsidRPr="001D6272">
        <w:rPr>
          <w:rFonts w:asciiTheme="minorHAnsi" w:hAnsiTheme="minorHAnsi"/>
          <w:sz w:val="22"/>
          <w:szCs w:val="22"/>
        </w:rPr>
        <w:t xml:space="preserve"> summarizes those units that are</w:t>
      </w:r>
      <w:r>
        <w:rPr>
          <w:rFonts w:asciiTheme="minorHAnsi" w:hAnsiTheme="minorHAnsi"/>
          <w:sz w:val="22"/>
          <w:szCs w:val="22"/>
        </w:rPr>
        <w:t xml:space="preserve"> </w:t>
      </w:r>
      <w:r w:rsidRPr="001D6272">
        <w:rPr>
          <w:rFonts w:asciiTheme="minorHAnsi" w:hAnsiTheme="minorHAnsi"/>
          <w:sz w:val="22"/>
          <w:szCs w:val="22"/>
        </w:rPr>
        <w:t>included in the Subsidized Housing Inventory (SHI) and thus meet all of the state requirements of affordability</w:t>
      </w:r>
      <w:r w:rsidR="00572636">
        <w:rPr>
          <w:rFonts w:asciiTheme="minorHAnsi" w:hAnsiTheme="minorHAnsi"/>
          <w:sz w:val="22"/>
          <w:szCs w:val="22"/>
        </w:rPr>
        <w:t xml:space="preserve"> including 656 market units that are part of Chapter 40B rental developments</w:t>
      </w:r>
      <w:r w:rsidRPr="001D6272">
        <w:rPr>
          <w:rFonts w:asciiTheme="minorHAnsi" w:hAnsiTheme="minorHAnsi"/>
          <w:sz w:val="22"/>
          <w:szCs w:val="22"/>
        </w:rPr>
        <w:t xml:space="preserve">.  </w:t>
      </w:r>
      <w:r w:rsidR="00AC6196">
        <w:rPr>
          <w:rFonts w:asciiTheme="minorHAnsi" w:hAnsiTheme="minorHAnsi"/>
          <w:sz w:val="22"/>
          <w:szCs w:val="22"/>
        </w:rPr>
        <w:t xml:space="preserve">It should be noted that while still included by the state in the SHI, the 16 units as part of the 1180 Great Plain Avenue rental development may </w:t>
      </w:r>
      <w:r w:rsidR="00081AE9">
        <w:rPr>
          <w:rFonts w:asciiTheme="minorHAnsi" w:hAnsiTheme="minorHAnsi"/>
          <w:sz w:val="22"/>
          <w:szCs w:val="22"/>
        </w:rPr>
        <w:t>be eliminated from the SHI due to litigation filed by an abutter.</w:t>
      </w:r>
    </w:p>
    <w:p w14:paraId="6745CA7C" w14:textId="4C8B43DB" w:rsidR="001B2505" w:rsidRDefault="001B2505" w:rsidP="001B2505">
      <w:pPr>
        <w:pStyle w:val="BlockText"/>
        <w:ind w:left="0" w:right="0"/>
        <w:jc w:val="both"/>
        <w:rPr>
          <w:rFonts w:asciiTheme="minorHAnsi" w:hAnsiTheme="minorHAnsi"/>
          <w:sz w:val="22"/>
          <w:szCs w:val="22"/>
        </w:rPr>
      </w:pPr>
    </w:p>
    <w:p w14:paraId="1C2D48F6" w14:textId="6DF88928" w:rsidR="001B2505" w:rsidRPr="004E50E7" w:rsidRDefault="001B2505" w:rsidP="001B2505">
      <w:pPr>
        <w:ind w:left="720" w:right="-720"/>
        <w:jc w:val="center"/>
        <w:rPr>
          <w:rFonts w:ascii="Calibri" w:hAnsi="Calibri"/>
          <w:b/>
          <w:bCs/>
          <w:sz w:val="22"/>
          <w:szCs w:val="22"/>
        </w:rPr>
      </w:pPr>
      <w:r w:rsidRPr="004E50E7">
        <w:rPr>
          <w:rFonts w:ascii="Calibri" w:hAnsi="Calibri"/>
          <w:b/>
          <w:bCs/>
          <w:sz w:val="22"/>
          <w:szCs w:val="22"/>
        </w:rPr>
        <w:t>Table</w:t>
      </w:r>
      <w:r>
        <w:rPr>
          <w:rFonts w:ascii="Calibri" w:hAnsi="Calibri"/>
          <w:b/>
          <w:bCs/>
          <w:sz w:val="22"/>
          <w:szCs w:val="22"/>
        </w:rPr>
        <w:t xml:space="preserve"> III-42: </w:t>
      </w:r>
      <w:r w:rsidRPr="004E50E7">
        <w:rPr>
          <w:rFonts w:ascii="Calibri" w:hAnsi="Calibri"/>
          <w:b/>
          <w:bCs/>
          <w:sz w:val="22"/>
          <w:szCs w:val="22"/>
        </w:rPr>
        <w:t>Needham’s Subsidized Housing Inventory (SHI)</w:t>
      </w:r>
      <w:r>
        <w:rPr>
          <w:rFonts w:ascii="Calibri" w:hAnsi="Calibri"/>
          <w:b/>
          <w:bCs/>
          <w:sz w:val="22"/>
          <w:szCs w:val="22"/>
        </w:rPr>
        <w:t xml:space="preserve">, </w:t>
      </w:r>
      <w:r w:rsidR="00D023D1">
        <w:rPr>
          <w:rFonts w:ascii="Calibri" w:hAnsi="Calibri"/>
          <w:b/>
          <w:bCs/>
          <w:sz w:val="22"/>
          <w:szCs w:val="22"/>
        </w:rPr>
        <w:t>October 12</w:t>
      </w:r>
      <w:r>
        <w:rPr>
          <w:rFonts w:ascii="Calibri" w:hAnsi="Calibri"/>
          <w:b/>
          <w:bCs/>
          <w:sz w:val="22"/>
          <w:szCs w:val="22"/>
        </w:rPr>
        <w:t>, 2021</w:t>
      </w:r>
    </w:p>
    <w:tbl>
      <w:tblPr>
        <w:tblW w:w="9540" w:type="dxa"/>
        <w:tblLayout w:type="fixed"/>
        <w:tblLook w:val="0000" w:firstRow="0" w:lastRow="0" w:firstColumn="0" w:lastColumn="0" w:noHBand="0" w:noVBand="0"/>
      </w:tblPr>
      <w:tblGrid>
        <w:gridCol w:w="2862"/>
        <w:gridCol w:w="810"/>
        <w:gridCol w:w="2880"/>
        <w:gridCol w:w="1217"/>
        <w:gridCol w:w="1771"/>
      </w:tblGrid>
      <w:tr w:rsidR="001B2505" w:rsidRPr="004E50E7" w14:paraId="42EFCDB6" w14:textId="77777777" w:rsidTr="000A6E84">
        <w:tc>
          <w:tcPr>
            <w:tcW w:w="2862" w:type="dxa"/>
            <w:tcBorders>
              <w:top w:val="single" w:sz="6" w:space="0" w:color="auto"/>
              <w:left w:val="single" w:sz="6" w:space="0" w:color="auto"/>
              <w:bottom w:val="single" w:sz="6" w:space="0" w:color="auto"/>
              <w:right w:val="single" w:sz="6" w:space="0" w:color="auto"/>
            </w:tcBorders>
          </w:tcPr>
          <w:p w14:paraId="1054B6C0" w14:textId="77777777" w:rsidR="001B2505" w:rsidRPr="001D6272" w:rsidRDefault="001B2505" w:rsidP="000A6E84">
            <w:pPr>
              <w:ind w:right="-720"/>
              <w:rPr>
                <w:rFonts w:ascii="Calibri" w:hAnsi="Calibri"/>
                <w:b/>
                <w:bCs/>
              </w:rPr>
            </w:pPr>
          </w:p>
          <w:p w14:paraId="1CF38BC4" w14:textId="77777777" w:rsidR="001B2505" w:rsidRPr="001D6272" w:rsidRDefault="001B2505" w:rsidP="000A6E84">
            <w:pPr>
              <w:pStyle w:val="Heading8"/>
              <w:spacing w:before="0"/>
              <w:rPr>
                <w:rFonts w:ascii="Calibri" w:hAnsi="Calibri"/>
                <w:b/>
                <w:bCs/>
                <w:sz w:val="22"/>
                <w:szCs w:val="22"/>
              </w:rPr>
            </w:pPr>
            <w:r w:rsidRPr="004F6139">
              <w:rPr>
                <w:rFonts w:ascii="Calibri" w:hAnsi="Calibri"/>
                <w:b/>
                <w:bCs/>
                <w:color w:val="auto"/>
                <w:sz w:val="22"/>
                <w:szCs w:val="22"/>
              </w:rPr>
              <w:t>Project Name</w:t>
            </w:r>
          </w:p>
        </w:tc>
        <w:tc>
          <w:tcPr>
            <w:tcW w:w="810" w:type="dxa"/>
            <w:tcBorders>
              <w:top w:val="single" w:sz="6" w:space="0" w:color="auto"/>
              <w:left w:val="single" w:sz="6" w:space="0" w:color="auto"/>
              <w:bottom w:val="single" w:sz="6" w:space="0" w:color="auto"/>
              <w:right w:val="single" w:sz="6" w:space="0" w:color="auto"/>
            </w:tcBorders>
          </w:tcPr>
          <w:p w14:paraId="46459187" w14:textId="77777777" w:rsidR="001B2505" w:rsidRPr="004E50E7" w:rsidRDefault="001B2505" w:rsidP="000A6E84">
            <w:pPr>
              <w:ind w:right="-720"/>
              <w:rPr>
                <w:rFonts w:ascii="Calibri" w:hAnsi="Calibri"/>
                <w:b/>
                <w:bCs/>
              </w:rPr>
            </w:pPr>
            <w:r w:rsidRPr="004E50E7">
              <w:rPr>
                <w:rFonts w:ascii="Calibri" w:hAnsi="Calibri"/>
                <w:b/>
                <w:bCs/>
                <w:sz w:val="22"/>
                <w:szCs w:val="22"/>
              </w:rPr>
              <w:t xml:space="preserve"># SHI </w:t>
            </w:r>
          </w:p>
          <w:p w14:paraId="75ECD223" w14:textId="77777777" w:rsidR="001B2505" w:rsidRPr="004E50E7" w:rsidRDefault="001B2505" w:rsidP="000A6E84">
            <w:pPr>
              <w:ind w:right="-720"/>
              <w:rPr>
                <w:rFonts w:ascii="Calibri" w:hAnsi="Calibri"/>
                <w:b/>
                <w:bCs/>
              </w:rPr>
            </w:pPr>
            <w:r w:rsidRPr="004E50E7">
              <w:rPr>
                <w:rFonts w:ascii="Calibri" w:hAnsi="Calibri"/>
                <w:b/>
                <w:bCs/>
                <w:sz w:val="22"/>
                <w:szCs w:val="22"/>
              </w:rPr>
              <w:t>Units</w:t>
            </w:r>
          </w:p>
        </w:tc>
        <w:tc>
          <w:tcPr>
            <w:tcW w:w="2880" w:type="dxa"/>
            <w:tcBorders>
              <w:top w:val="single" w:sz="6" w:space="0" w:color="auto"/>
              <w:left w:val="single" w:sz="6" w:space="0" w:color="auto"/>
              <w:bottom w:val="single" w:sz="6" w:space="0" w:color="auto"/>
              <w:right w:val="single" w:sz="6" w:space="0" w:color="auto"/>
            </w:tcBorders>
          </w:tcPr>
          <w:p w14:paraId="194690B6" w14:textId="77777777" w:rsidR="001B2505" w:rsidRPr="004E50E7" w:rsidRDefault="001B2505" w:rsidP="000A6E84">
            <w:pPr>
              <w:ind w:right="-720"/>
              <w:rPr>
                <w:rFonts w:ascii="Calibri" w:hAnsi="Calibri"/>
                <w:b/>
                <w:bCs/>
              </w:rPr>
            </w:pPr>
            <w:r w:rsidRPr="004E50E7">
              <w:rPr>
                <w:rFonts w:ascii="Calibri" w:hAnsi="Calibri"/>
                <w:b/>
                <w:bCs/>
                <w:sz w:val="22"/>
                <w:szCs w:val="22"/>
              </w:rPr>
              <w:t>Project Type/</w:t>
            </w:r>
          </w:p>
          <w:p w14:paraId="432A63AB" w14:textId="77777777" w:rsidR="001B2505" w:rsidRPr="004E50E7" w:rsidRDefault="001B2505" w:rsidP="000A6E84">
            <w:pPr>
              <w:ind w:right="-720"/>
              <w:rPr>
                <w:rFonts w:ascii="Calibri" w:hAnsi="Calibri"/>
                <w:b/>
                <w:bCs/>
              </w:rPr>
            </w:pPr>
            <w:r w:rsidRPr="004E50E7">
              <w:rPr>
                <w:rFonts w:ascii="Calibri" w:hAnsi="Calibri"/>
                <w:b/>
                <w:bCs/>
                <w:sz w:val="22"/>
                <w:szCs w:val="22"/>
              </w:rPr>
              <w:t>Subsidizing Agency</w:t>
            </w:r>
          </w:p>
        </w:tc>
        <w:tc>
          <w:tcPr>
            <w:tcW w:w="1217" w:type="dxa"/>
            <w:tcBorders>
              <w:top w:val="single" w:sz="6" w:space="0" w:color="auto"/>
              <w:left w:val="single" w:sz="6" w:space="0" w:color="auto"/>
              <w:bottom w:val="single" w:sz="6" w:space="0" w:color="auto"/>
              <w:right w:val="single" w:sz="6" w:space="0" w:color="auto"/>
            </w:tcBorders>
          </w:tcPr>
          <w:p w14:paraId="4C3E70E3" w14:textId="77777777" w:rsidR="001B2505" w:rsidRPr="004E50E7" w:rsidRDefault="001B2505" w:rsidP="000A6E84">
            <w:pPr>
              <w:ind w:right="-720"/>
              <w:rPr>
                <w:rFonts w:ascii="Calibri" w:hAnsi="Calibri"/>
                <w:b/>
                <w:bCs/>
              </w:rPr>
            </w:pPr>
            <w:r w:rsidRPr="004E50E7">
              <w:rPr>
                <w:rFonts w:ascii="Calibri" w:hAnsi="Calibri"/>
                <w:b/>
                <w:bCs/>
                <w:sz w:val="22"/>
                <w:szCs w:val="22"/>
              </w:rPr>
              <w:t xml:space="preserve">Use of a </w:t>
            </w:r>
          </w:p>
          <w:p w14:paraId="127D7F2C" w14:textId="77777777" w:rsidR="001B2505" w:rsidRPr="004E50E7" w:rsidRDefault="001B2505" w:rsidP="000A6E84">
            <w:pPr>
              <w:ind w:right="-720"/>
              <w:rPr>
                <w:rFonts w:ascii="Calibri" w:hAnsi="Calibri"/>
                <w:b/>
                <w:bCs/>
              </w:rPr>
            </w:pPr>
            <w:r>
              <w:rPr>
                <w:rFonts w:ascii="Calibri" w:hAnsi="Calibri"/>
                <w:b/>
                <w:bCs/>
                <w:sz w:val="22"/>
                <w:szCs w:val="22"/>
              </w:rPr>
              <w:t xml:space="preserve">40B </w:t>
            </w:r>
            <w:r w:rsidRPr="004E50E7">
              <w:rPr>
                <w:rFonts w:ascii="Calibri" w:hAnsi="Calibri"/>
                <w:b/>
                <w:bCs/>
                <w:sz w:val="22"/>
                <w:szCs w:val="22"/>
              </w:rPr>
              <w:t>Comp</w:t>
            </w:r>
          </w:p>
          <w:p w14:paraId="73847221" w14:textId="77777777" w:rsidR="001B2505" w:rsidRPr="004E50E7" w:rsidRDefault="001B2505" w:rsidP="000A6E84">
            <w:pPr>
              <w:ind w:right="-720"/>
              <w:rPr>
                <w:rFonts w:ascii="Calibri" w:hAnsi="Calibri"/>
                <w:b/>
                <w:bCs/>
              </w:rPr>
            </w:pPr>
            <w:r w:rsidRPr="004E50E7">
              <w:rPr>
                <w:rFonts w:ascii="Calibri" w:hAnsi="Calibri"/>
                <w:b/>
                <w:bCs/>
                <w:sz w:val="22"/>
                <w:szCs w:val="22"/>
              </w:rPr>
              <w:t>Permit</w:t>
            </w:r>
          </w:p>
        </w:tc>
        <w:tc>
          <w:tcPr>
            <w:tcW w:w="1771" w:type="dxa"/>
            <w:tcBorders>
              <w:top w:val="single" w:sz="6" w:space="0" w:color="auto"/>
              <w:left w:val="single" w:sz="6" w:space="0" w:color="auto"/>
              <w:bottom w:val="single" w:sz="6" w:space="0" w:color="auto"/>
              <w:right w:val="single" w:sz="6" w:space="0" w:color="auto"/>
            </w:tcBorders>
          </w:tcPr>
          <w:p w14:paraId="3B1B5034" w14:textId="77777777" w:rsidR="001B2505" w:rsidRPr="004E50E7" w:rsidRDefault="001B2505" w:rsidP="000A6E84">
            <w:pPr>
              <w:ind w:right="-720"/>
              <w:rPr>
                <w:rFonts w:ascii="Calibri" w:hAnsi="Calibri"/>
                <w:b/>
                <w:bCs/>
              </w:rPr>
            </w:pPr>
            <w:r w:rsidRPr="004E50E7">
              <w:rPr>
                <w:rFonts w:ascii="Calibri" w:hAnsi="Calibri"/>
                <w:b/>
                <w:bCs/>
                <w:sz w:val="22"/>
                <w:szCs w:val="22"/>
              </w:rPr>
              <w:t>Affordability</w:t>
            </w:r>
          </w:p>
          <w:p w14:paraId="21E0AA3E" w14:textId="77777777" w:rsidR="001B2505" w:rsidRPr="004E50E7" w:rsidRDefault="001B2505" w:rsidP="000A6E84">
            <w:pPr>
              <w:ind w:right="-720"/>
              <w:rPr>
                <w:rFonts w:ascii="Calibri" w:hAnsi="Calibri"/>
                <w:b/>
                <w:bCs/>
              </w:rPr>
            </w:pPr>
            <w:r w:rsidRPr="004E50E7">
              <w:rPr>
                <w:rFonts w:ascii="Calibri" w:hAnsi="Calibri"/>
                <w:b/>
                <w:bCs/>
                <w:sz w:val="22"/>
                <w:szCs w:val="22"/>
              </w:rPr>
              <w:t>Expiration Date</w:t>
            </w:r>
          </w:p>
        </w:tc>
      </w:tr>
      <w:tr w:rsidR="001B2505" w:rsidRPr="004E50E7" w14:paraId="7F619A46" w14:textId="77777777" w:rsidTr="000A6E84">
        <w:tc>
          <w:tcPr>
            <w:tcW w:w="2862" w:type="dxa"/>
            <w:tcBorders>
              <w:top w:val="single" w:sz="6" w:space="0" w:color="auto"/>
              <w:left w:val="single" w:sz="6" w:space="0" w:color="auto"/>
              <w:bottom w:val="single" w:sz="6" w:space="0" w:color="auto"/>
              <w:right w:val="single" w:sz="6" w:space="0" w:color="auto"/>
            </w:tcBorders>
          </w:tcPr>
          <w:p w14:paraId="04B39A02" w14:textId="77777777" w:rsidR="001B2505" w:rsidRPr="004E50E7" w:rsidRDefault="001B2505" w:rsidP="000A6E84">
            <w:pPr>
              <w:ind w:right="-720"/>
              <w:rPr>
                <w:rFonts w:ascii="Calibri" w:hAnsi="Calibri"/>
                <w:sz w:val="20"/>
              </w:rPr>
            </w:pPr>
            <w:r w:rsidRPr="004E50E7">
              <w:rPr>
                <w:rFonts w:ascii="Calibri" w:hAnsi="Calibri"/>
                <w:sz w:val="20"/>
                <w:szCs w:val="22"/>
              </w:rPr>
              <w:t>Cook’s Bridge (Captain Robert</w:t>
            </w:r>
          </w:p>
          <w:p w14:paraId="7927FEDD" w14:textId="77777777" w:rsidR="001B2505" w:rsidRPr="004E50E7" w:rsidRDefault="001B2505" w:rsidP="000A6E84">
            <w:pPr>
              <w:ind w:right="-720"/>
              <w:rPr>
                <w:rFonts w:ascii="Calibri" w:hAnsi="Calibri"/>
                <w:sz w:val="20"/>
              </w:rPr>
            </w:pPr>
            <w:r w:rsidRPr="004E50E7">
              <w:rPr>
                <w:rFonts w:ascii="Calibri" w:hAnsi="Calibri"/>
                <w:sz w:val="20"/>
                <w:szCs w:val="22"/>
              </w:rPr>
              <w:t>Cook Drive and Seabeds Way)*</w:t>
            </w:r>
          </w:p>
        </w:tc>
        <w:tc>
          <w:tcPr>
            <w:tcW w:w="810" w:type="dxa"/>
            <w:tcBorders>
              <w:top w:val="single" w:sz="6" w:space="0" w:color="auto"/>
              <w:left w:val="single" w:sz="6" w:space="0" w:color="auto"/>
              <w:bottom w:val="single" w:sz="6" w:space="0" w:color="auto"/>
              <w:right w:val="single" w:sz="6" w:space="0" w:color="auto"/>
            </w:tcBorders>
          </w:tcPr>
          <w:p w14:paraId="0E6950B6" w14:textId="77777777" w:rsidR="001B2505" w:rsidRPr="004E50E7" w:rsidRDefault="001B2505" w:rsidP="000A6E84">
            <w:pPr>
              <w:ind w:right="-720"/>
              <w:rPr>
                <w:rFonts w:ascii="Calibri" w:hAnsi="Calibri"/>
                <w:sz w:val="20"/>
              </w:rPr>
            </w:pPr>
            <w:r w:rsidRPr="004E50E7">
              <w:rPr>
                <w:rFonts w:ascii="Calibri" w:hAnsi="Calibri"/>
                <w:sz w:val="20"/>
                <w:szCs w:val="22"/>
              </w:rPr>
              <w:t>76</w:t>
            </w:r>
          </w:p>
        </w:tc>
        <w:tc>
          <w:tcPr>
            <w:tcW w:w="2880" w:type="dxa"/>
            <w:tcBorders>
              <w:top w:val="single" w:sz="6" w:space="0" w:color="auto"/>
              <w:left w:val="single" w:sz="6" w:space="0" w:color="auto"/>
              <w:bottom w:val="single" w:sz="6" w:space="0" w:color="auto"/>
              <w:right w:val="single" w:sz="6" w:space="0" w:color="auto"/>
            </w:tcBorders>
          </w:tcPr>
          <w:p w14:paraId="794A034C" w14:textId="77777777" w:rsidR="001B2505" w:rsidRPr="004E50E7" w:rsidRDefault="001B2505" w:rsidP="000A6E84">
            <w:pPr>
              <w:ind w:right="-720"/>
              <w:rPr>
                <w:rFonts w:ascii="Calibri" w:hAnsi="Calibri"/>
                <w:sz w:val="20"/>
              </w:rPr>
            </w:pPr>
            <w:r w:rsidRPr="004E50E7">
              <w:rPr>
                <w:rFonts w:ascii="Calibri" w:hAnsi="Calibri"/>
                <w:sz w:val="20"/>
                <w:szCs w:val="22"/>
              </w:rPr>
              <w:t>Rental/HUD</w:t>
            </w:r>
          </w:p>
        </w:tc>
        <w:tc>
          <w:tcPr>
            <w:tcW w:w="1217" w:type="dxa"/>
            <w:tcBorders>
              <w:top w:val="single" w:sz="6" w:space="0" w:color="auto"/>
              <w:left w:val="single" w:sz="6" w:space="0" w:color="auto"/>
              <w:bottom w:val="single" w:sz="6" w:space="0" w:color="auto"/>
              <w:right w:val="single" w:sz="6" w:space="0" w:color="auto"/>
            </w:tcBorders>
          </w:tcPr>
          <w:p w14:paraId="276D68C1" w14:textId="77777777" w:rsidR="001B2505" w:rsidRPr="004E50E7" w:rsidRDefault="001B2505" w:rsidP="000A6E84">
            <w:pPr>
              <w:ind w:right="-720"/>
              <w:rPr>
                <w:rFonts w:ascii="Calibri" w:hAnsi="Calibri"/>
                <w:sz w:val="20"/>
              </w:rPr>
            </w:pPr>
            <w:r w:rsidRPr="004E50E7">
              <w:rPr>
                <w:rFonts w:ascii="Calibri" w:hAnsi="Calibri"/>
                <w:sz w:val="20"/>
                <w:szCs w:val="22"/>
              </w:rPr>
              <w:t xml:space="preserve">No </w:t>
            </w:r>
          </w:p>
        </w:tc>
        <w:tc>
          <w:tcPr>
            <w:tcW w:w="1771" w:type="dxa"/>
            <w:tcBorders>
              <w:top w:val="single" w:sz="6" w:space="0" w:color="auto"/>
              <w:left w:val="single" w:sz="6" w:space="0" w:color="auto"/>
              <w:bottom w:val="single" w:sz="6" w:space="0" w:color="auto"/>
              <w:right w:val="single" w:sz="6" w:space="0" w:color="auto"/>
            </w:tcBorders>
          </w:tcPr>
          <w:p w14:paraId="2B588E8E"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29233D0C" w14:textId="77777777" w:rsidTr="000A6E84">
        <w:tc>
          <w:tcPr>
            <w:tcW w:w="2862" w:type="dxa"/>
            <w:tcBorders>
              <w:top w:val="single" w:sz="6" w:space="0" w:color="auto"/>
              <w:left w:val="single" w:sz="6" w:space="0" w:color="auto"/>
              <w:bottom w:val="single" w:sz="6" w:space="0" w:color="auto"/>
              <w:right w:val="single" w:sz="6" w:space="0" w:color="auto"/>
            </w:tcBorders>
          </w:tcPr>
          <w:p w14:paraId="5E687493" w14:textId="77777777" w:rsidR="001B2505" w:rsidRPr="004E50E7" w:rsidRDefault="001B2505" w:rsidP="000A6E84">
            <w:pPr>
              <w:ind w:right="-720"/>
              <w:rPr>
                <w:rFonts w:ascii="Calibri" w:hAnsi="Calibri"/>
                <w:sz w:val="20"/>
              </w:rPr>
            </w:pPr>
            <w:r w:rsidRPr="004E50E7">
              <w:rPr>
                <w:rFonts w:ascii="Calibri" w:hAnsi="Calibri"/>
                <w:sz w:val="20"/>
                <w:szCs w:val="22"/>
              </w:rPr>
              <w:t>High Rock Estates*</w:t>
            </w:r>
          </w:p>
        </w:tc>
        <w:tc>
          <w:tcPr>
            <w:tcW w:w="810" w:type="dxa"/>
            <w:tcBorders>
              <w:top w:val="single" w:sz="6" w:space="0" w:color="auto"/>
              <w:left w:val="single" w:sz="6" w:space="0" w:color="auto"/>
              <w:bottom w:val="single" w:sz="6" w:space="0" w:color="auto"/>
              <w:right w:val="single" w:sz="6" w:space="0" w:color="auto"/>
            </w:tcBorders>
          </w:tcPr>
          <w:p w14:paraId="684D2310" w14:textId="77777777" w:rsidR="001B2505" w:rsidRPr="004E50E7" w:rsidRDefault="001B2505" w:rsidP="000A6E84">
            <w:pPr>
              <w:ind w:right="-720"/>
              <w:rPr>
                <w:rFonts w:ascii="Calibri" w:hAnsi="Calibri"/>
                <w:sz w:val="20"/>
              </w:rPr>
            </w:pPr>
            <w:r w:rsidRPr="004E50E7">
              <w:rPr>
                <w:rFonts w:ascii="Calibri" w:hAnsi="Calibri"/>
                <w:sz w:val="20"/>
                <w:szCs w:val="22"/>
              </w:rPr>
              <w:t>80</w:t>
            </w:r>
          </w:p>
        </w:tc>
        <w:tc>
          <w:tcPr>
            <w:tcW w:w="2880" w:type="dxa"/>
            <w:tcBorders>
              <w:top w:val="single" w:sz="6" w:space="0" w:color="auto"/>
              <w:left w:val="single" w:sz="6" w:space="0" w:color="auto"/>
              <w:bottom w:val="single" w:sz="6" w:space="0" w:color="auto"/>
              <w:right w:val="single" w:sz="6" w:space="0" w:color="auto"/>
            </w:tcBorders>
          </w:tcPr>
          <w:p w14:paraId="7246F9B9" w14:textId="6CAA3980" w:rsidR="001B2505" w:rsidRPr="004E50E7" w:rsidRDefault="001B2505" w:rsidP="000A6E84">
            <w:pPr>
              <w:ind w:right="-720"/>
              <w:rPr>
                <w:rFonts w:ascii="Calibri" w:hAnsi="Calibri"/>
                <w:sz w:val="20"/>
              </w:rPr>
            </w:pPr>
            <w:r w:rsidRPr="004E50E7">
              <w:rPr>
                <w:rFonts w:ascii="Calibri" w:hAnsi="Calibri"/>
                <w:sz w:val="20"/>
                <w:szCs w:val="22"/>
              </w:rPr>
              <w:t>Rental/H</w:t>
            </w:r>
            <w:r w:rsidR="00B3704F">
              <w:rPr>
                <w:rFonts w:ascii="Calibri" w:hAnsi="Calibri"/>
                <w:sz w:val="20"/>
                <w:szCs w:val="22"/>
              </w:rPr>
              <w:t>U</w:t>
            </w:r>
            <w:r w:rsidRPr="004E50E7">
              <w:rPr>
                <w:rFonts w:ascii="Calibri" w:hAnsi="Calibri"/>
                <w:sz w:val="20"/>
                <w:szCs w:val="22"/>
              </w:rPr>
              <w:t>D</w:t>
            </w:r>
          </w:p>
        </w:tc>
        <w:tc>
          <w:tcPr>
            <w:tcW w:w="1217" w:type="dxa"/>
            <w:tcBorders>
              <w:top w:val="single" w:sz="6" w:space="0" w:color="auto"/>
              <w:left w:val="single" w:sz="6" w:space="0" w:color="auto"/>
              <w:bottom w:val="single" w:sz="6" w:space="0" w:color="auto"/>
              <w:right w:val="single" w:sz="6" w:space="0" w:color="auto"/>
            </w:tcBorders>
          </w:tcPr>
          <w:p w14:paraId="27E7110A" w14:textId="77777777" w:rsidR="001B2505" w:rsidRPr="004E50E7" w:rsidRDefault="001B2505" w:rsidP="000A6E84">
            <w:pPr>
              <w:ind w:right="-720"/>
              <w:rPr>
                <w:rFonts w:ascii="Calibri" w:hAnsi="Calibri"/>
                <w:sz w:val="20"/>
              </w:rPr>
            </w:pPr>
            <w:r w:rsidRPr="004E50E7">
              <w:rPr>
                <w:rFonts w:ascii="Calibri" w:hAnsi="Calibri"/>
                <w:sz w:val="20"/>
                <w:szCs w:val="22"/>
              </w:rPr>
              <w:t xml:space="preserve">No </w:t>
            </w:r>
          </w:p>
        </w:tc>
        <w:tc>
          <w:tcPr>
            <w:tcW w:w="1771" w:type="dxa"/>
            <w:tcBorders>
              <w:top w:val="single" w:sz="6" w:space="0" w:color="auto"/>
              <w:left w:val="single" w:sz="6" w:space="0" w:color="auto"/>
              <w:bottom w:val="single" w:sz="6" w:space="0" w:color="auto"/>
              <w:right w:val="single" w:sz="6" w:space="0" w:color="auto"/>
            </w:tcBorders>
          </w:tcPr>
          <w:p w14:paraId="66857696"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5A31A265" w14:textId="77777777" w:rsidTr="000A6E84">
        <w:tc>
          <w:tcPr>
            <w:tcW w:w="2862" w:type="dxa"/>
            <w:tcBorders>
              <w:top w:val="single" w:sz="6" w:space="0" w:color="auto"/>
              <w:left w:val="single" w:sz="6" w:space="0" w:color="auto"/>
              <w:bottom w:val="single" w:sz="6" w:space="0" w:color="auto"/>
              <w:right w:val="single" w:sz="6" w:space="0" w:color="auto"/>
            </w:tcBorders>
          </w:tcPr>
          <w:p w14:paraId="47E9C60F" w14:textId="77777777" w:rsidR="001B2505" w:rsidRPr="004E50E7" w:rsidRDefault="001B2505" w:rsidP="000A6E84">
            <w:pPr>
              <w:ind w:right="-720"/>
              <w:rPr>
                <w:rFonts w:ascii="Calibri" w:hAnsi="Calibri"/>
                <w:sz w:val="20"/>
              </w:rPr>
            </w:pPr>
            <w:r w:rsidRPr="004E50E7">
              <w:rPr>
                <w:rFonts w:ascii="Calibri" w:hAnsi="Calibri"/>
                <w:sz w:val="20"/>
                <w:szCs w:val="22"/>
              </w:rPr>
              <w:t>138-158 Linden Street*</w:t>
            </w:r>
          </w:p>
        </w:tc>
        <w:tc>
          <w:tcPr>
            <w:tcW w:w="810" w:type="dxa"/>
            <w:tcBorders>
              <w:top w:val="single" w:sz="6" w:space="0" w:color="auto"/>
              <w:left w:val="single" w:sz="6" w:space="0" w:color="auto"/>
              <w:bottom w:val="single" w:sz="6" w:space="0" w:color="auto"/>
              <w:right w:val="single" w:sz="6" w:space="0" w:color="auto"/>
            </w:tcBorders>
          </w:tcPr>
          <w:p w14:paraId="6E5FF8F9" w14:textId="77777777" w:rsidR="001B2505" w:rsidRPr="004E50E7" w:rsidRDefault="001B2505" w:rsidP="000A6E84">
            <w:pPr>
              <w:ind w:right="-720"/>
              <w:rPr>
                <w:rFonts w:ascii="Calibri" w:hAnsi="Calibri"/>
                <w:sz w:val="20"/>
              </w:rPr>
            </w:pPr>
            <w:r w:rsidRPr="004E50E7">
              <w:rPr>
                <w:rFonts w:ascii="Calibri" w:hAnsi="Calibri"/>
                <w:sz w:val="20"/>
                <w:szCs w:val="22"/>
              </w:rPr>
              <w:t>32</w:t>
            </w:r>
          </w:p>
        </w:tc>
        <w:tc>
          <w:tcPr>
            <w:tcW w:w="2880" w:type="dxa"/>
            <w:tcBorders>
              <w:top w:val="single" w:sz="6" w:space="0" w:color="auto"/>
              <w:left w:val="single" w:sz="6" w:space="0" w:color="auto"/>
              <w:bottom w:val="single" w:sz="6" w:space="0" w:color="auto"/>
              <w:right w:val="single" w:sz="6" w:space="0" w:color="auto"/>
            </w:tcBorders>
          </w:tcPr>
          <w:p w14:paraId="72DF6C41" w14:textId="77777777" w:rsidR="001B2505" w:rsidRPr="004E50E7" w:rsidRDefault="001B2505" w:rsidP="000A6E84">
            <w:pPr>
              <w:ind w:right="-720"/>
              <w:rPr>
                <w:rFonts w:ascii="Calibri" w:hAnsi="Calibri"/>
                <w:sz w:val="20"/>
              </w:rPr>
            </w:pPr>
            <w:r w:rsidRPr="004E50E7">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0048E6F0" w14:textId="77777777" w:rsidR="001B2505" w:rsidRPr="004E50E7" w:rsidRDefault="001B2505" w:rsidP="000A6E84">
            <w:pPr>
              <w:ind w:right="-720"/>
              <w:rPr>
                <w:rFonts w:ascii="Calibri" w:hAnsi="Calibri"/>
                <w:sz w:val="20"/>
              </w:rPr>
            </w:pPr>
            <w:r w:rsidRPr="004E50E7">
              <w:rPr>
                <w:rFonts w:ascii="Calibri" w:hAnsi="Calibri"/>
                <w:sz w:val="20"/>
                <w:szCs w:val="22"/>
              </w:rPr>
              <w:t xml:space="preserve">No </w:t>
            </w:r>
          </w:p>
        </w:tc>
        <w:tc>
          <w:tcPr>
            <w:tcW w:w="1771" w:type="dxa"/>
            <w:tcBorders>
              <w:top w:val="single" w:sz="6" w:space="0" w:color="auto"/>
              <w:left w:val="single" w:sz="6" w:space="0" w:color="auto"/>
              <w:bottom w:val="single" w:sz="6" w:space="0" w:color="auto"/>
              <w:right w:val="single" w:sz="6" w:space="0" w:color="auto"/>
            </w:tcBorders>
          </w:tcPr>
          <w:p w14:paraId="07D03944"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16710F7C" w14:textId="77777777" w:rsidTr="000A6E84">
        <w:tc>
          <w:tcPr>
            <w:tcW w:w="2862" w:type="dxa"/>
            <w:tcBorders>
              <w:top w:val="single" w:sz="6" w:space="0" w:color="auto"/>
              <w:left w:val="single" w:sz="6" w:space="0" w:color="auto"/>
              <w:bottom w:val="single" w:sz="6" w:space="0" w:color="auto"/>
              <w:right w:val="single" w:sz="6" w:space="0" w:color="auto"/>
            </w:tcBorders>
          </w:tcPr>
          <w:p w14:paraId="3D2FE9DA" w14:textId="77777777" w:rsidR="001B2505" w:rsidRPr="004E50E7" w:rsidRDefault="001B2505" w:rsidP="000A6E84">
            <w:pPr>
              <w:ind w:right="-720"/>
              <w:rPr>
                <w:rFonts w:ascii="Calibri" w:hAnsi="Calibri"/>
                <w:sz w:val="20"/>
              </w:rPr>
            </w:pPr>
            <w:r w:rsidRPr="004E50E7">
              <w:rPr>
                <w:rFonts w:ascii="Calibri" w:hAnsi="Calibri"/>
                <w:sz w:val="20"/>
                <w:szCs w:val="22"/>
              </w:rPr>
              <w:t>168-188 Linden Street*</w:t>
            </w:r>
          </w:p>
        </w:tc>
        <w:tc>
          <w:tcPr>
            <w:tcW w:w="810" w:type="dxa"/>
            <w:tcBorders>
              <w:top w:val="single" w:sz="6" w:space="0" w:color="auto"/>
              <w:left w:val="single" w:sz="6" w:space="0" w:color="auto"/>
              <w:bottom w:val="single" w:sz="6" w:space="0" w:color="auto"/>
              <w:right w:val="single" w:sz="6" w:space="0" w:color="auto"/>
            </w:tcBorders>
          </w:tcPr>
          <w:p w14:paraId="722B33B3" w14:textId="77777777" w:rsidR="001B2505" w:rsidRPr="004E50E7" w:rsidRDefault="001B2505" w:rsidP="000A6E84">
            <w:pPr>
              <w:ind w:right="-720"/>
              <w:rPr>
                <w:rFonts w:ascii="Calibri" w:hAnsi="Calibri"/>
                <w:sz w:val="20"/>
              </w:rPr>
            </w:pPr>
            <w:r w:rsidRPr="004E50E7">
              <w:rPr>
                <w:rFonts w:ascii="Calibri" w:hAnsi="Calibri"/>
                <w:sz w:val="20"/>
                <w:szCs w:val="22"/>
              </w:rPr>
              <w:t>40</w:t>
            </w:r>
          </w:p>
        </w:tc>
        <w:tc>
          <w:tcPr>
            <w:tcW w:w="2880" w:type="dxa"/>
            <w:tcBorders>
              <w:top w:val="single" w:sz="6" w:space="0" w:color="auto"/>
              <w:left w:val="single" w:sz="6" w:space="0" w:color="auto"/>
              <w:bottom w:val="single" w:sz="6" w:space="0" w:color="auto"/>
              <w:right w:val="single" w:sz="6" w:space="0" w:color="auto"/>
            </w:tcBorders>
          </w:tcPr>
          <w:p w14:paraId="7E6B3C41" w14:textId="77777777" w:rsidR="001B2505" w:rsidRPr="004E50E7" w:rsidRDefault="001B2505" w:rsidP="000A6E84">
            <w:pPr>
              <w:ind w:right="-720"/>
              <w:rPr>
                <w:rFonts w:ascii="Calibri" w:hAnsi="Calibri"/>
                <w:sz w:val="20"/>
              </w:rPr>
            </w:pPr>
            <w:r w:rsidRPr="004E50E7">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72F38EE8"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04BE5FE2"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2CF74059" w14:textId="77777777" w:rsidTr="000A6E84">
        <w:tc>
          <w:tcPr>
            <w:tcW w:w="2862" w:type="dxa"/>
            <w:tcBorders>
              <w:top w:val="single" w:sz="6" w:space="0" w:color="auto"/>
              <w:left w:val="single" w:sz="6" w:space="0" w:color="auto"/>
              <w:bottom w:val="single" w:sz="6" w:space="0" w:color="auto"/>
              <w:right w:val="single" w:sz="6" w:space="0" w:color="auto"/>
            </w:tcBorders>
          </w:tcPr>
          <w:p w14:paraId="0A6BCC3C" w14:textId="77777777" w:rsidR="001B2505" w:rsidRPr="004E50E7" w:rsidRDefault="001B2505" w:rsidP="000A6E84">
            <w:pPr>
              <w:ind w:right="-720"/>
              <w:rPr>
                <w:rFonts w:ascii="Calibri" w:hAnsi="Calibri"/>
                <w:sz w:val="20"/>
              </w:rPr>
            </w:pPr>
            <w:r w:rsidRPr="004E50E7">
              <w:rPr>
                <w:rFonts w:ascii="Calibri" w:hAnsi="Calibri"/>
                <w:sz w:val="20"/>
                <w:szCs w:val="22"/>
              </w:rPr>
              <w:t>15-42 Chambers Street*</w:t>
            </w:r>
          </w:p>
        </w:tc>
        <w:tc>
          <w:tcPr>
            <w:tcW w:w="810" w:type="dxa"/>
            <w:tcBorders>
              <w:top w:val="single" w:sz="6" w:space="0" w:color="auto"/>
              <w:left w:val="single" w:sz="6" w:space="0" w:color="auto"/>
              <w:bottom w:val="single" w:sz="6" w:space="0" w:color="auto"/>
              <w:right w:val="single" w:sz="6" w:space="0" w:color="auto"/>
            </w:tcBorders>
          </w:tcPr>
          <w:p w14:paraId="6486D883" w14:textId="77777777" w:rsidR="001B2505" w:rsidRPr="004E50E7" w:rsidRDefault="001B2505" w:rsidP="000A6E84">
            <w:pPr>
              <w:ind w:right="-720"/>
              <w:rPr>
                <w:rFonts w:ascii="Calibri" w:hAnsi="Calibri"/>
                <w:sz w:val="20"/>
              </w:rPr>
            </w:pPr>
            <w:r w:rsidRPr="004E50E7">
              <w:rPr>
                <w:rFonts w:ascii="Calibri" w:hAnsi="Calibri"/>
                <w:sz w:val="20"/>
                <w:szCs w:val="22"/>
              </w:rPr>
              <w:t>80</w:t>
            </w:r>
          </w:p>
        </w:tc>
        <w:tc>
          <w:tcPr>
            <w:tcW w:w="2880" w:type="dxa"/>
            <w:tcBorders>
              <w:top w:val="single" w:sz="6" w:space="0" w:color="auto"/>
              <w:left w:val="single" w:sz="6" w:space="0" w:color="auto"/>
              <w:bottom w:val="single" w:sz="6" w:space="0" w:color="auto"/>
              <w:right w:val="single" w:sz="6" w:space="0" w:color="auto"/>
            </w:tcBorders>
          </w:tcPr>
          <w:p w14:paraId="242CF4B4" w14:textId="77777777" w:rsidR="001B2505" w:rsidRPr="004E50E7" w:rsidRDefault="001B2505" w:rsidP="000A6E84">
            <w:pPr>
              <w:ind w:right="-720"/>
              <w:rPr>
                <w:rFonts w:ascii="Calibri" w:hAnsi="Calibri"/>
                <w:sz w:val="20"/>
              </w:rPr>
            </w:pPr>
            <w:r w:rsidRPr="004E50E7">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6BB4726F" w14:textId="77777777" w:rsidR="001B2505" w:rsidRPr="004E50E7" w:rsidRDefault="001B2505" w:rsidP="000A6E84">
            <w:pPr>
              <w:ind w:right="-720"/>
              <w:rPr>
                <w:rFonts w:ascii="Calibri" w:hAnsi="Calibri"/>
                <w:sz w:val="20"/>
              </w:rPr>
            </w:pPr>
            <w:r w:rsidRPr="004E50E7">
              <w:rPr>
                <w:rFonts w:ascii="Calibri" w:hAnsi="Calibri"/>
                <w:sz w:val="20"/>
                <w:szCs w:val="22"/>
              </w:rPr>
              <w:t xml:space="preserve">No </w:t>
            </w:r>
          </w:p>
        </w:tc>
        <w:tc>
          <w:tcPr>
            <w:tcW w:w="1771" w:type="dxa"/>
            <w:tcBorders>
              <w:top w:val="single" w:sz="6" w:space="0" w:color="auto"/>
              <w:left w:val="single" w:sz="6" w:space="0" w:color="auto"/>
              <w:bottom w:val="single" w:sz="6" w:space="0" w:color="auto"/>
              <w:right w:val="single" w:sz="6" w:space="0" w:color="auto"/>
            </w:tcBorders>
          </w:tcPr>
          <w:p w14:paraId="0496EC63"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39FCCFE8" w14:textId="77777777" w:rsidTr="000A6E84">
        <w:tc>
          <w:tcPr>
            <w:tcW w:w="2862" w:type="dxa"/>
            <w:tcBorders>
              <w:top w:val="single" w:sz="6" w:space="0" w:color="auto"/>
              <w:left w:val="single" w:sz="6" w:space="0" w:color="auto"/>
              <w:bottom w:val="single" w:sz="6" w:space="0" w:color="auto"/>
              <w:right w:val="single" w:sz="6" w:space="0" w:color="auto"/>
            </w:tcBorders>
          </w:tcPr>
          <w:p w14:paraId="246C5A85" w14:textId="77777777" w:rsidR="001B2505" w:rsidRPr="004E50E7" w:rsidRDefault="001B2505" w:rsidP="000A6E84">
            <w:pPr>
              <w:ind w:right="-720"/>
              <w:rPr>
                <w:rFonts w:ascii="Calibri" w:hAnsi="Calibri"/>
                <w:sz w:val="20"/>
              </w:rPr>
            </w:pPr>
            <w:r w:rsidRPr="004E50E7">
              <w:rPr>
                <w:rFonts w:ascii="Calibri" w:hAnsi="Calibri"/>
                <w:sz w:val="20"/>
                <w:szCs w:val="22"/>
              </w:rPr>
              <w:t>Matthews House/</w:t>
            </w:r>
          </w:p>
          <w:p w14:paraId="6BD95F07" w14:textId="77777777" w:rsidR="001B2505" w:rsidRPr="004E50E7" w:rsidRDefault="001B2505" w:rsidP="000A6E84">
            <w:pPr>
              <w:ind w:right="-720"/>
              <w:rPr>
                <w:rFonts w:ascii="Calibri" w:hAnsi="Calibri"/>
                <w:sz w:val="20"/>
              </w:rPr>
            </w:pPr>
            <w:r w:rsidRPr="004E50E7">
              <w:rPr>
                <w:rFonts w:ascii="Calibri" w:hAnsi="Calibri"/>
                <w:sz w:val="20"/>
                <w:szCs w:val="22"/>
              </w:rPr>
              <w:t>1415 Great Plain Ave.*/**</w:t>
            </w:r>
          </w:p>
        </w:tc>
        <w:tc>
          <w:tcPr>
            <w:tcW w:w="810" w:type="dxa"/>
            <w:tcBorders>
              <w:top w:val="single" w:sz="6" w:space="0" w:color="auto"/>
              <w:left w:val="single" w:sz="6" w:space="0" w:color="auto"/>
              <w:bottom w:val="single" w:sz="6" w:space="0" w:color="auto"/>
              <w:right w:val="single" w:sz="6" w:space="0" w:color="auto"/>
            </w:tcBorders>
          </w:tcPr>
          <w:p w14:paraId="0D1F9106" w14:textId="77777777" w:rsidR="001B2505" w:rsidRPr="004E50E7" w:rsidRDefault="001B2505" w:rsidP="000A6E84">
            <w:pPr>
              <w:ind w:right="-720"/>
              <w:rPr>
                <w:rFonts w:ascii="Calibri" w:hAnsi="Calibri"/>
                <w:sz w:val="20"/>
              </w:rPr>
            </w:pPr>
            <w:r w:rsidRPr="004E50E7">
              <w:rPr>
                <w:rFonts w:ascii="Calibri" w:hAnsi="Calibri"/>
                <w:sz w:val="20"/>
                <w:szCs w:val="22"/>
              </w:rPr>
              <w:t>8</w:t>
            </w:r>
          </w:p>
        </w:tc>
        <w:tc>
          <w:tcPr>
            <w:tcW w:w="2880" w:type="dxa"/>
            <w:tcBorders>
              <w:top w:val="single" w:sz="6" w:space="0" w:color="auto"/>
              <w:left w:val="single" w:sz="6" w:space="0" w:color="auto"/>
              <w:bottom w:val="single" w:sz="6" w:space="0" w:color="auto"/>
              <w:right w:val="single" w:sz="6" w:space="0" w:color="auto"/>
            </w:tcBorders>
          </w:tcPr>
          <w:p w14:paraId="0F0B41DD" w14:textId="77777777" w:rsidR="001B2505" w:rsidRPr="004E50E7" w:rsidRDefault="001B2505" w:rsidP="000A6E84">
            <w:pPr>
              <w:ind w:right="-720"/>
              <w:rPr>
                <w:rFonts w:ascii="Calibri" w:hAnsi="Calibri"/>
                <w:sz w:val="20"/>
              </w:rPr>
            </w:pPr>
            <w:r w:rsidRPr="004E50E7">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3DEA74FB" w14:textId="77777777" w:rsidR="001B2505" w:rsidRPr="004E50E7" w:rsidRDefault="001B2505" w:rsidP="000A6E84">
            <w:pPr>
              <w:ind w:right="-720"/>
              <w:rPr>
                <w:rFonts w:ascii="Calibri" w:hAnsi="Calibri"/>
                <w:sz w:val="20"/>
              </w:rPr>
            </w:pPr>
            <w:r w:rsidRPr="004E50E7">
              <w:rPr>
                <w:rFonts w:ascii="Calibri" w:hAnsi="Calibri"/>
                <w:sz w:val="20"/>
                <w:szCs w:val="22"/>
              </w:rPr>
              <w:t xml:space="preserve">No </w:t>
            </w:r>
          </w:p>
        </w:tc>
        <w:tc>
          <w:tcPr>
            <w:tcW w:w="1771" w:type="dxa"/>
            <w:tcBorders>
              <w:top w:val="single" w:sz="6" w:space="0" w:color="auto"/>
              <w:left w:val="single" w:sz="6" w:space="0" w:color="auto"/>
              <w:bottom w:val="single" w:sz="6" w:space="0" w:color="auto"/>
              <w:right w:val="single" w:sz="6" w:space="0" w:color="auto"/>
            </w:tcBorders>
          </w:tcPr>
          <w:p w14:paraId="669695C7"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7B3E7D59" w14:textId="77777777" w:rsidTr="000A6E84">
        <w:tc>
          <w:tcPr>
            <w:tcW w:w="2862" w:type="dxa"/>
            <w:tcBorders>
              <w:top w:val="single" w:sz="6" w:space="0" w:color="auto"/>
              <w:left w:val="single" w:sz="6" w:space="0" w:color="auto"/>
              <w:bottom w:val="single" w:sz="6" w:space="0" w:color="auto"/>
              <w:right w:val="single" w:sz="6" w:space="0" w:color="auto"/>
            </w:tcBorders>
          </w:tcPr>
          <w:p w14:paraId="32C0BE3D" w14:textId="77777777" w:rsidR="001B2505" w:rsidRPr="004E50E7" w:rsidRDefault="001B2505" w:rsidP="000A6E84">
            <w:pPr>
              <w:ind w:right="-720"/>
              <w:rPr>
                <w:rFonts w:ascii="Calibri" w:hAnsi="Calibri"/>
                <w:sz w:val="20"/>
              </w:rPr>
            </w:pPr>
            <w:r w:rsidRPr="004E50E7">
              <w:rPr>
                <w:rFonts w:ascii="Calibri" w:hAnsi="Calibri"/>
                <w:sz w:val="20"/>
                <w:szCs w:val="22"/>
              </w:rPr>
              <w:t>Highland Ave./Charles River ARC.</w:t>
            </w:r>
          </w:p>
          <w:p w14:paraId="274F0487" w14:textId="77777777" w:rsidR="001B2505" w:rsidRPr="004E50E7" w:rsidRDefault="001B2505" w:rsidP="000A6E84">
            <w:pPr>
              <w:ind w:right="-720"/>
              <w:rPr>
                <w:rFonts w:ascii="Calibri" w:hAnsi="Calibri"/>
                <w:sz w:val="20"/>
              </w:rPr>
            </w:pPr>
            <w:r w:rsidRPr="004E50E7">
              <w:rPr>
                <w:rFonts w:ascii="Calibri" w:hAnsi="Calibri"/>
                <w:sz w:val="20"/>
                <w:szCs w:val="22"/>
              </w:rPr>
              <w:lastRenderedPageBreak/>
              <w:t>**</w:t>
            </w:r>
          </w:p>
        </w:tc>
        <w:tc>
          <w:tcPr>
            <w:tcW w:w="810" w:type="dxa"/>
            <w:tcBorders>
              <w:top w:val="single" w:sz="6" w:space="0" w:color="auto"/>
              <w:left w:val="single" w:sz="6" w:space="0" w:color="auto"/>
              <w:bottom w:val="single" w:sz="6" w:space="0" w:color="auto"/>
              <w:right w:val="single" w:sz="6" w:space="0" w:color="auto"/>
            </w:tcBorders>
          </w:tcPr>
          <w:p w14:paraId="1D6D64C5" w14:textId="77777777" w:rsidR="001B2505" w:rsidRPr="004E50E7" w:rsidRDefault="001B2505" w:rsidP="000A6E84">
            <w:pPr>
              <w:ind w:right="-720"/>
              <w:rPr>
                <w:rFonts w:ascii="Calibri" w:hAnsi="Calibri"/>
                <w:sz w:val="20"/>
              </w:rPr>
            </w:pPr>
            <w:r w:rsidRPr="004E50E7">
              <w:rPr>
                <w:rFonts w:ascii="Calibri" w:hAnsi="Calibri"/>
                <w:sz w:val="20"/>
                <w:szCs w:val="22"/>
              </w:rPr>
              <w:lastRenderedPageBreak/>
              <w:t>6</w:t>
            </w:r>
          </w:p>
        </w:tc>
        <w:tc>
          <w:tcPr>
            <w:tcW w:w="2880" w:type="dxa"/>
            <w:tcBorders>
              <w:top w:val="single" w:sz="6" w:space="0" w:color="auto"/>
              <w:left w:val="single" w:sz="6" w:space="0" w:color="auto"/>
              <w:bottom w:val="single" w:sz="6" w:space="0" w:color="auto"/>
              <w:right w:val="single" w:sz="6" w:space="0" w:color="auto"/>
            </w:tcBorders>
          </w:tcPr>
          <w:p w14:paraId="08BF961D" w14:textId="77777777" w:rsidR="001B2505" w:rsidRPr="004E50E7" w:rsidRDefault="001B2505" w:rsidP="000A6E84">
            <w:pPr>
              <w:ind w:right="-720"/>
              <w:rPr>
                <w:rFonts w:ascii="Calibri" w:hAnsi="Calibri"/>
                <w:sz w:val="20"/>
              </w:rPr>
            </w:pPr>
            <w:r w:rsidRPr="004E50E7">
              <w:rPr>
                <w:rFonts w:ascii="Calibri" w:hAnsi="Calibri"/>
                <w:sz w:val="20"/>
                <w:szCs w:val="22"/>
              </w:rPr>
              <w:t>Rental/HUD and EOHHS</w:t>
            </w:r>
          </w:p>
        </w:tc>
        <w:tc>
          <w:tcPr>
            <w:tcW w:w="1217" w:type="dxa"/>
            <w:tcBorders>
              <w:top w:val="single" w:sz="6" w:space="0" w:color="auto"/>
              <w:left w:val="single" w:sz="6" w:space="0" w:color="auto"/>
              <w:bottom w:val="single" w:sz="6" w:space="0" w:color="auto"/>
              <w:right w:val="single" w:sz="6" w:space="0" w:color="auto"/>
            </w:tcBorders>
          </w:tcPr>
          <w:p w14:paraId="38EE8105"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30D87648" w14:textId="77777777" w:rsidR="001B2505" w:rsidRPr="004E50E7" w:rsidRDefault="001B2505" w:rsidP="000A6E84">
            <w:pPr>
              <w:ind w:right="-720"/>
              <w:rPr>
                <w:rFonts w:ascii="Calibri" w:hAnsi="Calibri"/>
                <w:sz w:val="20"/>
              </w:rPr>
            </w:pPr>
            <w:r w:rsidRPr="004E50E7">
              <w:rPr>
                <w:rFonts w:ascii="Calibri" w:hAnsi="Calibri"/>
                <w:sz w:val="20"/>
                <w:szCs w:val="22"/>
              </w:rPr>
              <w:t>2038</w:t>
            </w:r>
          </w:p>
        </w:tc>
      </w:tr>
      <w:tr w:rsidR="001B2505" w:rsidRPr="004E50E7" w14:paraId="7073D8F1" w14:textId="77777777" w:rsidTr="000A6E84">
        <w:tc>
          <w:tcPr>
            <w:tcW w:w="2862" w:type="dxa"/>
            <w:tcBorders>
              <w:top w:val="single" w:sz="6" w:space="0" w:color="auto"/>
              <w:left w:val="single" w:sz="6" w:space="0" w:color="auto"/>
              <w:bottom w:val="single" w:sz="6" w:space="0" w:color="auto"/>
              <w:right w:val="single" w:sz="6" w:space="0" w:color="auto"/>
            </w:tcBorders>
          </w:tcPr>
          <w:p w14:paraId="275BAD54" w14:textId="77777777" w:rsidR="001B2505" w:rsidRPr="004E50E7" w:rsidRDefault="001B2505" w:rsidP="000A6E84">
            <w:pPr>
              <w:ind w:right="-720"/>
              <w:rPr>
                <w:rFonts w:ascii="Calibri" w:hAnsi="Calibri"/>
                <w:sz w:val="20"/>
              </w:rPr>
            </w:pPr>
            <w:r w:rsidRPr="004E50E7">
              <w:rPr>
                <w:rFonts w:ascii="Calibri" w:hAnsi="Calibri"/>
                <w:sz w:val="20"/>
                <w:szCs w:val="22"/>
              </w:rPr>
              <w:t>Marked Tree Corp. **</w:t>
            </w:r>
          </w:p>
        </w:tc>
        <w:tc>
          <w:tcPr>
            <w:tcW w:w="810" w:type="dxa"/>
            <w:tcBorders>
              <w:top w:val="single" w:sz="6" w:space="0" w:color="auto"/>
              <w:left w:val="single" w:sz="6" w:space="0" w:color="auto"/>
              <w:bottom w:val="single" w:sz="6" w:space="0" w:color="auto"/>
              <w:right w:val="single" w:sz="6" w:space="0" w:color="auto"/>
            </w:tcBorders>
          </w:tcPr>
          <w:p w14:paraId="03153BDF" w14:textId="77777777" w:rsidR="001B2505" w:rsidRPr="004E50E7" w:rsidRDefault="001B2505" w:rsidP="000A6E84">
            <w:pPr>
              <w:ind w:right="-720"/>
              <w:rPr>
                <w:rFonts w:ascii="Calibri" w:hAnsi="Calibri"/>
                <w:sz w:val="20"/>
              </w:rPr>
            </w:pPr>
            <w:r w:rsidRPr="004E50E7">
              <w:rPr>
                <w:rFonts w:ascii="Calibri" w:hAnsi="Calibri"/>
                <w:sz w:val="20"/>
                <w:szCs w:val="22"/>
              </w:rPr>
              <w:t>4</w:t>
            </w:r>
          </w:p>
        </w:tc>
        <w:tc>
          <w:tcPr>
            <w:tcW w:w="2880" w:type="dxa"/>
            <w:tcBorders>
              <w:top w:val="single" w:sz="6" w:space="0" w:color="auto"/>
              <w:left w:val="single" w:sz="6" w:space="0" w:color="auto"/>
              <w:bottom w:val="single" w:sz="6" w:space="0" w:color="auto"/>
              <w:right w:val="single" w:sz="6" w:space="0" w:color="auto"/>
            </w:tcBorders>
          </w:tcPr>
          <w:p w14:paraId="60A69102" w14:textId="77777777" w:rsidR="001B2505" w:rsidRPr="004E50E7" w:rsidRDefault="001B2505" w:rsidP="000A6E84">
            <w:pPr>
              <w:ind w:right="-720"/>
              <w:rPr>
                <w:rFonts w:ascii="Calibri" w:hAnsi="Calibri"/>
                <w:sz w:val="20"/>
              </w:rPr>
            </w:pPr>
            <w:r w:rsidRPr="004E50E7">
              <w:rPr>
                <w:rFonts w:ascii="Calibri" w:hAnsi="Calibri"/>
                <w:sz w:val="20"/>
                <w:szCs w:val="22"/>
              </w:rPr>
              <w:t>Rental/HUD and EOHHS</w:t>
            </w:r>
          </w:p>
        </w:tc>
        <w:tc>
          <w:tcPr>
            <w:tcW w:w="1217" w:type="dxa"/>
            <w:tcBorders>
              <w:top w:val="single" w:sz="6" w:space="0" w:color="auto"/>
              <w:left w:val="single" w:sz="6" w:space="0" w:color="auto"/>
              <w:bottom w:val="single" w:sz="6" w:space="0" w:color="auto"/>
              <w:right w:val="single" w:sz="6" w:space="0" w:color="auto"/>
            </w:tcBorders>
          </w:tcPr>
          <w:p w14:paraId="7115E001"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6F3F74E1" w14:textId="77777777" w:rsidR="001B2505" w:rsidRPr="004E50E7" w:rsidRDefault="001B2505" w:rsidP="000A6E84">
            <w:pPr>
              <w:ind w:right="-720"/>
              <w:rPr>
                <w:rFonts w:ascii="Calibri" w:hAnsi="Calibri"/>
                <w:sz w:val="20"/>
              </w:rPr>
            </w:pPr>
            <w:r w:rsidRPr="004E50E7">
              <w:rPr>
                <w:rFonts w:ascii="Calibri" w:hAnsi="Calibri"/>
                <w:sz w:val="20"/>
                <w:szCs w:val="22"/>
              </w:rPr>
              <w:t>2038</w:t>
            </w:r>
          </w:p>
        </w:tc>
      </w:tr>
      <w:tr w:rsidR="001B2505" w:rsidRPr="004E50E7" w14:paraId="2DD566E1" w14:textId="77777777" w:rsidTr="000A6E84">
        <w:tc>
          <w:tcPr>
            <w:tcW w:w="2862" w:type="dxa"/>
            <w:tcBorders>
              <w:top w:val="single" w:sz="6" w:space="0" w:color="auto"/>
              <w:left w:val="single" w:sz="6" w:space="0" w:color="auto"/>
              <w:bottom w:val="single" w:sz="6" w:space="0" w:color="auto"/>
              <w:right w:val="single" w:sz="6" w:space="0" w:color="auto"/>
            </w:tcBorders>
          </w:tcPr>
          <w:p w14:paraId="27568379" w14:textId="35031DFE" w:rsidR="001B2505" w:rsidRPr="004E50E7" w:rsidRDefault="00976E29" w:rsidP="000A6E84">
            <w:pPr>
              <w:ind w:right="-720"/>
              <w:rPr>
                <w:rFonts w:ascii="Calibri" w:hAnsi="Calibri"/>
                <w:sz w:val="20"/>
              </w:rPr>
            </w:pPr>
            <w:r>
              <w:rPr>
                <w:rFonts w:ascii="Calibri" w:hAnsi="Calibri"/>
                <w:sz w:val="20"/>
                <w:szCs w:val="22"/>
              </w:rPr>
              <w:t>Nehoiden</w:t>
            </w:r>
            <w:r w:rsidR="001B2505" w:rsidRPr="004E50E7">
              <w:rPr>
                <w:rFonts w:ascii="Calibri" w:hAnsi="Calibri"/>
                <w:sz w:val="20"/>
                <w:szCs w:val="22"/>
              </w:rPr>
              <w:t xml:space="preserve"> Glen</w:t>
            </w:r>
          </w:p>
        </w:tc>
        <w:tc>
          <w:tcPr>
            <w:tcW w:w="810" w:type="dxa"/>
            <w:tcBorders>
              <w:top w:val="single" w:sz="6" w:space="0" w:color="auto"/>
              <w:left w:val="single" w:sz="6" w:space="0" w:color="auto"/>
              <w:bottom w:val="single" w:sz="6" w:space="0" w:color="auto"/>
              <w:right w:val="single" w:sz="6" w:space="0" w:color="auto"/>
            </w:tcBorders>
          </w:tcPr>
          <w:p w14:paraId="3CFE7E6B" w14:textId="77777777" w:rsidR="001B2505" w:rsidRPr="004E50E7" w:rsidRDefault="001B2505" w:rsidP="000A6E84">
            <w:pPr>
              <w:ind w:right="-720"/>
              <w:rPr>
                <w:rFonts w:ascii="Calibri" w:hAnsi="Calibri"/>
                <w:sz w:val="20"/>
              </w:rPr>
            </w:pPr>
            <w:r w:rsidRPr="004E50E7">
              <w:rPr>
                <w:rFonts w:ascii="Calibri" w:hAnsi="Calibri"/>
                <w:sz w:val="20"/>
                <w:szCs w:val="22"/>
              </w:rPr>
              <w:t>61</w:t>
            </w:r>
          </w:p>
        </w:tc>
        <w:tc>
          <w:tcPr>
            <w:tcW w:w="2880" w:type="dxa"/>
            <w:tcBorders>
              <w:top w:val="single" w:sz="6" w:space="0" w:color="auto"/>
              <w:left w:val="single" w:sz="6" w:space="0" w:color="auto"/>
              <w:bottom w:val="single" w:sz="6" w:space="0" w:color="auto"/>
              <w:right w:val="single" w:sz="6" w:space="0" w:color="auto"/>
            </w:tcBorders>
          </w:tcPr>
          <w:p w14:paraId="0A4490F6" w14:textId="77777777" w:rsidR="001B2505" w:rsidRPr="004E50E7" w:rsidRDefault="001B2505" w:rsidP="000A6E84">
            <w:pPr>
              <w:ind w:right="-720"/>
              <w:rPr>
                <w:rFonts w:ascii="Calibri" w:hAnsi="Calibri"/>
                <w:sz w:val="20"/>
              </w:rPr>
            </w:pPr>
            <w:r w:rsidRPr="004E50E7">
              <w:rPr>
                <w:rFonts w:ascii="Calibri" w:hAnsi="Calibri"/>
                <w:sz w:val="20"/>
                <w:szCs w:val="22"/>
              </w:rPr>
              <w:t>Rental/MassHousing</w:t>
            </w:r>
          </w:p>
        </w:tc>
        <w:tc>
          <w:tcPr>
            <w:tcW w:w="1217" w:type="dxa"/>
            <w:tcBorders>
              <w:top w:val="single" w:sz="6" w:space="0" w:color="auto"/>
              <w:left w:val="single" w:sz="6" w:space="0" w:color="auto"/>
              <w:bottom w:val="single" w:sz="6" w:space="0" w:color="auto"/>
              <w:right w:val="single" w:sz="6" w:space="0" w:color="auto"/>
            </w:tcBorders>
          </w:tcPr>
          <w:p w14:paraId="0379E8CA"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76E4426E"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2BF5763A" w14:textId="77777777" w:rsidTr="000A6E84">
        <w:tc>
          <w:tcPr>
            <w:tcW w:w="2862" w:type="dxa"/>
            <w:tcBorders>
              <w:top w:val="single" w:sz="6" w:space="0" w:color="auto"/>
              <w:left w:val="single" w:sz="6" w:space="0" w:color="auto"/>
              <w:bottom w:val="single" w:sz="6" w:space="0" w:color="auto"/>
              <w:right w:val="single" w:sz="6" w:space="0" w:color="auto"/>
            </w:tcBorders>
          </w:tcPr>
          <w:p w14:paraId="6ED89562" w14:textId="77777777" w:rsidR="001B2505" w:rsidRPr="004E50E7" w:rsidRDefault="001B2505" w:rsidP="000A6E84">
            <w:pPr>
              <w:ind w:right="-720"/>
              <w:rPr>
                <w:rFonts w:ascii="Calibri" w:hAnsi="Calibri"/>
                <w:sz w:val="20"/>
              </w:rPr>
            </w:pPr>
            <w:r w:rsidRPr="004E50E7">
              <w:rPr>
                <w:rFonts w:ascii="Calibri" w:hAnsi="Calibri"/>
                <w:sz w:val="20"/>
                <w:szCs w:val="22"/>
              </w:rPr>
              <w:t>Webster Street II/929 Webster **</w:t>
            </w:r>
          </w:p>
        </w:tc>
        <w:tc>
          <w:tcPr>
            <w:tcW w:w="810" w:type="dxa"/>
            <w:tcBorders>
              <w:top w:val="single" w:sz="6" w:space="0" w:color="auto"/>
              <w:left w:val="single" w:sz="6" w:space="0" w:color="auto"/>
              <w:bottom w:val="single" w:sz="6" w:space="0" w:color="auto"/>
              <w:right w:val="single" w:sz="6" w:space="0" w:color="auto"/>
            </w:tcBorders>
          </w:tcPr>
          <w:p w14:paraId="05E7D408" w14:textId="77777777" w:rsidR="001B2505" w:rsidRPr="004E50E7" w:rsidRDefault="001B2505" w:rsidP="000A6E84">
            <w:pPr>
              <w:ind w:right="-720"/>
              <w:rPr>
                <w:rFonts w:ascii="Calibri" w:hAnsi="Calibri"/>
                <w:sz w:val="20"/>
              </w:rPr>
            </w:pPr>
            <w:r w:rsidRPr="004E50E7">
              <w:rPr>
                <w:rFonts w:ascii="Calibri" w:hAnsi="Calibri"/>
                <w:sz w:val="20"/>
                <w:szCs w:val="22"/>
              </w:rPr>
              <w:t>4</w:t>
            </w:r>
          </w:p>
        </w:tc>
        <w:tc>
          <w:tcPr>
            <w:tcW w:w="2880" w:type="dxa"/>
            <w:tcBorders>
              <w:top w:val="single" w:sz="6" w:space="0" w:color="auto"/>
              <w:left w:val="single" w:sz="6" w:space="0" w:color="auto"/>
              <w:bottom w:val="single" w:sz="6" w:space="0" w:color="auto"/>
              <w:right w:val="single" w:sz="6" w:space="0" w:color="auto"/>
            </w:tcBorders>
          </w:tcPr>
          <w:p w14:paraId="29BDDB19" w14:textId="77777777" w:rsidR="001B2505" w:rsidRPr="004E50E7" w:rsidRDefault="001B2505" w:rsidP="000A6E84">
            <w:pPr>
              <w:ind w:right="-720"/>
              <w:rPr>
                <w:rFonts w:ascii="Calibri" w:hAnsi="Calibri"/>
                <w:sz w:val="20"/>
              </w:rPr>
            </w:pPr>
            <w:r w:rsidRPr="004E50E7">
              <w:rPr>
                <w:rFonts w:ascii="Calibri" w:hAnsi="Calibri"/>
                <w:sz w:val="20"/>
                <w:szCs w:val="22"/>
              </w:rPr>
              <w:t>Rental/HUD</w:t>
            </w:r>
          </w:p>
        </w:tc>
        <w:tc>
          <w:tcPr>
            <w:tcW w:w="1217" w:type="dxa"/>
            <w:tcBorders>
              <w:top w:val="single" w:sz="6" w:space="0" w:color="auto"/>
              <w:left w:val="single" w:sz="6" w:space="0" w:color="auto"/>
              <w:bottom w:val="single" w:sz="6" w:space="0" w:color="auto"/>
              <w:right w:val="single" w:sz="6" w:space="0" w:color="auto"/>
            </w:tcBorders>
          </w:tcPr>
          <w:p w14:paraId="738B1DA7"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3AFD8C20" w14:textId="77777777" w:rsidR="001B2505" w:rsidRPr="004E50E7" w:rsidRDefault="001B2505" w:rsidP="000A6E84">
            <w:pPr>
              <w:ind w:right="-720"/>
              <w:rPr>
                <w:rFonts w:ascii="Calibri" w:hAnsi="Calibri"/>
                <w:sz w:val="20"/>
              </w:rPr>
            </w:pPr>
            <w:r w:rsidRPr="004E50E7">
              <w:rPr>
                <w:rFonts w:ascii="Calibri" w:hAnsi="Calibri"/>
                <w:sz w:val="20"/>
                <w:szCs w:val="22"/>
              </w:rPr>
              <w:t>2037</w:t>
            </w:r>
          </w:p>
        </w:tc>
      </w:tr>
      <w:tr w:rsidR="001B2505" w:rsidRPr="004E50E7" w14:paraId="2718C235" w14:textId="77777777" w:rsidTr="000A6E84">
        <w:tc>
          <w:tcPr>
            <w:tcW w:w="2862" w:type="dxa"/>
            <w:tcBorders>
              <w:top w:val="single" w:sz="6" w:space="0" w:color="auto"/>
              <w:left w:val="single" w:sz="6" w:space="0" w:color="auto"/>
              <w:bottom w:val="single" w:sz="6" w:space="0" w:color="auto"/>
              <w:right w:val="single" w:sz="6" w:space="0" w:color="auto"/>
            </w:tcBorders>
          </w:tcPr>
          <w:p w14:paraId="02C5574E" w14:textId="77777777" w:rsidR="001B2505" w:rsidRPr="004E50E7" w:rsidRDefault="001B2505" w:rsidP="000A6E84">
            <w:pPr>
              <w:ind w:right="-720"/>
              <w:rPr>
                <w:rFonts w:ascii="Calibri" w:hAnsi="Calibri"/>
                <w:sz w:val="20"/>
              </w:rPr>
            </w:pPr>
            <w:r w:rsidRPr="004E50E7">
              <w:rPr>
                <w:rFonts w:ascii="Calibri" w:hAnsi="Calibri"/>
                <w:sz w:val="20"/>
                <w:szCs w:val="22"/>
              </w:rPr>
              <w:t>Webster Street II/299 Webster **</w:t>
            </w:r>
          </w:p>
        </w:tc>
        <w:tc>
          <w:tcPr>
            <w:tcW w:w="810" w:type="dxa"/>
            <w:tcBorders>
              <w:top w:val="single" w:sz="6" w:space="0" w:color="auto"/>
              <w:left w:val="single" w:sz="6" w:space="0" w:color="auto"/>
              <w:bottom w:val="single" w:sz="6" w:space="0" w:color="auto"/>
              <w:right w:val="single" w:sz="6" w:space="0" w:color="auto"/>
            </w:tcBorders>
          </w:tcPr>
          <w:p w14:paraId="67B302B5" w14:textId="77777777" w:rsidR="001B2505" w:rsidRPr="004E50E7" w:rsidRDefault="001B2505" w:rsidP="000A6E84">
            <w:pPr>
              <w:ind w:right="-720"/>
              <w:rPr>
                <w:rFonts w:ascii="Calibri" w:hAnsi="Calibri"/>
                <w:sz w:val="20"/>
              </w:rPr>
            </w:pPr>
            <w:r w:rsidRPr="004E50E7">
              <w:rPr>
                <w:rFonts w:ascii="Calibri" w:hAnsi="Calibri"/>
                <w:sz w:val="20"/>
                <w:szCs w:val="22"/>
              </w:rPr>
              <w:t>6</w:t>
            </w:r>
          </w:p>
        </w:tc>
        <w:tc>
          <w:tcPr>
            <w:tcW w:w="2880" w:type="dxa"/>
            <w:tcBorders>
              <w:top w:val="single" w:sz="6" w:space="0" w:color="auto"/>
              <w:left w:val="single" w:sz="6" w:space="0" w:color="auto"/>
              <w:bottom w:val="single" w:sz="6" w:space="0" w:color="auto"/>
              <w:right w:val="single" w:sz="6" w:space="0" w:color="auto"/>
            </w:tcBorders>
          </w:tcPr>
          <w:p w14:paraId="597BBC83" w14:textId="77777777" w:rsidR="001B2505" w:rsidRPr="004E50E7" w:rsidRDefault="001B2505" w:rsidP="000A6E84">
            <w:pPr>
              <w:ind w:right="-720"/>
              <w:rPr>
                <w:rFonts w:ascii="Calibri" w:hAnsi="Calibri"/>
                <w:sz w:val="20"/>
              </w:rPr>
            </w:pPr>
            <w:r w:rsidRPr="004E50E7">
              <w:rPr>
                <w:rFonts w:ascii="Calibri" w:hAnsi="Calibri"/>
                <w:sz w:val="20"/>
                <w:szCs w:val="22"/>
              </w:rPr>
              <w:t>Rental/HUD</w:t>
            </w:r>
          </w:p>
        </w:tc>
        <w:tc>
          <w:tcPr>
            <w:tcW w:w="1217" w:type="dxa"/>
            <w:tcBorders>
              <w:top w:val="single" w:sz="6" w:space="0" w:color="auto"/>
              <w:left w:val="single" w:sz="6" w:space="0" w:color="auto"/>
              <w:bottom w:val="single" w:sz="6" w:space="0" w:color="auto"/>
              <w:right w:val="single" w:sz="6" w:space="0" w:color="auto"/>
            </w:tcBorders>
          </w:tcPr>
          <w:p w14:paraId="7AFBC780"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28217881" w14:textId="77777777" w:rsidR="001B2505" w:rsidRPr="004E50E7" w:rsidRDefault="001B2505" w:rsidP="000A6E84">
            <w:pPr>
              <w:ind w:right="-720"/>
              <w:rPr>
                <w:rFonts w:ascii="Calibri" w:hAnsi="Calibri"/>
                <w:sz w:val="20"/>
              </w:rPr>
            </w:pPr>
            <w:r w:rsidRPr="004E50E7">
              <w:rPr>
                <w:rFonts w:ascii="Calibri" w:hAnsi="Calibri"/>
                <w:sz w:val="20"/>
                <w:szCs w:val="22"/>
              </w:rPr>
              <w:t>2037</w:t>
            </w:r>
          </w:p>
        </w:tc>
      </w:tr>
      <w:tr w:rsidR="001B2505" w:rsidRPr="004E50E7" w14:paraId="74A3F6C2" w14:textId="77777777" w:rsidTr="000A6E84">
        <w:tc>
          <w:tcPr>
            <w:tcW w:w="2862" w:type="dxa"/>
            <w:tcBorders>
              <w:top w:val="single" w:sz="6" w:space="0" w:color="auto"/>
              <w:left w:val="single" w:sz="6" w:space="0" w:color="auto"/>
              <w:bottom w:val="single" w:sz="6" w:space="0" w:color="auto"/>
              <w:right w:val="single" w:sz="6" w:space="0" w:color="auto"/>
            </w:tcBorders>
          </w:tcPr>
          <w:p w14:paraId="7BDF40D2" w14:textId="77777777" w:rsidR="001B2505" w:rsidRPr="004E50E7" w:rsidRDefault="001B2505" w:rsidP="000A6E84">
            <w:pPr>
              <w:ind w:right="-720"/>
              <w:rPr>
                <w:rFonts w:ascii="Calibri" w:hAnsi="Calibri"/>
                <w:sz w:val="20"/>
              </w:rPr>
            </w:pPr>
            <w:r w:rsidRPr="004E50E7">
              <w:rPr>
                <w:rFonts w:ascii="Calibri" w:hAnsi="Calibri"/>
                <w:sz w:val="20"/>
                <w:szCs w:val="22"/>
              </w:rPr>
              <w:t>West Street Apartments **</w:t>
            </w:r>
          </w:p>
        </w:tc>
        <w:tc>
          <w:tcPr>
            <w:tcW w:w="810" w:type="dxa"/>
            <w:tcBorders>
              <w:top w:val="single" w:sz="6" w:space="0" w:color="auto"/>
              <w:left w:val="single" w:sz="6" w:space="0" w:color="auto"/>
              <w:bottom w:val="single" w:sz="6" w:space="0" w:color="auto"/>
              <w:right w:val="single" w:sz="6" w:space="0" w:color="auto"/>
            </w:tcBorders>
          </w:tcPr>
          <w:p w14:paraId="3EC6A2C3" w14:textId="77777777" w:rsidR="001B2505" w:rsidRPr="004E50E7" w:rsidRDefault="001B2505" w:rsidP="000A6E84">
            <w:pPr>
              <w:ind w:right="-720"/>
              <w:rPr>
                <w:rFonts w:ascii="Calibri" w:hAnsi="Calibri"/>
                <w:sz w:val="20"/>
              </w:rPr>
            </w:pPr>
            <w:r w:rsidRPr="004E50E7">
              <w:rPr>
                <w:rFonts w:ascii="Calibri" w:hAnsi="Calibri"/>
                <w:sz w:val="20"/>
                <w:szCs w:val="22"/>
              </w:rPr>
              <w:t>6</w:t>
            </w:r>
          </w:p>
        </w:tc>
        <w:tc>
          <w:tcPr>
            <w:tcW w:w="2880" w:type="dxa"/>
            <w:tcBorders>
              <w:top w:val="single" w:sz="6" w:space="0" w:color="auto"/>
              <w:left w:val="single" w:sz="6" w:space="0" w:color="auto"/>
              <w:bottom w:val="single" w:sz="6" w:space="0" w:color="auto"/>
              <w:right w:val="single" w:sz="6" w:space="0" w:color="auto"/>
            </w:tcBorders>
          </w:tcPr>
          <w:p w14:paraId="655EF106" w14:textId="77777777" w:rsidR="001B2505" w:rsidRPr="004E50E7" w:rsidRDefault="001B2505" w:rsidP="000A6E84">
            <w:pPr>
              <w:ind w:right="-720"/>
              <w:rPr>
                <w:rFonts w:ascii="Calibri" w:hAnsi="Calibri"/>
                <w:sz w:val="20"/>
              </w:rPr>
            </w:pPr>
            <w:r w:rsidRPr="004E50E7">
              <w:rPr>
                <w:rFonts w:ascii="Calibri" w:hAnsi="Calibri"/>
                <w:sz w:val="20"/>
                <w:szCs w:val="22"/>
              </w:rPr>
              <w:t>Rental/HUD</w:t>
            </w:r>
          </w:p>
        </w:tc>
        <w:tc>
          <w:tcPr>
            <w:tcW w:w="1217" w:type="dxa"/>
            <w:tcBorders>
              <w:top w:val="single" w:sz="6" w:space="0" w:color="auto"/>
              <w:left w:val="single" w:sz="6" w:space="0" w:color="auto"/>
              <w:bottom w:val="single" w:sz="6" w:space="0" w:color="auto"/>
              <w:right w:val="single" w:sz="6" w:space="0" w:color="auto"/>
            </w:tcBorders>
          </w:tcPr>
          <w:p w14:paraId="06515963"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79DED525" w14:textId="77777777" w:rsidR="001B2505" w:rsidRPr="004E50E7" w:rsidRDefault="001B2505" w:rsidP="000A6E84">
            <w:pPr>
              <w:ind w:right="-720"/>
              <w:rPr>
                <w:rFonts w:ascii="Calibri" w:hAnsi="Calibri"/>
                <w:sz w:val="20"/>
              </w:rPr>
            </w:pPr>
            <w:r w:rsidRPr="004E50E7">
              <w:rPr>
                <w:rFonts w:ascii="Calibri" w:hAnsi="Calibri"/>
                <w:sz w:val="20"/>
                <w:szCs w:val="22"/>
              </w:rPr>
              <w:t>2043</w:t>
            </w:r>
          </w:p>
        </w:tc>
      </w:tr>
      <w:tr w:rsidR="001B2505" w:rsidRPr="004E50E7" w14:paraId="2D32E665" w14:textId="77777777" w:rsidTr="000A6E84">
        <w:tc>
          <w:tcPr>
            <w:tcW w:w="2862" w:type="dxa"/>
            <w:tcBorders>
              <w:top w:val="single" w:sz="6" w:space="0" w:color="auto"/>
              <w:left w:val="single" w:sz="6" w:space="0" w:color="auto"/>
              <w:bottom w:val="single" w:sz="6" w:space="0" w:color="auto"/>
              <w:right w:val="single" w:sz="6" w:space="0" w:color="auto"/>
            </w:tcBorders>
          </w:tcPr>
          <w:p w14:paraId="513E564E" w14:textId="77777777" w:rsidR="001B2505" w:rsidRPr="004E50E7" w:rsidRDefault="001B2505" w:rsidP="000A6E84">
            <w:pPr>
              <w:ind w:right="-720"/>
              <w:rPr>
                <w:rFonts w:ascii="Calibri" w:hAnsi="Calibri"/>
                <w:sz w:val="20"/>
              </w:rPr>
            </w:pPr>
            <w:r w:rsidRPr="004E50E7">
              <w:rPr>
                <w:rFonts w:ascii="Calibri" w:hAnsi="Calibri"/>
                <w:sz w:val="20"/>
                <w:szCs w:val="22"/>
              </w:rPr>
              <w:t>Junction Place</w:t>
            </w:r>
          </w:p>
        </w:tc>
        <w:tc>
          <w:tcPr>
            <w:tcW w:w="810" w:type="dxa"/>
            <w:tcBorders>
              <w:top w:val="single" w:sz="6" w:space="0" w:color="auto"/>
              <w:left w:val="single" w:sz="6" w:space="0" w:color="auto"/>
              <w:bottom w:val="single" w:sz="6" w:space="0" w:color="auto"/>
              <w:right w:val="single" w:sz="6" w:space="0" w:color="auto"/>
            </w:tcBorders>
          </w:tcPr>
          <w:p w14:paraId="5F81C27B" w14:textId="77777777" w:rsidR="001B2505" w:rsidRPr="004E50E7" w:rsidRDefault="001B2505" w:rsidP="000A6E84">
            <w:pPr>
              <w:ind w:right="-720"/>
              <w:rPr>
                <w:rFonts w:ascii="Calibri" w:hAnsi="Calibri"/>
                <w:sz w:val="20"/>
              </w:rPr>
            </w:pPr>
            <w:r w:rsidRPr="004E50E7">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100EC1DA" w14:textId="77777777" w:rsidR="001B2505" w:rsidRPr="004E50E7" w:rsidRDefault="001B2505" w:rsidP="000A6E84">
            <w:pPr>
              <w:ind w:right="-720"/>
              <w:rPr>
                <w:rFonts w:ascii="Calibri" w:hAnsi="Calibri"/>
                <w:sz w:val="20"/>
              </w:rPr>
            </w:pPr>
            <w:r w:rsidRPr="004E50E7">
              <w:rPr>
                <w:rFonts w:ascii="Calibri" w:hAnsi="Calibri"/>
                <w:sz w:val="20"/>
                <w:szCs w:val="22"/>
              </w:rPr>
              <w:t>Ownership/DHCD and FHLBB</w:t>
            </w:r>
          </w:p>
        </w:tc>
        <w:tc>
          <w:tcPr>
            <w:tcW w:w="1217" w:type="dxa"/>
            <w:tcBorders>
              <w:top w:val="single" w:sz="6" w:space="0" w:color="auto"/>
              <w:left w:val="single" w:sz="6" w:space="0" w:color="auto"/>
              <w:bottom w:val="single" w:sz="6" w:space="0" w:color="auto"/>
              <w:right w:val="single" w:sz="6" w:space="0" w:color="auto"/>
            </w:tcBorders>
          </w:tcPr>
          <w:p w14:paraId="212F8185"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36887D12"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1C5AAFD4" w14:textId="77777777" w:rsidTr="000A6E84">
        <w:tc>
          <w:tcPr>
            <w:tcW w:w="2862" w:type="dxa"/>
            <w:tcBorders>
              <w:top w:val="single" w:sz="6" w:space="0" w:color="auto"/>
              <w:left w:val="single" w:sz="6" w:space="0" w:color="auto"/>
              <w:bottom w:val="single" w:sz="6" w:space="0" w:color="auto"/>
              <w:right w:val="single" w:sz="6" w:space="0" w:color="auto"/>
            </w:tcBorders>
          </w:tcPr>
          <w:p w14:paraId="14BD75C7" w14:textId="77777777" w:rsidR="001B2505" w:rsidRPr="004E50E7" w:rsidRDefault="001B2505" w:rsidP="000A6E84">
            <w:pPr>
              <w:ind w:right="-720"/>
              <w:rPr>
                <w:rFonts w:ascii="Calibri" w:hAnsi="Calibri"/>
                <w:sz w:val="20"/>
              </w:rPr>
            </w:pPr>
            <w:r w:rsidRPr="004E50E7">
              <w:rPr>
                <w:rFonts w:ascii="Calibri" w:hAnsi="Calibri"/>
                <w:sz w:val="20"/>
                <w:szCs w:val="22"/>
              </w:rPr>
              <w:t>Garden Street</w:t>
            </w:r>
          </w:p>
        </w:tc>
        <w:tc>
          <w:tcPr>
            <w:tcW w:w="810" w:type="dxa"/>
            <w:tcBorders>
              <w:top w:val="single" w:sz="6" w:space="0" w:color="auto"/>
              <w:left w:val="single" w:sz="6" w:space="0" w:color="auto"/>
              <w:bottom w:val="single" w:sz="6" w:space="0" w:color="auto"/>
              <w:right w:val="single" w:sz="6" w:space="0" w:color="auto"/>
            </w:tcBorders>
          </w:tcPr>
          <w:p w14:paraId="435C18E7" w14:textId="77777777" w:rsidR="001B2505" w:rsidRPr="004E50E7" w:rsidRDefault="001B2505" w:rsidP="000A6E84">
            <w:pPr>
              <w:ind w:right="-720"/>
              <w:rPr>
                <w:rFonts w:ascii="Calibri" w:hAnsi="Calibri"/>
                <w:sz w:val="20"/>
              </w:rPr>
            </w:pPr>
            <w:r w:rsidRPr="004E50E7">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3F3425F1" w14:textId="77777777" w:rsidR="001B2505" w:rsidRPr="004E50E7" w:rsidRDefault="001B2505" w:rsidP="000A6E84">
            <w:pPr>
              <w:ind w:right="-720"/>
              <w:rPr>
                <w:rFonts w:ascii="Calibri" w:hAnsi="Calibri"/>
                <w:sz w:val="20"/>
              </w:rPr>
            </w:pPr>
            <w:r w:rsidRPr="004E50E7">
              <w:rPr>
                <w:rFonts w:ascii="Calibri" w:hAnsi="Calibri"/>
                <w:sz w:val="20"/>
                <w:szCs w:val="22"/>
              </w:rPr>
              <w:t>Ownership/FHLBB</w:t>
            </w:r>
          </w:p>
        </w:tc>
        <w:tc>
          <w:tcPr>
            <w:tcW w:w="1217" w:type="dxa"/>
            <w:tcBorders>
              <w:top w:val="single" w:sz="6" w:space="0" w:color="auto"/>
              <w:left w:val="single" w:sz="6" w:space="0" w:color="auto"/>
              <w:bottom w:val="single" w:sz="6" w:space="0" w:color="auto"/>
              <w:right w:val="single" w:sz="6" w:space="0" w:color="auto"/>
            </w:tcBorders>
          </w:tcPr>
          <w:p w14:paraId="4EA06817"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7AC61684"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06B77709" w14:textId="77777777" w:rsidTr="000A6E84">
        <w:tc>
          <w:tcPr>
            <w:tcW w:w="2862" w:type="dxa"/>
            <w:tcBorders>
              <w:top w:val="single" w:sz="6" w:space="0" w:color="auto"/>
              <w:left w:val="single" w:sz="6" w:space="0" w:color="auto"/>
              <w:bottom w:val="single" w:sz="6" w:space="0" w:color="auto"/>
              <w:right w:val="single" w:sz="6" w:space="0" w:color="auto"/>
            </w:tcBorders>
          </w:tcPr>
          <w:p w14:paraId="5E1824D1" w14:textId="77777777" w:rsidR="001B2505" w:rsidRPr="004E50E7" w:rsidRDefault="001B2505" w:rsidP="000A6E84">
            <w:pPr>
              <w:ind w:right="-720"/>
              <w:rPr>
                <w:rFonts w:ascii="Calibri" w:hAnsi="Calibri"/>
                <w:sz w:val="20"/>
              </w:rPr>
            </w:pPr>
            <w:r w:rsidRPr="004E50E7">
              <w:rPr>
                <w:rFonts w:ascii="Calibri" w:hAnsi="Calibri"/>
                <w:sz w:val="20"/>
                <w:szCs w:val="22"/>
              </w:rPr>
              <w:t>High Cliff Estates</w:t>
            </w:r>
          </w:p>
        </w:tc>
        <w:tc>
          <w:tcPr>
            <w:tcW w:w="810" w:type="dxa"/>
            <w:tcBorders>
              <w:top w:val="single" w:sz="6" w:space="0" w:color="auto"/>
              <w:left w:val="single" w:sz="6" w:space="0" w:color="auto"/>
              <w:bottom w:val="single" w:sz="6" w:space="0" w:color="auto"/>
              <w:right w:val="single" w:sz="6" w:space="0" w:color="auto"/>
            </w:tcBorders>
          </w:tcPr>
          <w:p w14:paraId="5F4946BB" w14:textId="77777777" w:rsidR="001B2505" w:rsidRPr="004E50E7" w:rsidRDefault="001B2505" w:rsidP="000A6E84">
            <w:pPr>
              <w:ind w:right="-720"/>
              <w:rPr>
                <w:rFonts w:ascii="Calibri" w:hAnsi="Calibri"/>
                <w:sz w:val="20"/>
              </w:rPr>
            </w:pPr>
            <w:r w:rsidRPr="004E50E7">
              <w:rPr>
                <w:rFonts w:ascii="Calibri" w:hAnsi="Calibri"/>
                <w:sz w:val="20"/>
                <w:szCs w:val="22"/>
              </w:rPr>
              <w:t xml:space="preserve">3 </w:t>
            </w:r>
          </w:p>
        </w:tc>
        <w:tc>
          <w:tcPr>
            <w:tcW w:w="2880" w:type="dxa"/>
            <w:tcBorders>
              <w:top w:val="single" w:sz="6" w:space="0" w:color="auto"/>
              <w:left w:val="single" w:sz="6" w:space="0" w:color="auto"/>
              <w:bottom w:val="single" w:sz="6" w:space="0" w:color="auto"/>
              <w:right w:val="single" w:sz="6" w:space="0" w:color="auto"/>
            </w:tcBorders>
          </w:tcPr>
          <w:p w14:paraId="192B67DA" w14:textId="77777777" w:rsidR="001B2505" w:rsidRPr="004E50E7" w:rsidRDefault="001B2505" w:rsidP="000A6E84">
            <w:pPr>
              <w:ind w:right="-720"/>
              <w:rPr>
                <w:rFonts w:ascii="Calibri" w:hAnsi="Calibri"/>
                <w:sz w:val="20"/>
              </w:rPr>
            </w:pPr>
            <w:r w:rsidRPr="004E50E7">
              <w:rPr>
                <w:rFonts w:ascii="Calibri" w:hAnsi="Calibri"/>
                <w:sz w:val="20"/>
                <w:szCs w:val="22"/>
              </w:rPr>
              <w:t>Ownership/FHLBB</w:t>
            </w:r>
          </w:p>
        </w:tc>
        <w:tc>
          <w:tcPr>
            <w:tcW w:w="1217" w:type="dxa"/>
            <w:tcBorders>
              <w:top w:val="single" w:sz="6" w:space="0" w:color="auto"/>
              <w:left w:val="single" w:sz="6" w:space="0" w:color="auto"/>
              <w:bottom w:val="single" w:sz="6" w:space="0" w:color="auto"/>
              <w:right w:val="single" w:sz="6" w:space="0" w:color="auto"/>
            </w:tcBorders>
          </w:tcPr>
          <w:p w14:paraId="313BC999"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5DB1BD49"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2F3CD3CD" w14:textId="77777777" w:rsidTr="000A6E84">
        <w:tc>
          <w:tcPr>
            <w:tcW w:w="2862" w:type="dxa"/>
            <w:tcBorders>
              <w:top w:val="single" w:sz="6" w:space="0" w:color="auto"/>
              <w:left w:val="single" w:sz="6" w:space="0" w:color="auto"/>
              <w:bottom w:val="single" w:sz="6" w:space="0" w:color="auto"/>
              <w:right w:val="single" w:sz="6" w:space="0" w:color="auto"/>
            </w:tcBorders>
          </w:tcPr>
          <w:p w14:paraId="475E3BC2" w14:textId="77777777" w:rsidR="001B2505" w:rsidRPr="004E50E7" w:rsidRDefault="001B2505" w:rsidP="000A6E84">
            <w:pPr>
              <w:ind w:right="-720"/>
              <w:rPr>
                <w:rFonts w:ascii="Calibri" w:hAnsi="Calibri"/>
                <w:sz w:val="20"/>
              </w:rPr>
            </w:pPr>
            <w:r w:rsidRPr="004E50E7">
              <w:rPr>
                <w:rFonts w:ascii="Calibri" w:hAnsi="Calibri"/>
                <w:sz w:val="20"/>
                <w:szCs w:val="22"/>
              </w:rPr>
              <w:t>Chestnut Hollow</w:t>
            </w:r>
          </w:p>
        </w:tc>
        <w:tc>
          <w:tcPr>
            <w:tcW w:w="810" w:type="dxa"/>
            <w:tcBorders>
              <w:top w:val="single" w:sz="6" w:space="0" w:color="auto"/>
              <w:left w:val="single" w:sz="6" w:space="0" w:color="auto"/>
              <w:bottom w:val="single" w:sz="6" w:space="0" w:color="auto"/>
              <w:right w:val="single" w:sz="6" w:space="0" w:color="auto"/>
            </w:tcBorders>
          </w:tcPr>
          <w:p w14:paraId="052750C1" w14:textId="77777777" w:rsidR="001B2505" w:rsidRPr="004E50E7" w:rsidRDefault="001B2505" w:rsidP="000A6E84">
            <w:pPr>
              <w:ind w:right="-720"/>
              <w:rPr>
                <w:rFonts w:ascii="Calibri" w:hAnsi="Calibri"/>
                <w:sz w:val="20"/>
              </w:rPr>
            </w:pPr>
            <w:r w:rsidRPr="004E50E7">
              <w:rPr>
                <w:rFonts w:ascii="Calibri" w:hAnsi="Calibri"/>
                <w:sz w:val="20"/>
                <w:szCs w:val="22"/>
              </w:rPr>
              <w:t>6</w:t>
            </w:r>
          </w:p>
        </w:tc>
        <w:tc>
          <w:tcPr>
            <w:tcW w:w="2880" w:type="dxa"/>
            <w:tcBorders>
              <w:top w:val="single" w:sz="6" w:space="0" w:color="auto"/>
              <w:left w:val="single" w:sz="6" w:space="0" w:color="auto"/>
              <w:bottom w:val="single" w:sz="6" w:space="0" w:color="auto"/>
              <w:right w:val="single" w:sz="6" w:space="0" w:color="auto"/>
            </w:tcBorders>
          </w:tcPr>
          <w:p w14:paraId="5051B655" w14:textId="77777777" w:rsidR="001B2505" w:rsidRPr="004E50E7" w:rsidRDefault="001B2505" w:rsidP="000A6E84">
            <w:pPr>
              <w:ind w:right="-720"/>
              <w:rPr>
                <w:rFonts w:ascii="Calibri" w:hAnsi="Calibri"/>
                <w:sz w:val="20"/>
              </w:rPr>
            </w:pPr>
            <w:r w:rsidRPr="004E50E7">
              <w:rPr>
                <w:rFonts w:ascii="Calibri" w:hAnsi="Calibri"/>
                <w:sz w:val="20"/>
                <w:szCs w:val="22"/>
              </w:rPr>
              <w:t>Rental/DHCD and HUD</w:t>
            </w:r>
          </w:p>
        </w:tc>
        <w:tc>
          <w:tcPr>
            <w:tcW w:w="1217" w:type="dxa"/>
            <w:tcBorders>
              <w:top w:val="single" w:sz="6" w:space="0" w:color="auto"/>
              <w:left w:val="single" w:sz="6" w:space="0" w:color="auto"/>
              <w:bottom w:val="single" w:sz="6" w:space="0" w:color="auto"/>
              <w:right w:val="single" w:sz="6" w:space="0" w:color="auto"/>
            </w:tcBorders>
          </w:tcPr>
          <w:p w14:paraId="69CCB9E3"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6E041F97" w14:textId="77777777" w:rsidR="001B2505" w:rsidRPr="004E50E7" w:rsidRDefault="001B2505" w:rsidP="000A6E84">
            <w:pPr>
              <w:ind w:right="-720"/>
              <w:rPr>
                <w:rFonts w:ascii="Calibri" w:hAnsi="Calibri"/>
                <w:sz w:val="20"/>
              </w:rPr>
            </w:pPr>
            <w:r w:rsidRPr="004E50E7">
              <w:rPr>
                <w:rFonts w:ascii="Calibri" w:hAnsi="Calibri"/>
                <w:sz w:val="20"/>
                <w:szCs w:val="22"/>
              </w:rPr>
              <w:t>2021</w:t>
            </w:r>
          </w:p>
        </w:tc>
      </w:tr>
      <w:tr w:rsidR="001B2505" w:rsidRPr="004E50E7" w14:paraId="6E122201" w14:textId="77777777" w:rsidTr="000A6E84">
        <w:tc>
          <w:tcPr>
            <w:tcW w:w="2862" w:type="dxa"/>
            <w:tcBorders>
              <w:top w:val="single" w:sz="6" w:space="0" w:color="auto"/>
              <w:left w:val="single" w:sz="6" w:space="0" w:color="auto"/>
              <w:bottom w:val="single" w:sz="6" w:space="0" w:color="auto"/>
              <w:right w:val="single" w:sz="6" w:space="0" w:color="auto"/>
            </w:tcBorders>
          </w:tcPr>
          <w:p w14:paraId="4B962156" w14:textId="77777777" w:rsidR="001B2505" w:rsidRPr="004E50E7" w:rsidRDefault="001B2505" w:rsidP="000A6E84">
            <w:pPr>
              <w:ind w:right="-720"/>
              <w:rPr>
                <w:rFonts w:ascii="Calibri" w:hAnsi="Calibri"/>
                <w:sz w:val="20"/>
              </w:rPr>
            </w:pPr>
            <w:r w:rsidRPr="004E50E7">
              <w:rPr>
                <w:rFonts w:ascii="Calibri" w:hAnsi="Calibri"/>
                <w:sz w:val="20"/>
                <w:szCs w:val="22"/>
              </w:rPr>
              <w:t>Suites at Needham</w:t>
            </w:r>
          </w:p>
        </w:tc>
        <w:tc>
          <w:tcPr>
            <w:tcW w:w="810" w:type="dxa"/>
            <w:tcBorders>
              <w:top w:val="single" w:sz="6" w:space="0" w:color="auto"/>
              <w:left w:val="single" w:sz="6" w:space="0" w:color="auto"/>
              <w:bottom w:val="single" w:sz="6" w:space="0" w:color="auto"/>
              <w:right w:val="single" w:sz="6" w:space="0" w:color="auto"/>
            </w:tcBorders>
          </w:tcPr>
          <w:p w14:paraId="5989AD1E" w14:textId="77777777" w:rsidR="001B2505" w:rsidRPr="004E50E7" w:rsidRDefault="001B2505" w:rsidP="000A6E84">
            <w:pPr>
              <w:ind w:right="-720"/>
              <w:rPr>
                <w:rFonts w:ascii="Calibri" w:hAnsi="Calibri"/>
                <w:sz w:val="20"/>
              </w:rPr>
            </w:pPr>
            <w:r w:rsidRPr="004E50E7">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11C33FAD" w14:textId="77777777" w:rsidR="001B2505" w:rsidRPr="004E50E7" w:rsidRDefault="001B2505" w:rsidP="000A6E84">
            <w:pPr>
              <w:ind w:right="-720"/>
              <w:rPr>
                <w:rFonts w:ascii="Calibri" w:hAnsi="Calibri"/>
                <w:sz w:val="20"/>
              </w:rPr>
            </w:pPr>
            <w:r w:rsidRPr="004E50E7">
              <w:rPr>
                <w:rFonts w:ascii="Calibri" w:hAnsi="Calibri"/>
                <w:sz w:val="20"/>
                <w:szCs w:val="22"/>
              </w:rPr>
              <w:t>Ownership/MassHousing</w:t>
            </w:r>
          </w:p>
        </w:tc>
        <w:tc>
          <w:tcPr>
            <w:tcW w:w="1217" w:type="dxa"/>
            <w:tcBorders>
              <w:top w:val="single" w:sz="6" w:space="0" w:color="auto"/>
              <w:left w:val="single" w:sz="6" w:space="0" w:color="auto"/>
              <w:bottom w:val="single" w:sz="6" w:space="0" w:color="auto"/>
              <w:right w:val="single" w:sz="6" w:space="0" w:color="auto"/>
            </w:tcBorders>
          </w:tcPr>
          <w:p w14:paraId="0A6E9948"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4FFB12EE"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5A283DC1" w14:textId="77777777" w:rsidTr="000A6E84">
        <w:tc>
          <w:tcPr>
            <w:tcW w:w="2862" w:type="dxa"/>
            <w:tcBorders>
              <w:top w:val="single" w:sz="6" w:space="0" w:color="auto"/>
              <w:left w:val="single" w:sz="6" w:space="0" w:color="auto"/>
              <w:bottom w:val="single" w:sz="6" w:space="0" w:color="auto"/>
              <w:right w:val="single" w:sz="6" w:space="0" w:color="auto"/>
            </w:tcBorders>
          </w:tcPr>
          <w:p w14:paraId="48AF6FA2" w14:textId="77777777" w:rsidR="001B2505" w:rsidRPr="004E50E7" w:rsidRDefault="001B2505" w:rsidP="000A6E84">
            <w:pPr>
              <w:ind w:right="-720"/>
              <w:rPr>
                <w:rFonts w:ascii="Calibri" w:hAnsi="Calibri"/>
                <w:sz w:val="20"/>
              </w:rPr>
            </w:pPr>
            <w:r w:rsidRPr="004E50E7">
              <w:rPr>
                <w:rFonts w:ascii="Calibri" w:hAnsi="Calibri"/>
                <w:sz w:val="20"/>
                <w:szCs w:val="22"/>
              </w:rPr>
              <w:t>Charles River Landing</w:t>
            </w:r>
          </w:p>
        </w:tc>
        <w:tc>
          <w:tcPr>
            <w:tcW w:w="810" w:type="dxa"/>
            <w:tcBorders>
              <w:top w:val="single" w:sz="6" w:space="0" w:color="auto"/>
              <w:left w:val="single" w:sz="6" w:space="0" w:color="auto"/>
              <w:bottom w:val="single" w:sz="6" w:space="0" w:color="auto"/>
              <w:right w:val="single" w:sz="6" w:space="0" w:color="auto"/>
            </w:tcBorders>
          </w:tcPr>
          <w:p w14:paraId="0D5A69A7" w14:textId="77777777" w:rsidR="001B2505" w:rsidRPr="004E50E7" w:rsidRDefault="001B2505" w:rsidP="000A6E84">
            <w:pPr>
              <w:ind w:right="-720"/>
              <w:rPr>
                <w:rFonts w:ascii="Calibri" w:hAnsi="Calibri"/>
                <w:sz w:val="20"/>
              </w:rPr>
            </w:pPr>
            <w:r w:rsidRPr="004E50E7">
              <w:rPr>
                <w:rFonts w:ascii="Calibri" w:hAnsi="Calibri"/>
                <w:sz w:val="20"/>
                <w:szCs w:val="22"/>
              </w:rPr>
              <w:t>350</w:t>
            </w:r>
          </w:p>
        </w:tc>
        <w:tc>
          <w:tcPr>
            <w:tcW w:w="2880" w:type="dxa"/>
            <w:tcBorders>
              <w:top w:val="single" w:sz="6" w:space="0" w:color="auto"/>
              <w:left w:val="single" w:sz="6" w:space="0" w:color="auto"/>
              <w:bottom w:val="single" w:sz="6" w:space="0" w:color="auto"/>
              <w:right w:val="single" w:sz="6" w:space="0" w:color="auto"/>
            </w:tcBorders>
          </w:tcPr>
          <w:p w14:paraId="6093F04D" w14:textId="77777777" w:rsidR="001B2505" w:rsidRPr="004E50E7" w:rsidRDefault="001B2505" w:rsidP="000A6E84">
            <w:pPr>
              <w:ind w:right="-720"/>
              <w:rPr>
                <w:rFonts w:ascii="Calibri" w:hAnsi="Calibri"/>
                <w:sz w:val="20"/>
              </w:rPr>
            </w:pPr>
            <w:r w:rsidRPr="004E50E7">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2676A280" w14:textId="77777777" w:rsidR="001B2505" w:rsidRPr="004E50E7" w:rsidRDefault="001B2505" w:rsidP="000A6E84">
            <w:pPr>
              <w:ind w:right="-720"/>
              <w:rPr>
                <w:rFonts w:ascii="Calibri" w:hAnsi="Calibri"/>
                <w:sz w:val="20"/>
              </w:rPr>
            </w:pPr>
            <w:r w:rsidRPr="004E50E7">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3044CAE3" w14:textId="77777777" w:rsidR="001B2505" w:rsidRPr="004E50E7" w:rsidRDefault="001B2505" w:rsidP="000A6E84">
            <w:pPr>
              <w:ind w:right="-720"/>
              <w:rPr>
                <w:rFonts w:ascii="Calibri" w:hAnsi="Calibri"/>
                <w:sz w:val="20"/>
              </w:rPr>
            </w:pPr>
            <w:r w:rsidRPr="004E50E7">
              <w:rPr>
                <w:rFonts w:ascii="Calibri" w:hAnsi="Calibri"/>
                <w:sz w:val="20"/>
                <w:szCs w:val="22"/>
              </w:rPr>
              <w:t>Perpetuity</w:t>
            </w:r>
          </w:p>
        </w:tc>
      </w:tr>
      <w:tr w:rsidR="001B2505" w:rsidRPr="004E50E7" w14:paraId="65C52A9C" w14:textId="77777777" w:rsidTr="000A6E84">
        <w:tc>
          <w:tcPr>
            <w:tcW w:w="2862" w:type="dxa"/>
            <w:tcBorders>
              <w:top w:val="single" w:sz="6" w:space="0" w:color="auto"/>
              <w:left w:val="single" w:sz="6" w:space="0" w:color="auto"/>
              <w:bottom w:val="single" w:sz="6" w:space="0" w:color="auto"/>
              <w:right w:val="single" w:sz="6" w:space="0" w:color="auto"/>
            </w:tcBorders>
          </w:tcPr>
          <w:p w14:paraId="54D60667" w14:textId="77777777" w:rsidR="001B2505" w:rsidRPr="004E50E7" w:rsidRDefault="001B2505" w:rsidP="000A6E84">
            <w:pPr>
              <w:ind w:right="-720"/>
              <w:rPr>
                <w:rFonts w:ascii="Calibri" w:hAnsi="Calibri"/>
                <w:sz w:val="20"/>
              </w:rPr>
            </w:pPr>
            <w:r w:rsidRPr="004E50E7">
              <w:rPr>
                <w:rFonts w:ascii="Calibri" w:hAnsi="Calibri"/>
                <w:sz w:val="20"/>
                <w:szCs w:val="22"/>
              </w:rPr>
              <w:t>DDS Group Homes **</w:t>
            </w:r>
          </w:p>
        </w:tc>
        <w:tc>
          <w:tcPr>
            <w:tcW w:w="810" w:type="dxa"/>
            <w:tcBorders>
              <w:top w:val="single" w:sz="6" w:space="0" w:color="auto"/>
              <w:left w:val="single" w:sz="6" w:space="0" w:color="auto"/>
              <w:bottom w:val="single" w:sz="6" w:space="0" w:color="auto"/>
              <w:right w:val="single" w:sz="6" w:space="0" w:color="auto"/>
            </w:tcBorders>
          </w:tcPr>
          <w:p w14:paraId="31C08FD6" w14:textId="77777777" w:rsidR="001B2505" w:rsidRPr="004E50E7" w:rsidRDefault="001B2505" w:rsidP="000A6E84">
            <w:pPr>
              <w:ind w:right="-720"/>
              <w:rPr>
                <w:rFonts w:ascii="Calibri" w:hAnsi="Calibri"/>
                <w:sz w:val="20"/>
              </w:rPr>
            </w:pPr>
            <w:r>
              <w:rPr>
                <w:rFonts w:ascii="Calibri" w:hAnsi="Calibri"/>
                <w:sz w:val="20"/>
                <w:szCs w:val="22"/>
              </w:rPr>
              <w:t>84****</w:t>
            </w:r>
          </w:p>
        </w:tc>
        <w:tc>
          <w:tcPr>
            <w:tcW w:w="2880" w:type="dxa"/>
            <w:tcBorders>
              <w:top w:val="single" w:sz="6" w:space="0" w:color="auto"/>
              <w:left w:val="single" w:sz="6" w:space="0" w:color="auto"/>
              <w:bottom w:val="single" w:sz="6" w:space="0" w:color="auto"/>
              <w:right w:val="single" w:sz="6" w:space="0" w:color="auto"/>
            </w:tcBorders>
          </w:tcPr>
          <w:p w14:paraId="435AC63B" w14:textId="77777777" w:rsidR="001B2505" w:rsidRPr="004E50E7" w:rsidRDefault="001B2505" w:rsidP="000A6E84">
            <w:pPr>
              <w:ind w:right="-720"/>
              <w:rPr>
                <w:rFonts w:ascii="Calibri" w:hAnsi="Calibri"/>
                <w:sz w:val="20"/>
              </w:rPr>
            </w:pPr>
            <w:r w:rsidRPr="004E50E7">
              <w:rPr>
                <w:rFonts w:ascii="Calibri" w:hAnsi="Calibri"/>
                <w:sz w:val="20"/>
                <w:szCs w:val="22"/>
              </w:rPr>
              <w:t>Special Needs Rental/DDS</w:t>
            </w:r>
          </w:p>
        </w:tc>
        <w:tc>
          <w:tcPr>
            <w:tcW w:w="1217" w:type="dxa"/>
            <w:tcBorders>
              <w:top w:val="single" w:sz="6" w:space="0" w:color="auto"/>
              <w:left w:val="single" w:sz="6" w:space="0" w:color="auto"/>
              <w:bottom w:val="single" w:sz="6" w:space="0" w:color="auto"/>
              <w:right w:val="single" w:sz="6" w:space="0" w:color="auto"/>
            </w:tcBorders>
          </w:tcPr>
          <w:p w14:paraId="0C7395D6" w14:textId="77777777" w:rsidR="001B2505" w:rsidRPr="004E50E7" w:rsidRDefault="001B2505" w:rsidP="000A6E84">
            <w:pPr>
              <w:ind w:right="-720"/>
              <w:rPr>
                <w:rFonts w:ascii="Calibri" w:hAnsi="Calibri"/>
                <w:sz w:val="20"/>
              </w:rPr>
            </w:pPr>
            <w:r w:rsidRPr="004E50E7">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4947E265" w14:textId="77777777" w:rsidR="001B2505" w:rsidRPr="004E50E7" w:rsidRDefault="001B2505" w:rsidP="000A6E84">
            <w:pPr>
              <w:ind w:right="-720"/>
              <w:rPr>
                <w:rFonts w:ascii="Calibri" w:hAnsi="Calibri"/>
                <w:sz w:val="20"/>
              </w:rPr>
            </w:pPr>
            <w:r w:rsidRPr="004E50E7">
              <w:rPr>
                <w:rFonts w:ascii="Calibri" w:hAnsi="Calibri"/>
                <w:sz w:val="20"/>
                <w:szCs w:val="22"/>
              </w:rPr>
              <w:t>NA</w:t>
            </w:r>
          </w:p>
        </w:tc>
      </w:tr>
      <w:tr w:rsidR="001B2505" w:rsidRPr="004E50E7" w14:paraId="2CC1E4EC" w14:textId="77777777" w:rsidTr="000A6E84">
        <w:tc>
          <w:tcPr>
            <w:tcW w:w="2862" w:type="dxa"/>
            <w:tcBorders>
              <w:top w:val="single" w:sz="6" w:space="0" w:color="auto"/>
              <w:left w:val="single" w:sz="6" w:space="0" w:color="auto"/>
              <w:bottom w:val="single" w:sz="6" w:space="0" w:color="auto"/>
              <w:right w:val="single" w:sz="6" w:space="0" w:color="auto"/>
            </w:tcBorders>
          </w:tcPr>
          <w:p w14:paraId="58008E6B" w14:textId="77777777" w:rsidR="001B2505" w:rsidRPr="004E50E7" w:rsidRDefault="001B2505" w:rsidP="000A6E84">
            <w:pPr>
              <w:ind w:right="-720"/>
              <w:rPr>
                <w:rFonts w:ascii="Calibri" w:hAnsi="Calibri"/>
                <w:sz w:val="20"/>
              </w:rPr>
            </w:pPr>
            <w:r>
              <w:rPr>
                <w:rFonts w:ascii="Calibri" w:hAnsi="Calibri"/>
                <w:sz w:val="20"/>
                <w:szCs w:val="22"/>
              </w:rPr>
              <w:t>Craftsman Village</w:t>
            </w:r>
          </w:p>
        </w:tc>
        <w:tc>
          <w:tcPr>
            <w:tcW w:w="810" w:type="dxa"/>
            <w:tcBorders>
              <w:top w:val="single" w:sz="6" w:space="0" w:color="auto"/>
              <w:left w:val="single" w:sz="6" w:space="0" w:color="auto"/>
              <w:bottom w:val="single" w:sz="6" w:space="0" w:color="auto"/>
              <w:right w:val="single" w:sz="6" w:space="0" w:color="auto"/>
            </w:tcBorders>
          </w:tcPr>
          <w:p w14:paraId="2864805B" w14:textId="77777777" w:rsidR="001B2505" w:rsidRPr="004E50E7" w:rsidRDefault="001B2505" w:rsidP="000A6E84">
            <w:pPr>
              <w:ind w:right="-720"/>
              <w:rPr>
                <w:rFonts w:ascii="Calibri" w:hAnsi="Calibri"/>
                <w:sz w:val="20"/>
              </w:rPr>
            </w:pPr>
            <w:r>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329CE299" w14:textId="77777777" w:rsidR="001B2505" w:rsidRPr="004E50E7" w:rsidRDefault="001B2505" w:rsidP="000A6E84">
            <w:pPr>
              <w:ind w:right="-720"/>
              <w:rPr>
                <w:rFonts w:ascii="Calibri" w:hAnsi="Calibri"/>
                <w:sz w:val="20"/>
              </w:rPr>
            </w:pPr>
            <w:r>
              <w:rPr>
                <w:rFonts w:ascii="Calibri" w:hAnsi="Calibri"/>
                <w:sz w:val="20"/>
                <w:szCs w:val="22"/>
              </w:rPr>
              <w:t>Ownership/MassHousing</w:t>
            </w:r>
          </w:p>
        </w:tc>
        <w:tc>
          <w:tcPr>
            <w:tcW w:w="1217" w:type="dxa"/>
            <w:tcBorders>
              <w:top w:val="single" w:sz="6" w:space="0" w:color="auto"/>
              <w:left w:val="single" w:sz="6" w:space="0" w:color="auto"/>
              <w:bottom w:val="single" w:sz="6" w:space="0" w:color="auto"/>
              <w:right w:val="single" w:sz="6" w:space="0" w:color="auto"/>
            </w:tcBorders>
          </w:tcPr>
          <w:p w14:paraId="47ADE29F" w14:textId="77777777" w:rsidR="001B2505" w:rsidRPr="004E50E7"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74DBBBD6" w14:textId="77777777" w:rsidR="001B2505" w:rsidRPr="004E50E7" w:rsidRDefault="001B2505" w:rsidP="000A6E84">
            <w:pPr>
              <w:ind w:right="-720"/>
              <w:rPr>
                <w:rFonts w:ascii="Calibri" w:hAnsi="Calibri"/>
                <w:sz w:val="20"/>
              </w:rPr>
            </w:pPr>
            <w:r>
              <w:rPr>
                <w:rFonts w:ascii="Calibri" w:hAnsi="Calibri"/>
                <w:sz w:val="20"/>
                <w:szCs w:val="22"/>
              </w:rPr>
              <w:t>Perpetuity</w:t>
            </w:r>
          </w:p>
        </w:tc>
      </w:tr>
      <w:tr w:rsidR="001B2505" w:rsidRPr="004E50E7" w14:paraId="79596005" w14:textId="77777777" w:rsidTr="000A6E84">
        <w:tc>
          <w:tcPr>
            <w:tcW w:w="2862" w:type="dxa"/>
            <w:tcBorders>
              <w:top w:val="single" w:sz="6" w:space="0" w:color="auto"/>
              <w:left w:val="single" w:sz="6" w:space="0" w:color="auto"/>
              <w:bottom w:val="single" w:sz="6" w:space="0" w:color="auto"/>
              <w:right w:val="single" w:sz="6" w:space="0" w:color="auto"/>
            </w:tcBorders>
          </w:tcPr>
          <w:p w14:paraId="25780608" w14:textId="77777777" w:rsidR="001B2505" w:rsidRPr="004E50E7" w:rsidRDefault="001B2505" w:rsidP="000A6E84">
            <w:pPr>
              <w:ind w:right="-720"/>
              <w:rPr>
                <w:rFonts w:ascii="Calibri" w:hAnsi="Calibri"/>
                <w:sz w:val="20"/>
              </w:rPr>
            </w:pPr>
            <w:r>
              <w:rPr>
                <w:rFonts w:ascii="Calibri" w:hAnsi="Calibri"/>
                <w:sz w:val="20"/>
                <w:szCs w:val="22"/>
              </w:rPr>
              <w:t>Greendale Village</w:t>
            </w:r>
          </w:p>
        </w:tc>
        <w:tc>
          <w:tcPr>
            <w:tcW w:w="810" w:type="dxa"/>
            <w:tcBorders>
              <w:top w:val="single" w:sz="6" w:space="0" w:color="auto"/>
              <w:left w:val="single" w:sz="6" w:space="0" w:color="auto"/>
              <w:bottom w:val="single" w:sz="6" w:space="0" w:color="auto"/>
              <w:right w:val="single" w:sz="6" w:space="0" w:color="auto"/>
            </w:tcBorders>
          </w:tcPr>
          <w:p w14:paraId="088C21A6" w14:textId="77777777" w:rsidR="001B2505" w:rsidRPr="004E50E7" w:rsidRDefault="001B2505" w:rsidP="000A6E84">
            <w:pPr>
              <w:ind w:right="-720"/>
              <w:rPr>
                <w:rFonts w:ascii="Calibri" w:hAnsi="Calibri"/>
                <w:sz w:val="20"/>
              </w:rPr>
            </w:pPr>
            <w:r>
              <w:rPr>
                <w:rFonts w:ascii="Calibri" w:hAnsi="Calibri"/>
                <w:sz w:val="20"/>
                <w:szCs w:val="22"/>
              </w:rPr>
              <w:t>4</w:t>
            </w:r>
          </w:p>
        </w:tc>
        <w:tc>
          <w:tcPr>
            <w:tcW w:w="2880" w:type="dxa"/>
            <w:tcBorders>
              <w:top w:val="single" w:sz="6" w:space="0" w:color="auto"/>
              <w:left w:val="single" w:sz="6" w:space="0" w:color="auto"/>
              <w:bottom w:val="single" w:sz="6" w:space="0" w:color="auto"/>
              <w:right w:val="single" w:sz="6" w:space="0" w:color="auto"/>
            </w:tcBorders>
          </w:tcPr>
          <w:p w14:paraId="02F38E63" w14:textId="77777777" w:rsidR="001B2505" w:rsidRPr="004E50E7" w:rsidRDefault="001B2505" w:rsidP="000A6E84">
            <w:pPr>
              <w:ind w:right="-720"/>
              <w:rPr>
                <w:rFonts w:ascii="Calibri" w:hAnsi="Calibri"/>
                <w:sz w:val="20"/>
              </w:rPr>
            </w:pPr>
            <w:r>
              <w:rPr>
                <w:rFonts w:ascii="Calibri" w:hAnsi="Calibri"/>
                <w:sz w:val="20"/>
                <w:szCs w:val="22"/>
              </w:rPr>
              <w:t>Ownership/MassHousing</w:t>
            </w:r>
          </w:p>
        </w:tc>
        <w:tc>
          <w:tcPr>
            <w:tcW w:w="1217" w:type="dxa"/>
            <w:tcBorders>
              <w:top w:val="single" w:sz="6" w:space="0" w:color="auto"/>
              <w:left w:val="single" w:sz="6" w:space="0" w:color="auto"/>
              <w:bottom w:val="single" w:sz="6" w:space="0" w:color="auto"/>
              <w:right w:val="single" w:sz="6" w:space="0" w:color="auto"/>
            </w:tcBorders>
          </w:tcPr>
          <w:p w14:paraId="54AA1E77" w14:textId="77777777" w:rsidR="001B2505" w:rsidRPr="004E50E7"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1D5FA569" w14:textId="77777777" w:rsidR="001B2505" w:rsidRPr="004E50E7" w:rsidRDefault="001B2505" w:rsidP="000A6E84">
            <w:pPr>
              <w:ind w:right="-720"/>
              <w:rPr>
                <w:rFonts w:ascii="Calibri" w:hAnsi="Calibri"/>
                <w:sz w:val="20"/>
              </w:rPr>
            </w:pPr>
            <w:r>
              <w:rPr>
                <w:rFonts w:ascii="Calibri" w:hAnsi="Calibri"/>
                <w:sz w:val="20"/>
                <w:szCs w:val="22"/>
              </w:rPr>
              <w:t>Perpetuity</w:t>
            </w:r>
          </w:p>
        </w:tc>
      </w:tr>
      <w:tr w:rsidR="001B2505" w:rsidRPr="004E50E7" w14:paraId="4291A57A" w14:textId="77777777" w:rsidTr="000A6E84">
        <w:tc>
          <w:tcPr>
            <w:tcW w:w="2862" w:type="dxa"/>
            <w:tcBorders>
              <w:top w:val="single" w:sz="6" w:space="0" w:color="auto"/>
              <w:left w:val="single" w:sz="6" w:space="0" w:color="auto"/>
              <w:bottom w:val="single" w:sz="6" w:space="0" w:color="auto"/>
              <w:right w:val="single" w:sz="6" w:space="0" w:color="auto"/>
            </w:tcBorders>
          </w:tcPr>
          <w:p w14:paraId="74C58677" w14:textId="77777777" w:rsidR="001B2505" w:rsidRPr="00E927CE" w:rsidRDefault="001B2505" w:rsidP="000A6E84">
            <w:pPr>
              <w:ind w:right="-720"/>
              <w:rPr>
                <w:rFonts w:ascii="Calibri" w:hAnsi="Calibri"/>
                <w:sz w:val="20"/>
              </w:rPr>
            </w:pPr>
            <w:r w:rsidRPr="00E927CE">
              <w:rPr>
                <w:rFonts w:ascii="Calibri" w:hAnsi="Calibri"/>
                <w:sz w:val="20"/>
                <w:szCs w:val="22"/>
              </w:rPr>
              <w:t>The Residences at Wingate</w:t>
            </w:r>
          </w:p>
        </w:tc>
        <w:tc>
          <w:tcPr>
            <w:tcW w:w="810" w:type="dxa"/>
            <w:tcBorders>
              <w:top w:val="single" w:sz="6" w:space="0" w:color="auto"/>
              <w:left w:val="single" w:sz="6" w:space="0" w:color="auto"/>
              <w:bottom w:val="single" w:sz="6" w:space="0" w:color="auto"/>
              <w:right w:val="single" w:sz="6" w:space="0" w:color="auto"/>
            </w:tcBorders>
          </w:tcPr>
          <w:p w14:paraId="58C47DBD" w14:textId="77777777" w:rsidR="001B2505" w:rsidRPr="00E927CE" w:rsidRDefault="001B2505" w:rsidP="000A6E84">
            <w:pPr>
              <w:ind w:right="-720"/>
              <w:rPr>
                <w:rFonts w:ascii="Calibri" w:hAnsi="Calibri"/>
                <w:sz w:val="20"/>
              </w:rPr>
            </w:pPr>
            <w:r w:rsidRPr="00E927CE">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051894E7" w14:textId="77777777" w:rsidR="001B2505" w:rsidRPr="00E927CE" w:rsidRDefault="001B2505" w:rsidP="000A6E84">
            <w:pPr>
              <w:ind w:right="-720"/>
              <w:rPr>
                <w:rFonts w:ascii="Calibri" w:hAnsi="Calibri"/>
                <w:sz w:val="20"/>
              </w:rPr>
            </w:pPr>
            <w:r w:rsidRPr="00E927CE">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1B152236" w14:textId="77777777" w:rsidR="001B2505" w:rsidRPr="00E927CE" w:rsidRDefault="001B2505" w:rsidP="000A6E84">
            <w:pPr>
              <w:ind w:right="-720"/>
              <w:rPr>
                <w:rFonts w:ascii="Calibri" w:hAnsi="Calibri"/>
                <w:sz w:val="20"/>
              </w:rPr>
            </w:pPr>
            <w:r w:rsidRPr="00E927CE">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14CE1F40" w14:textId="77777777" w:rsidR="001B2505" w:rsidRPr="00E927CE" w:rsidRDefault="001B2505" w:rsidP="000A6E84">
            <w:pPr>
              <w:ind w:right="-720"/>
              <w:rPr>
                <w:rFonts w:ascii="Calibri" w:hAnsi="Calibri"/>
                <w:sz w:val="20"/>
              </w:rPr>
            </w:pPr>
            <w:r w:rsidRPr="00E927CE">
              <w:rPr>
                <w:rFonts w:ascii="Calibri" w:hAnsi="Calibri"/>
                <w:sz w:val="20"/>
                <w:szCs w:val="22"/>
              </w:rPr>
              <w:t>Perpetuity</w:t>
            </w:r>
          </w:p>
        </w:tc>
      </w:tr>
      <w:tr w:rsidR="001B2505" w:rsidRPr="004E50E7" w14:paraId="1FCE3A23" w14:textId="77777777" w:rsidTr="000A6E84">
        <w:tc>
          <w:tcPr>
            <w:tcW w:w="2862" w:type="dxa"/>
            <w:tcBorders>
              <w:top w:val="single" w:sz="6" w:space="0" w:color="auto"/>
              <w:left w:val="single" w:sz="6" w:space="0" w:color="auto"/>
              <w:bottom w:val="single" w:sz="6" w:space="0" w:color="auto"/>
              <w:right w:val="single" w:sz="6" w:space="0" w:color="auto"/>
            </w:tcBorders>
          </w:tcPr>
          <w:p w14:paraId="6886213E" w14:textId="77777777" w:rsidR="001B2505" w:rsidRDefault="001B2505" w:rsidP="000A6E84">
            <w:pPr>
              <w:ind w:right="-720"/>
              <w:rPr>
                <w:rFonts w:ascii="Calibri" w:hAnsi="Calibri"/>
                <w:sz w:val="20"/>
              </w:rPr>
            </w:pPr>
            <w:r>
              <w:rPr>
                <w:rFonts w:ascii="Calibri" w:hAnsi="Calibri"/>
                <w:sz w:val="20"/>
                <w:szCs w:val="22"/>
              </w:rPr>
              <w:t>Webster Street Green</w:t>
            </w:r>
          </w:p>
        </w:tc>
        <w:tc>
          <w:tcPr>
            <w:tcW w:w="810" w:type="dxa"/>
            <w:tcBorders>
              <w:top w:val="single" w:sz="6" w:space="0" w:color="auto"/>
              <w:left w:val="single" w:sz="6" w:space="0" w:color="auto"/>
              <w:bottom w:val="single" w:sz="6" w:space="0" w:color="auto"/>
              <w:right w:val="single" w:sz="6" w:space="0" w:color="auto"/>
            </w:tcBorders>
          </w:tcPr>
          <w:p w14:paraId="7CB64540" w14:textId="77777777" w:rsidR="001B2505" w:rsidRDefault="001B2505" w:rsidP="000A6E84">
            <w:pPr>
              <w:ind w:right="-720"/>
              <w:rPr>
                <w:rFonts w:ascii="Calibri" w:hAnsi="Calibri"/>
                <w:sz w:val="20"/>
              </w:rPr>
            </w:pPr>
            <w:r>
              <w:rPr>
                <w:rFonts w:ascii="Calibri" w:hAnsi="Calibri"/>
                <w:sz w:val="20"/>
                <w:szCs w:val="22"/>
              </w:rPr>
              <w:t>2</w:t>
            </w:r>
          </w:p>
        </w:tc>
        <w:tc>
          <w:tcPr>
            <w:tcW w:w="2880" w:type="dxa"/>
            <w:tcBorders>
              <w:top w:val="single" w:sz="6" w:space="0" w:color="auto"/>
              <w:left w:val="single" w:sz="6" w:space="0" w:color="auto"/>
              <w:bottom w:val="single" w:sz="6" w:space="0" w:color="auto"/>
              <w:right w:val="single" w:sz="6" w:space="0" w:color="auto"/>
            </w:tcBorders>
          </w:tcPr>
          <w:p w14:paraId="778BA082" w14:textId="77777777" w:rsidR="001B2505" w:rsidRDefault="001B2505" w:rsidP="000A6E84">
            <w:pPr>
              <w:ind w:right="-720"/>
              <w:rPr>
                <w:rFonts w:ascii="Calibri" w:hAnsi="Calibri"/>
                <w:sz w:val="20"/>
              </w:rPr>
            </w:pPr>
            <w:r>
              <w:rPr>
                <w:rFonts w:ascii="Calibri" w:hAnsi="Calibri"/>
                <w:sz w:val="20"/>
                <w:szCs w:val="22"/>
              </w:rPr>
              <w:t>Ownership/MassHousing</w:t>
            </w:r>
          </w:p>
        </w:tc>
        <w:tc>
          <w:tcPr>
            <w:tcW w:w="1217" w:type="dxa"/>
            <w:tcBorders>
              <w:top w:val="single" w:sz="6" w:space="0" w:color="auto"/>
              <w:left w:val="single" w:sz="6" w:space="0" w:color="auto"/>
              <w:bottom w:val="single" w:sz="6" w:space="0" w:color="auto"/>
              <w:right w:val="single" w:sz="6" w:space="0" w:color="auto"/>
            </w:tcBorders>
          </w:tcPr>
          <w:p w14:paraId="42998999" w14:textId="77777777" w:rsidR="001B2505"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17407B7D"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6BBA5DA4" w14:textId="77777777" w:rsidTr="000A6E84">
        <w:tc>
          <w:tcPr>
            <w:tcW w:w="2862" w:type="dxa"/>
            <w:tcBorders>
              <w:top w:val="single" w:sz="6" w:space="0" w:color="auto"/>
              <w:left w:val="single" w:sz="6" w:space="0" w:color="auto"/>
              <w:bottom w:val="single" w:sz="6" w:space="0" w:color="auto"/>
              <w:right w:val="single" w:sz="6" w:space="0" w:color="auto"/>
            </w:tcBorders>
          </w:tcPr>
          <w:p w14:paraId="45990E61" w14:textId="77777777" w:rsidR="001B2505" w:rsidRDefault="001B2505" w:rsidP="000A6E84">
            <w:pPr>
              <w:ind w:right="-720"/>
              <w:rPr>
                <w:rFonts w:ascii="Calibri" w:hAnsi="Calibri"/>
                <w:sz w:val="20"/>
              </w:rPr>
            </w:pPr>
            <w:r>
              <w:rPr>
                <w:rFonts w:ascii="Calibri" w:hAnsi="Calibri"/>
                <w:sz w:val="20"/>
                <w:szCs w:val="22"/>
              </w:rPr>
              <w:t>Needham Place/50 Dedham Ave.</w:t>
            </w:r>
          </w:p>
        </w:tc>
        <w:tc>
          <w:tcPr>
            <w:tcW w:w="810" w:type="dxa"/>
            <w:tcBorders>
              <w:top w:val="single" w:sz="6" w:space="0" w:color="auto"/>
              <w:left w:val="single" w:sz="6" w:space="0" w:color="auto"/>
              <w:bottom w:val="single" w:sz="6" w:space="0" w:color="auto"/>
              <w:right w:val="single" w:sz="6" w:space="0" w:color="auto"/>
            </w:tcBorders>
          </w:tcPr>
          <w:p w14:paraId="1BC98BE3" w14:textId="77777777" w:rsidR="001B2505" w:rsidRDefault="001B2505" w:rsidP="000A6E84">
            <w:pPr>
              <w:ind w:right="-720"/>
              <w:rPr>
                <w:rFonts w:ascii="Calibri" w:hAnsi="Calibri"/>
                <w:sz w:val="20"/>
              </w:rPr>
            </w:pPr>
            <w:r>
              <w:rPr>
                <w:rFonts w:ascii="Calibri" w:hAnsi="Calibri"/>
                <w:sz w:val="20"/>
                <w:szCs w:val="22"/>
              </w:rPr>
              <w:t>1</w:t>
            </w:r>
          </w:p>
        </w:tc>
        <w:tc>
          <w:tcPr>
            <w:tcW w:w="2880" w:type="dxa"/>
            <w:tcBorders>
              <w:top w:val="single" w:sz="6" w:space="0" w:color="auto"/>
              <w:left w:val="single" w:sz="6" w:space="0" w:color="auto"/>
              <w:bottom w:val="single" w:sz="6" w:space="0" w:color="auto"/>
              <w:right w:val="single" w:sz="6" w:space="0" w:color="auto"/>
            </w:tcBorders>
          </w:tcPr>
          <w:p w14:paraId="1E08457B" w14:textId="77777777" w:rsidR="001B2505" w:rsidRDefault="001B2505" w:rsidP="000A6E84">
            <w:pPr>
              <w:ind w:right="-720"/>
              <w:rPr>
                <w:rFonts w:ascii="Calibri" w:hAnsi="Calibri"/>
                <w:sz w:val="20"/>
              </w:rPr>
            </w:pPr>
            <w:r>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3E5E3422" w14:textId="77777777" w:rsidR="001B2505" w:rsidRDefault="001B2505" w:rsidP="000A6E84">
            <w:pPr>
              <w:ind w:right="-720"/>
              <w:rPr>
                <w:rFonts w:ascii="Calibri" w:hAnsi="Calibri"/>
                <w:sz w:val="20"/>
              </w:rPr>
            </w:pPr>
            <w:r>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3F02DBE3"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5D904CC8" w14:textId="77777777" w:rsidTr="000A6E84">
        <w:tc>
          <w:tcPr>
            <w:tcW w:w="2862" w:type="dxa"/>
            <w:tcBorders>
              <w:top w:val="single" w:sz="6" w:space="0" w:color="auto"/>
              <w:left w:val="single" w:sz="6" w:space="0" w:color="auto"/>
              <w:bottom w:val="single" w:sz="6" w:space="0" w:color="auto"/>
              <w:right w:val="single" w:sz="6" w:space="0" w:color="auto"/>
            </w:tcBorders>
          </w:tcPr>
          <w:p w14:paraId="67A75609" w14:textId="77777777" w:rsidR="001B2505" w:rsidRDefault="001B2505" w:rsidP="000A6E84">
            <w:pPr>
              <w:ind w:right="-720"/>
              <w:rPr>
                <w:rFonts w:ascii="Calibri" w:hAnsi="Calibri"/>
                <w:sz w:val="20"/>
              </w:rPr>
            </w:pPr>
            <w:r>
              <w:rPr>
                <w:rFonts w:ascii="Calibri" w:hAnsi="Calibri"/>
                <w:sz w:val="20"/>
                <w:szCs w:val="22"/>
              </w:rPr>
              <w:t>The Kendrick/2</w:t>
            </w:r>
            <w:r w:rsidRPr="009F0AC0">
              <w:rPr>
                <w:rFonts w:ascii="Calibri" w:hAnsi="Calibri"/>
                <w:sz w:val="20"/>
                <w:szCs w:val="22"/>
                <w:vertAlign w:val="superscript"/>
              </w:rPr>
              <w:t>nd</w:t>
            </w:r>
            <w:r>
              <w:rPr>
                <w:rFonts w:ascii="Calibri" w:hAnsi="Calibri"/>
                <w:sz w:val="20"/>
                <w:szCs w:val="22"/>
              </w:rPr>
              <w:t xml:space="preserve"> Avenue </w:t>
            </w:r>
          </w:p>
          <w:p w14:paraId="199C820C" w14:textId="77777777" w:rsidR="001B2505" w:rsidRDefault="001B2505" w:rsidP="000A6E84">
            <w:pPr>
              <w:ind w:right="-720"/>
              <w:rPr>
                <w:rFonts w:ascii="Calibri" w:hAnsi="Calibri"/>
                <w:sz w:val="20"/>
              </w:rPr>
            </w:pPr>
            <w:r>
              <w:rPr>
                <w:rFonts w:ascii="Calibri" w:hAnsi="Calibri"/>
                <w:sz w:val="20"/>
                <w:szCs w:val="22"/>
              </w:rPr>
              <w:t>Residences</w:t>
            </w:r>
          </w:p>
        </w:tc>
        <w:tc>
          <w:tcPr>
            <w:tcW w:w="810" w:type="dxa"/>
            <w:tcBorders>
              <w:top w:val="single" w:sz="6" w:space="0" w:color="auto"/>
              <w:left w:val="single" w:sz="6" w:space="0" w:color="auto"/>
              <w:bottom w:val="single" w:sz="6" w:space="0" w:color="auto"/>
              <w:right w:val="single" w:sz="6" w:space="0" w:color="auto"/>
            </w:tcBorders>
          </w:tcPr>
          <w:p w14:paraId="2435B39E" w14:textId="77777777" w:rsidR="001B2505" w:rsidRDefault="001B2505" w:rsidP="000A6E84">
            <w:pPr>
              <w:ind w:right="-720"/>
              <w:rPr>
                <w:rFonts w:ascii="Calibri" w:hAnsi="Calibri"/>
                <w:sz w:val="20"/>
              </w:rPr>
            </w:pPr>
            <w:r>
              <w:rPr>
                <w:rFonts w:ascii="Calibri" w:hAnsi="Calibri"/>
                <w:sz w:val="20"/>
                <w:szCs w:val="22"/>
              </w:rPr>
              <w:t>390</w:t>
            </w:r>
          </w:p>
        </w:tc>
        <w:tc>
          <w:tcPr>
            <w:tcW w:w="2880" w:type="dxa"/>
            <w:tcBorders>
              <w:top w:val="single" w:sz="6" w:space="0" w:color="auto"/>
              <w:left w:val="single" w:sz="6" w:space="0" w:color="auto"/>
              <w:bottom w:val="single" w:sz="6" w:space="0" w:color="auto"/>
              <w:right w:val="single" w:sz="6" w:space="0" w:color="auto"/>
            </w:tcBorders>
          </w:tcPr>
          <w:p w14:paraId="3B388326" w14:textId="77777777" w:rsidR="001B2505" w:rsidRDefault="001B2505" w:rsidP="000A6E84">
            <w:pPr>
              <w:ind w:right="-720"/>
              <w:rPr>
                <w:rFonts w:ascii="Calibri" w:hAnsi="Calibri"/>
                <w:sz w:val="20"/>
              </w:rPr>
            </w:pPr>
            <w:r>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020C1EFA" w14:textId="77777777" w:rsidR="001B2505"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260D0BF4"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241F1404" w14:textId="77777777" w:rsidTr="000A6E84">
        <w:tc>
          <w:tcPr>
            <w:tcW w:w="2862" w:type="dxa"/>
            <w:tcBorders>
              <w:top w:val="single" w:sz="6" w:space="0" w:color="auto"/>
              <w:left w:val="single" w:sz="6" w:space="0" w:color="auto"/>
              <w:bottom w:val="single" w:sz="6" w:space="0" w:color="auto"/>
              <w:right w:val="single" w:sz="6" w:space="0" w:color="auto"/>
            </w:tcBorders>
          </w:tcPr>
          <w:p w14:paraId="03DE8DE5" w14:textId="77777777" w:rsidR="001B2505" w:rsidRDefault="001B2505" w:rsidP="000A6E84">
            <w:pPr>
              <w:ind w:right="-720"/>
              <w:rPr>
                <w:rFonts w:ascii="Calibri" w:hAnsi="Calibri"/>
                <w:sz w:val="20"/>
              </w:rPr>
            </w:pPr>
            <w:r>
              <w:rPr>
                <w:rFonts w:ascii="Calibri" w:hAnsi="Calibri"/>
                <w:sz w:val="20"/>
                <w:szCs w:val="22"/>
              </w:rPr>
              <w:t>Wingate Phase II</w:t>
            </w:r>
          </w:p>
        </w:tc>
        <w:tc>
          <w:tcPr>
            <w:tcW w:w="810" w:type="dxa"/>
            <w:tcBorders>
              <w:top w:val="single" w:sz="6" w:space="0" w:color="auto"/>
              <w:left w:val="single" w:sz="6" w:space="0" w:color="auto"/>
              <w:bottom w:val="single" w:sz="6" w:space="0" w:color="auto"/>
              <w:right w:val="single" w:sz="6" w:space="0" w:color="auto"/>
            </w:tcBorders>
          </w:tcPr>
          <w:p w14:paraId="0BF639A0" w14:textId="77777777" w:rsidR="001B2505" w:rsidRDefault="001B2505" w:rsidP="000A6E84">
            <w:pPr>
              <w:ind w:right="-720"/>
              <w:rPr>
                <w:rFonts w:ascii="Calibri" w:hAnsi="Calibri"/>
                <w:sz w:val="20"/>
              </w:rPr>
            </w:pPr>
            <w:r>
              <w:rPr>
                <w:rFonts w:ascii="Calibri" w:hAnsi="Calibri"/>
                <w:sz w:val="20"/>
                <w:szCs w:val="22"/>
              </w:rPr>
              <w:t>5</w:t>
            </w:r>
          </w:p>
        </w:tc>
        <w:tc>
          <w:tcPr>
            <w:tcW w:w="2880" w:type="dxa"/>
            <w:tcBorders>
              <w:top w:val="single" w:sz="6" w:space="0" w:color="auto"/>
              <w:left w:val="single" w:sz="6" w:space="0" w:color="auto"/>
              <w:bottom w:val="single" w:sz="6" w:space="0" w:color="auto"/>
              <w:right w:val="single" w:sz="6" w:space="0" w:color="auto"/>
            </w:tcBorders>
          </w:tcPr>
          <w:p w14:paraId="000D61C8" w14:textId="77777777" w:rsidR="001B2505" w:rsidRDefault="001B2505" w:rsidP="000A6E84">
            <w:pPr>
              <w:ind w:right="-720"/>
              <w:rPr>
                <w:rFonts w:ascii="Calibri" w:hAnsi="Calibri"/>
                <w:sz w:val="20"/>
              </w:rPr>
            </w:pPr>
            <w:r>
              <w:rPr>
                <w:rFonts w:ascii="Calibri" w:hAnsi="Calibri"/>
                <w:sz w:val="20"/>
                <w:szCs w:val="22"/>
              </w:rPr>
              <w:t>Rental/DHCD</w:t>
            </w:r>
          </w:p>
        </w:tc>
        <w:tc>
          <w:tcPr>
            <w:tcW w:w="1217" w:type="dxa"/>
            <w:tcBorders>
              <w:top w:val="single" w:sz="6" w:space="0" w:color="auto"/>
              <w:left w:val="single" w:sz="6" w:space="0" w:color="auto"/>
              <w:bottom w:val="single" w:sz="6" w:space="0" w:color="auto"/>
              <w:right w:val="single" w:sz="6" w:space="0" w:color="auto"/>
            </w:tcBorders>
          </w:tcPr>
          <w:p w14:paraId="1C6CE10B" w14:textId="77777777" w:rsidR="001B2505" w:rsidRDefault="001B2505" w:rsidP="000A6E84">
            <w:pPr>
              <w:ind w:right="-720"/>
              <w:rPr>
                <w:rFonts w:ascii="Calibri" w:hAnsi="Calibri"/>
                <w:sz w:val="20"/>
              </w:rPr>
            </w:pPr>
            <w:r>
              <w:rPr>
                <w:rFonts w:ascii="Calibri" w:hAnsi="Calibri"/>
                <w:sz w:val="20"/>
                <w:szCs w:val="22"/>
              </w:rPr>
              <w:t>No</w:t>
            </w:r>
          </w:p>
        </w:tc>
        <w:tc>
          <w:tcPr>
            <w:tcW w:w="1771" w:type="dxa"/>
            <w:tcBorders>
              <w:top w:val="single" w:sz="6" w:space="0" w:color="auto"/>
              <w:left w:val="single" w:sz="6" w:space="0" w:color="auto"/>
              <w:bottom w:val="single" w:sz="6" w:space="0" w:color="auto"/>
              <w:right w:val="single" w:sz="6" w:space="0" w:color="auto"/>
            </w:tcBorders>
          </w:tcPr>
          <w:p w14:paraId="18021CFF"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661EC6AD" w14:textId="77777777" w:rsidTr="000A6E84">
        <w:tc>
          <w:tcPr>
            <w:tcW w:w="2862" w:type="dxa"/>
            <w:tcBorders>
              <w:top w:val="single" w:sz="6" w:space="0" w:color="auto"/>
              <w:left w:val="single" w:sz="6" w:space="0" w:color="auto"/>
              <w:bottom w:val="single" w:sz="6" w:space="0" w:color="auto"/>
              <w:right w:val="single" w:sz="6" w:space="0" w:color="auto"/>
            </w:tcBorders>
          </w:tcPr>
          <w:p w14:paraId="574FABD4" w14:textId="77777777" w:rsidR="001B2505" w:rsidRDefault="001B2505" w:rsidP="000A6E84">
            <w:pPr>
              <w:ind w:right="-720"/>
              <w:rPr>
                <w:rFonts w:ascii="Calibri" w:hAnsi="Calibri"/>
                <w:sz w:val="20"/>
              </w:rPr>
            </w:pPr>
            <w:r>
              <w:rPr>
                <w:rFonts w:ascii="Calibri" w:hAnsi="Calibri"/>
                <w:sz w:val="20"/>
                <w:szCs w:val="22"/>
              </w:rPr>
              <w:t xml:space="preserve">Greendale Mews/Modera </w:t>
            </w:r>
          </w:p>
          <w:p w14:paraId="267FBDB5" w14:textId="77777777" w:rsidR="001B2505" w:rsidRDefault="001B2505" w:rsidP="000A6E84">
            <w:pPr>
              <w:ind w:right="-720"/>
              <w:rPr>
                <w:rFonts w:ascii="Calibri" w:hAnsi="Calibri"/>
                <w:sz w:val="20"/>
              </w:rPr>
            </w:pPr>
            <w:r>
              <w:rPr>
                <w:rFonts w:ascii="Calibri" w:hAnsi="Calibri"/>
                <w:sz w:val="20"/>
                <w:szCs w:val="22"/>
              </w:rPr>
              <w:t>Needham</w:t>
            </w:r>
          </w:p>
        </w:tc>
        <w:tc>
          <w:tcPr>
            <w:tcW w:w="810" w:type="dxa"/>
            <w:tcBorders>
              <w:top w:val="single" w:sz="6" w:space="0" w:color="auto"/>
              <w:left w:val="single" w:sz="6" w:space="0" w:color="auto"/>
              <w:bottom w:val="single" w:sz="6" w:space="0" w:color="auto"/>
              <w:right w:val="single" w:sz="6" w:space="0" w:color="auto"/>
            </w:tcBorders>
          </w:tcPr>
          <w:p w14:paraId="0D9D8C7E" w14:textId="77777777" w:rsidR="001B2505" w:rsidRDefault="001B2505" w:rsidP="000A6E84">
            <w:pPr>
              <w:ind w:right="-720"/>
              <w:rPr>
                <w:rFonts w:ascii="Calibri" w:hAnsi="Calibri"/>
                <w:sz w:val="20"/>
              </w:rPr>
            </w:pPr>
            <w:r>
              <w:rPr>
                <w:rFonts w:ascii="Calibri" w:hAnsi="Calibri"/>
                <w:sz w:val="20"/>
                <w:szCs w:val="22"/>
              </w:rPr>
              <w:t>136</w:t>
            </w:r>
          </w:p>
        </w:tc>
        <w:tc>
          <w:tcPr>
            <w:tcW w:w="2880" w:type="dxa"/>
            <w:tcBorders>
              <w:top w:val="single" w:sz="6" w:space="0" w:color="auto"/>
              <w:left w:val="single" w:sz="6" w:space="0" w:color="auto"/>
              <w:bottom w:val="single" w:sz="6" w:space="0" w:color="auto"/>
              <w:right w:val="single" w:sz="6" w:space="0" w:color="auto"/>
            </w:tcBorders>
          </w:tcPr>
          <w:p w14:paraId="7023790A" w14:textId="77777777" w:rsidR="001B2505" w:rsidRDefault="001B2505" w:rsidP="000A6E84">
            <w:pPr>
              <w:ind w:right="-720"/>
              <w:rPr>
                <w:rFonts w:ascii="Calibri" w:hAnsi="Calibri"/>
                <w:sz w:val="20"/>
              </w:rPr>
            </w:pPr>
            <w:r>
              <w:rPr>
                <w:rFonts w:ascii="Calibri" w:hAnsi="Calibri"/>
                <w:sz w:val="20"/>
                <w:szCs w:val="22"/>
              </w:rPr>
              <w:t>Rental/MassHousing</w:t>
            </w:r>
          </w:p>
        </w:tc>
        <w:tc>
          <w:tcPr>
            <w:tcW w:w="1217" w:type="dxa"/>
            <w:tcBorders>
              <w:top w:val="single" w:sz="6" w:space="0" w:color="auto"/>
              <w:left w:val="single" w:sz="6" w:space="0" w:color="auto"/>
              <w:bottom w:val="single" w:sz="6" w:space="0" w:color="auto"/>
              <w:right w:val="single" w:sz="6" w:space="0" w:color="auto"/>
            </w:tcBorders>
          </w:tcPr>
          <w:p w14:paraId="1BE76879" w14:textId="77777777" w:rsidR="001B2505"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179FBCE8"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2FD50C4A" w14:textId="77777777" w:rsidTr="000A6E84">
        <w:trPr>
          <w:trHeight w:val="219"/>
        </w:trPr>
        <w:tc>
          <w:tcPr>
            <w:tcW w:w="2862" w:type="dxa"/>
            <w:tcBorders>
              <w:top w:val="single" w:sz="6" w:space="0" w:color="auto"/>
              <w:left w:val="single" w:sz="6" w:space="0" w:color="auto"/>
              <w:bottom w:val="single" w:sz="6" w:space="0" w:color="auto"/>
              <w:right w:val="single" w:sz="6" w:space="0" w:color="auto"/>
            </w:tcBorders>
          </w:tcPr>
          <w:p w14:paraId="45B8D61B" w14:textId="77777777" w:rsidR="001B2505" w:rsidRDefault="001B2505" w:rsidP="000A6E84">
            <w:pPr>
              <w:ind w:right="-720"/>
              <w:rPr>
                <w:rFonts w:ascii="Calibri" w:hAnsi="Calibri"/>
                <w:sz w:val="20"/>
              </w:rPr>
            </w:pPr>
            <w:r>
              <w:rPr>
                <w:rFonts w:ascii="Calibri" w:hAnsi="Calibri"/>
                <w:sz w:val="20"/>
                <w:szCs w:val="22"/>
              </w:rPr>
              <w:t>1180 Great Plain Avenue</w:t>
            </w:r>
          </w:p>
        </w:tc>
        <w:tc>
          <w:tcPr>
            <w:tcW w:w="810" w:type="dxa"/>
            <w:tcBorders>
              <w:top w:val="single" w:sz="6" w:space="0" w:color="auto"/>
              <w:left w:val="single" w:sz="6" w:space="0" w:color="auto"/>
              <w:bottom w:val="single" w:sz="6" w:space="0" w:color="auto"/>
              <w:right w:val="single" w:sz="6" w:space="0" w:color="auto"/>
            </w:tcBorders>
          </w:tcPr>
          <w:p w14:paraId="5EFA9BEE" w14:textId="77777777" w:rsidR="001B2505" w:rsidRDefault="001B2505" w:rsidP="000A6E84">
            <w:pPr>
              <w:ind w:right="-720"/>
              <w:rPr>
                <w:rFonts w:ascii="Calibri" w:hAnsi="Calibri"/>
                <w:sz w:val="20"/>
              </w:rPr>
            </w:pPr>
            <w:r>
              <w:rPr>
                <w:rFonts w:ascii="Calibri" w:hAnsi="Calibri"/>
                <w:sz w:val="20"/>
                <w:szCs w:val="22"/>
              </w:rPr>
              <w:t>16</w:t>
            </w:r>
          </w:p>
        </w:tc>
        <w:tc>
          <w:tcPr>
            <w:tcW w:w="2880" w:type="dxa"/>
            <w:tcBorders>
              <w:top w:val="single" w:sz="6" w:space="0" w:color="auto"/>
              <w:left w:val="single" w:sz="6" w:space="0" w:color="auto"/>
              <w:bottom w:val="single" w:sz="6" w:space="0" w:color="auto"/>
              <w:right w:val="single" w:sz="6" w:space="0" w:color="auto"/>
            </w:tcBorders>
          </w:tcPr>
          <w:p w14:paraId="4F3CD64C" w14:textId="77777777" w:rsidR="001B2505" w:rsidRDefault="001B2505" w:rsidP="000A6E84">
            <w:pPr>
              <w:ind w:right="-720"/>
              <w:rPr>
                <w:rFonts w:ascii="Calibri" w:hAnsi="Calibri"/>
                <w:sz w:val="20"/>
              </w:rPr>
            </w:pPr>
            <w:r>
              <w:rPr>
                <w:rFonts w:ascii="Calibri" w:hAnsi="Calibri"/>
                <w:sz w:val="20"/>
                <w:szCs w:val="22"/>
              </w:rPr>
              <w:t>Rental/MHP</w:t>
            </w:r>
          </w:p>
        </w:tc>
        <w:tc>
          <w:tcPr>
            <w:tcW w:w="1217" w:type="dxa"/>
            <w:tcBorders>
              <w:top w:val="single" w:sz="6" w:space="0" w:color="auto"/>
              <w:left w:val="single" w:sz="6" w:space="0" w:color="auto"/>
              <w:bottom w:val="single" w:sz="6" w:space="0" w:color="auto"/>
              <w:right w:val="single" w:sz="6" w:space="0" w:color="auto"/>
            </w:tcBorders>
          </w:tcPr>
          <w:p w14:paraId="6BF5FD78" w14:textId="77777777" w:rsidR="001B2505" w:rsidRDefault="001B2505" w:rsidP="000A6E84">
            <w:pPr>
              <w:ind w:right="-720"/>
              <w:rPr>
                <w:rFonts w:ascii="Calibri" w:hAnsi="Calibri"/>
                <w:sz w:val="20"/>
              </w:rPr>
            </w:pPr>
            <w:r>
              <w:rPr>
                <w:rFonts w:ascii="Calibri" w:hAnsi="Calibri"/>
                <w:sz w:val="20"/>
                <w:szCs w:val="22"/>
              </w:rPr>
              <w:t>Yes</w:t>
            </w:r>
          </w:p>
        </w:tc>
        <w:tc>
          <w:tcPr>
            <w:tcW w:w="1771" w:type="dxa"/>
            <w:tcBorders>
              <w:top w:val="single" w:sz="6" w:space="0" w:color="auto"/>
              <w:left w:val="single" w:sz="6" w:space="0" w:color="auto"/>
              <w:bottom w:val="single" w:sz="6" w:space="0" w:color="auto"/>
              <w:right w:val="single" w:sz="6" w:space="0" w:color="auto"/>
            </w:tcBorders>
          </w:tcPr>
          <w:p w14:paraId="5709D8F5" w14:textId="77777777" w:rsidR="001B2505" w:rsidRDefault="001B2505" w:rsidP="000A6E84">
            <w:pPr>
              <w:ind w:right="-720"/>
              <w:rPr>
                <w:rFonts w:ascii="Calibri" w:hAnsi="Calibri"/>
                <w:sz w:val="20"/>
              </w:rPr>
            </w:pPr>
            <w:r>
              <w:rPr>
                <w:rFonts w:ascii="Calibri" w:hAnsi="Calibri"/>
                <w:sz w:val="20"/>
                <w:szCs w:val="22"/>
              </w:rPr>
              <w:t>Perpetuity</w:t>
            </w:r>
          </w:p>
        </w:tc>
      </w:tr>
      <w:tr w:rsidR="001B2505" w:rsidRPr="004E50E7" w14:paraId="5E47BED6" w14:textId="77777777" w:rsidTr="000A6E84">
        <w:tc>
          <w:tcPr>
            <w:tcW w:w="2862" w:type="dxa"/>
            <w:tcBorders>
              <w:top w:val="single" w:sz="6" w:space="0" w:color="auto"/>
              <w:left w:val="single" w:sz="6" w:space="0" w:color="auto"/>
              <w:bottom w:val="single" w:sz="6" w:space="0" w:color="auto"/>
              <w:right w:val="single" w:sz="6" w:space="0" w:color="auto"/>
            </w:tcBorders>
          </w:tcPr>
          <w:p w14:paraId="1B455232" w14:textId="77777777" w:rsidR="001B2505" w:rsidRPr="004E50E7" w:rsidRDefault="001B2505" w:rsidP="000A6E84">
            <w:pPr>
              <w:pStyle w:val="Heading8"/>
              <w:spacing w:before="0"/>
              <w:rPr>
                <w:rFonts w:ascii="Calibri" w:hAnsi="Calibri"/>
                <w:bCs/>
                <w:szCs w:val="22"/>
              </w:rPr>
            </w:pPr>
            <w:r w:rsidRPr="004E50E7">
              <w:rPr>
                <w:rFonts w:ascii="Calibri" w:hAnsi="Calibri"/>
                <w:bCs/>
                <w:szCs w:val="22"/>
              </w:rPr>
              <w:t>TOTAL</w:t>
            </w:r>
            <w:r>
              <w:rPr>
                <w:rFonts w:ascii="Calibri" w:hAnsi="Calibri"/>
                <w:bCs/>
                <w:szCs w:val="22"/>
              </w:rPr>
              <w:t>***</w:t>
            </w:r>
          </w:p>
        </w:tc>
        <w:tc>
          <w:tcPr>
            <w:tcW w:w="810" w:type="dxa"/>
            <w:tcBorders>
              <w:top w:val="single" w:sz="6" w:space="0" w:color="auto"/>
              <w:left w:val="single" w:sz="6" w:space="0" w:color="auto"/>
              <w:bottom w:val="single" w:sz="6" w:space="0" w:color="auto"/>
              <w:right w:val="single" w:sz="6" w:space="0" w:color="auto"/>
            </w:tcBorders>
          </w:tcPr>
          <w:p w14:paraId="4D6EFD70" w14:textId="77777777" w:rsidR="001B2505" w:rsidRDefault="001B2505" w:rsidP="000A6E84">
            <w:pPr>
              <w:ind w:right="-720"/>
              <w:rPr>
                <w:rFonts w:ascii="Calibri" w:hAnsi="Calibri"/>
                <w:sz w:val="20"/>
              </w:rPr>
            </w:pPr>
            <w:r>
              <w:rPr>
                <w:rFonts w:ascii="Calibri" w:hAnsi="Calibri"/>
                <w:sz w:val="20"/>
                <w:szCs w:val="22"/>
              </w:rPr>
              <w:t>1,410</w:t>
            </w:r>
          </w:p>
          <w:p w14:paraId="35FD9126" w14:textId="77777777" w:rsidR="001B2505" w:rsidRPr="004E50E7" w:rsidRDefault="001B2505" w:rsidP="000A6E84">
            <w:pPr>
              <w:ind w:right="-720"/>
              <w:rPr>
                <w:rFonts w:ascii="Calibri" w:hAnsi="Calibri"/>
                <w:sz w:val="20"/>
              </w:rPr>
            </w:pPr>
          </w:p>
        </w:tc>
        <w:tc>
          <w:tcPr>
            <w:tcW w:w="2880" w:type="dxa"/>
            <w:tcBorders>
              <w:top w:val="single" w:sz="6" w:space="0" w:color="auto"/>
              <w:left w:val="single" w:sz="6" w:space="0" w:color="auto"/>
              <w:bottom w:val="single" w:sz="6" w:space="0" w:color="auto"/>
              <w:right w:val="single" w:sz="6" w:space="0" w:color="auto"/>
            </w:tcBorders>
          </w:tcPr>
          <w:p w14:paraId="5BB62204" w14:textId="77777777" w:rsidR="001B2505" w:rsidRDefault="001B2505" w:rsidP="000A6E84">
            <w:pPr>
              <w:ind w:right="-720"/>
              <w:rPr>
                <w:rFonts w:ascii="Calibri" w:hAnsi="Calibri"/>
                <w:sz w:val="20"/>
              </w:rPr>
            </w:pPr>
            <w:r>
              <w:rPr>
                <w:rFonts w:ascii="Calibri" w:hAnsi="Calibri"/>
                <w:sz w:val="20"/>
                <w:szCs w:val="22"/>
              </w:rPr>
              <w:t>12.76% of year-round housing</w:t>
            </w:r>
          </w:p>
          <w:p w14:paraId="7543CAAB" w14:textId="77777777" w:rsidR="001B2505" w:rsidRPr="004E50E7" w:rsidRDefault="001B2505" w:rsidP="000A6E84">
            <w:pPr>
              <w:ind w:right="-720"/>
              <w:rPr>
                <w:rFonts w:ascii="Calibri" w:hAnsi="Calibri"/>
                <w:sz w:val="20"/>
              </w:rPr>
            </w:pPr>
            <w:r>
              <w:rPr>
                <w:rFonts w:ascii="Calibri" w:hAnsi="Calibri"/>
                <w:sz w:val="20"/>
                <w:szCs w:val="22"/>
              </w:rPr>
              <w:t>units</w:t>
            </w:r>
          </w:p>
        </w:tc>
        <w:tc>
          <w:tcPr>
            <w:tcW w:w="1217" w:type="dxa"/>
            <w:tcBorders>
              <w:top w:val="single" w:sz="6" w:space="0" w:color="auto"/>
              <w:left w:val="single" w:sz="6" w:space="0" w:color="auto"/>
              <w:bottom w:val="single" w:sz="6" w:space="0" w:color="auto"/>
              <w:right w:val="single" w:sz="6" w:space="0" w:color="auto"/>
            </w:tcBorders>
          </w:tcPr>
          <w:p w14:paraId="44C2EC72" w14:textId="77777777" w:rsidR="001B2505" w:rsidRPr="004E50E7" w:rsidRDefault="001B2505" w:rsidP="000A6E84">
            <w:pPr>
              <w:ind w:right="-720"/>
              <w:rPr>
                <w:rFonts w:ascii="Calibri" w:hAnsi="Calibri"/>
                <w:sz w:val="20"/>
              </w:rPr>
            </w:pPr>
          </w:p>
        </w:tc>
        <w:tc>
          <w:tcPr>
            <w:tcW w:w="1771" w:type="dxa"/>
            <w:tcBorders>
              <w:top w:val="single" w:sz="6" w:space="0" w:color="auto"/>
              <w:left w:val="single" w:sz="6" w:space="0" w:color="auto"/>
              <w:bottom w:val="single" w:sz="6" w:space="0" w:color="auto"/>
              <w:right w:val="single" w:sz="6" w:space="0" w:color="auto"/>
            </w:tcBorders>
          </w:tcPr>
          <w:p w14:paraId="04F5A1AB" w14:textId="77777777" w:rsidR="001B2505" w:rsidRPr="004E50E7" w:rsidRDefault="001B2505" w:rsidP="000A6E84">
            <w:pPr>
              <w:ind w:right="-720"/>
              <w:rPr>
                <w:rFonts w:ascii="Calibri" w:hAnsi="Calibri"/>
                <w:sz w:val="20"/>
              </w:rPr>
            </w:pPr>
          </w:p>
        </w:tc>
      </w:tr>
    </w:tbl>
    <w:p w14:paraId="01710DE9" w14:textId="77777777" w:rsidR="001B2505" w:rsidRDefault="001B2505" w:rsidP="001B2505">
      <w:pPr>
        <w:ind w:left="720" w:right="-720" w:hanging="720"/>
        <w:jc w:val="both"/>
        <w:rPr>
          <w:rFonts w:ascii="Calibri" w:hAnsi="Calibri"/>
          <w:sz w:val="20"/>
          <w:szCs w:val="20"/>
        </w:rPr>
      </w:pPr>
      <w:r w:rsidRPr="004E50E7">
        <w:rPr>
          <w:rFonts w:ascii="Calibri" w:hAnsi="Calibri"/>
          <w:sz w:val="20"/>
          <w:szCs w:val="20"/>
        </w:rPr>
        <w:t>Source:  Massachusetts Department of Hou</w:t>
      </w:r>
      <w:r>
        <w:rPr>
          <w:rFonts w:ascii="Calibri" w:hAnsi="Calibri"/>
          <w:sz w:val="20"/>
          <w:szCs w:val="20"/>
        </w:rPr>
        <w:t>sing and Community Development</w:t>
      </w:r>
    </w:p>
    <w:p w14:paraId="55009688" w14:textId="6CEFC607" w:rsidR="001B2505" w:rsidRDefault="001B2505" w:rsidP="005211E7">
      <w:pPr>
        <w:ind w:left="720" w:right="-720" w:hanging="720"/>
        <w:jc w:val="both"/>
        <w:rPr>
          <w:rFonts w:ascii="Calibri" w:hAnsi="Calibri"/>
          <w:sz w:val="20"/>
          <w:szCs w:val="22"/>
        </w:rPr>
      </w:pPr>
      <w:r w:rsidRPr="00037BDD">
        <w:rPr>
          <w:rFonts w:ascii="Calibri" w:hAnsi="Calibri"/>
          <w:sz w:val="20"/>
          <w:szCs w:val="20"/>
        </w:rPr>
        <w:t>*</w:t>
      </w:r>
      <w:r>
        <w:rPr>
          <w:rFonts w:ascii="Calibri" w:hAnsi="Calibri"/>
          <w:sz w:val="20"/>
          <w:szCs w:val="22"/>
        </w:rPr>
        <w:t xml:space="preserve"> </w:t>
      </w:r>
      <w:r w:rsidRPr="00037BDD">
        <w:rPr>
          <w:rFonts w:ascii="Calibri" w:hAnsi="Calibri"/>
          <w:sz w:val="20"/>
          <w:szCs w:val="22"/>
        </w:rPr>
        <w:t>Needh</w:t>
      </w:r>
      <w:r>
        <w:rPr>
          <w:rFonts w:ascii="Calibri" w:hAnsi="Calibri"/>
          <w:sz w:val="20"/>
          <w:szCs w:val="22"/>
        </w:rPr>
        <w:t>am Housing Authority units</w:t>
      </w:r>
      <w:r w:rsidRPr="004E50E7">
        <w:rPr>
          <w:rFonts w:ascii="Calibri" w:hAnsi="Calibri"/>
          <w:sz w:val="20"/>
          <w:szCs w:val="22"/>
        </w:rPr>
        <w:tab/>
        <w:t>** Special needs units</w:t>
      </w:r>
    </w:p>
    <w:p w14:paraId="129BD3A0" w14:textId="12160461" w:rsidR="001B2505" w:rsidRDefault="001B2505" w:rsidP="001B2505">
      <w:pPr>
        <w:suppressAutoHyphens/>
        <w:ind w:hanging="720"/>
        <w:jc w:val="both"/>
        <w:rPr>
          <w:rFonts w:ascii="Calibri" w:hAnsi="Calibri"/>
          <w:sz w:val="20"/>
          <w:szCs w:val="22"/>
        </w:rPr>
      </w:pPr>
      <w:r>
        <w:rPr>
          <w:rFonts w:ascii="Calibri" w:hAnsi="Calibri"/>
          <w:sz w:val="20"/>
          <w:szCs w:val="22"/>
        </w:rPr>
        <w:tab/>
        <w:t xml:space="preserve">*** Includes 262 market units at Charles River Landing, 292 market units at </w:t>
      </w:r>
      <w:r w:rsidR="006056C9">
        <w:rPr>
          <w:rFonts w:ascii="Calibri" w:hAnsi="Calibri"/>
          <w:sz w:val="20"/>
          <w:szCs w:val="22"/>
        </w:rPr>
        <w:t>The Kendrick</w:t>
      </w:r>
      <w:r>
        <w:rPr>
          <w:rFonts w:ascii="Calibri" w:hAnsi="Calibri"/>
          <w:sz w:val="20"/>
          <w:szCs w:val="22"/>
        </w:rPr>
        <w:t>, and 102 market units at Greendale Mews/Modera Needham for a total of 656 market units.  The number of actual affordable rental units in these projects is 220.</w:t>
      </w:r>
      <w:r w:rsidR="003E2622">
        <w:rPr>
          <w:rFonts w:ascii="Calibri" w:hAnsi="Calibri"/>
          <w:sz w:val="20"/>
          <w:szCs w:val="22"/>
        </w:rPr>
        <w:t xml:space="preserve">  Under Chapter 40B, the state incentivized</w:t>
      </w:r>
      <w:r w:rsidR="00373DE9">
        <w:rPr>
          <w:rFonts w:ascii="Calibri" w:hAnsi="Calibri"/>
          <w:sz w:val="20"/>
          <w:szCs w:val="22"/>
        </w:rPr>
        <w:t xml:space="preserve"> communities to produce multi-family rental housing by allowing all rental units, including market rate ones, to qualify for inclusion in the SHI.</w:t>
      </w:r>
    </w:p>
    <w:p w14:paraId="7F124A08" w14:textId="77777777" w:rsidR="001B2505" w:rsidRDefault="001B2505" w:rsidP="001B2505">
      <w:pPr>
        <w:suppressAutoHyphens/>
        <w:jc w:val="both"/>
        <w:rPr>
          <w:rFonts w:ascii="Calibri" w:hAnsi="Calibri"/>
          <w:sz w:val="20"/>
          <w:szCs w:val="22"/>
        </w:rPr>
      </w:pPr>
      <w:r>
        <w:rPr>
          <w:rFonts w:ascii="Calibri" w:hAnsi="Calibri"/>
          <w:sz w:val="20"/>
          <w:szCs w:val="22"/>
        </w:rPr>
        <w:t>**** Down from 89 units in 2018</w:t>
      </w:r>
    </w:p>
    <w:p w14:paraId="3FFD7CBE" w14:textId="74340293" w:rsidR="00084BC6" w:rsidRPr="00EA5B0F" w:rsidRDefault="00084BC6" w:rsidP="00084BC6">
      <w:pPr>
        <w:pStyle w:val="BodyTextIndent"/>
        <w:spacing w:after="0"/>
        <w:ind w:left="0"/>
        <w:jc w:val="both"/>
        <w:rPr>
          <w:rFonts w:ascii="Calibri" w:hAnsi="Calibri"/>
          <w:sz w:val="22"/>
          <w:szCs w:val="22"/>
        </w:rPr>
      </w:pPr>
      <w:r w:rsidRPr="00EA5B0F">
        <w:rPr>
          <w:rFonts w:ascii="Calibri" w:hAnsi="Calibri"/>
          <w:sz w:val="22"/>
          <w:szCs w:val="22"/>
        </w:rPr>
        <w:t>The Needham Housing Authority (NHA) owns</w:t>
      </w:r>
      <w:r w:rsidR="00387793" w:rsidRPr="00EA5B0F">
        <w:rPr>
          <w:rFonts w:ascii="Calibri" w:hAnsi="Calibri"/>
          <w:sz w:val="22"/>
          <w:szCs w:val="22"/>
        </w:rPr>
        <w:t xml:space="preserve"> </w:t>
      </w:r>
      <w:r w:rsidRPr="00EA5B0F">
        <w:rPr>
          <w:rFonts w:ascii="Calibri" w:hAnsi="Calibri"/>
          <w:sz w:val="22"/>
          <w:szCs w:val="22"/>
        </w:rPr>
        <w:t xml:space="preserve">316 </w:t>
      </w:r>
      <w:r w:rsidR="00387793" w:rsidRPr="00EA5B0F">
        <w:rPr>
          <w:rFonts w:ascii="Calibri" w:hAnsi="Calibri"/>
          <w:sz w:val="22"/>
          <w:szCs w:val="22"/>
        </w:rPr>
        <w:t xml:space="preserve">SHI </w:t>
      </w:r>
      <w:r w:rsidRPr="00EA5B0F">
        <w:rPr>
          <w:rFonts w:ascii="Calibri" w:hAnsi="Calibri"/>
          <w:sz w:val="22"/>
          <w:szCs w:val="22"/>
        </w:rPr>
        <w:t xml:space="preserve">units in the following developments: </w:t>
      </w:r>
    </w:p>
    <w:p w14:paraId="7AA76CCC" w14:textId="77777777" w:rsidR="00084BC6" w:rsidRPr="00EA5B0F" w:rsidRDefault="00084BC6" w:rsidP="00084BC6">
      <w:pPr>
        <w:tabs>
          <w:tab w:val="left" w:pos="0"/>
        </w:tabs>
        <w:jc w:val="both"/>
        <w:rPr>
          <w:rFonts w:ascii="Calibri" w:hAnsi="Calibri"/>
          <w:sz w:val="22"/>
          <w:szCs w:val="22"/>
        </w:rPr>
      </w:pPr>
    </w:p>
    <w:p w14:paraId="6F2803A1" w14:textId="77777777" w:rsidR="00084BC6" w:rsidRPr="0057727F" w:rsidRDefault="00084BC6" w:rsidP="005D3FC9">
      <w:pPr>
        <w:pStyle w:val="BodyTextIndent"/>
        <w:numPr>
          <w:ilvl w:val="0"/>
          <w:numId w:val="5"/>
        </w:numPr>
        <w:tabs>
          <w:tab w:val="left" w:pos="720"/>
        </w:tabs>
        <w:spacing w:after="0"/>
        <w:ind w:left="720"/>
        <w:jc w:val="both"/>
        <w:rPr>
          <w:rFonts w:ascii="Calibri" w:hAnsi="Calibri"/>
          <w:i/>
          <w:iCs/>
          <w:sz w:val="22"/>
          <w:szCs w:val="22"/>
        </w:rPr>
      </w:pPr>
      <w:r w:rsidRPr="0057727F">
        <w:rPr>
          <w:rFonts w:ascii="Calibri" w:hAnsi="Calibri"/>
          <w:i/>
          <w:iCs/>
          <w:sz w:val="22"/>
          <w:szCs w:val="22"/>
        </w:rPr>
        <w:t xml:space="preserve">High Rock Estates </w:t>
      </w:r>
    </w:p>
    <w:p w14:paraId="6D2026E7" w14:textId="151D906E" w:rsidR="00084BC6" w:rsidRPr="0057727F" w:rsidRDefault="00387793" w:rsidP="00084BC6">
      <w:pPr>
        <w:tabs>
          <w:tab w:val="left" w:pos="720"/>
        </w:tabs>
        <w:ind w:left="1080" w:hanging="360"/>
        <w:jc w:val="both"/>
        <w:rPr>
          <w:rFonts w:ascii="Calibri" w:hAnsi="Calibri"/>
          <w:sz w:val="22"/>
          <w:szCs w:val="22"/>
        </w:rPr>
      </w:pPr>
      <w:r w:rsidRPr="0057727F">
        <w:rPr>
          <w:rFonts w:ascii="Calibri" w:hAnsi="Calibri"/>
          <w:sz w:val="22"/>
          <w:szCs w:val="22"/>
        </w:rPr>
        <w:t>Converted from s</w:t>
      </w:r>
      <w:r w:rsidR="00084BC6" w:rsidRPr="0057727F">
        <w:rPr>
          <w:rFonts w:ascii="Calibri" w:hAnsi="Calibri"/>
          <w:sz w:val="22"/>
          <w:szCs w:val="22"/>
        </w:rPr>
        <w:t xml:space="preserve">tate Chapter 200 </w:t>
      </w:r>
      <w:r w:rsidR="001A2EB3">
        <w:rPr>
          <w:rFonts w:ascii="Calibri" w:hAnsi="Calibri"/>
          <w:sz w:val="22"/>
          <w:szCs w:val="22"/>
        </w:rPr>
        <w:t xml:space="preserve">state </w:t>
      </w:r>
      <w:r w:rsidR="00084BC6" w:rsidRPr="0057727F">
        <w:rPr>
          <w:rFonts w:ascii="Calibri" w:hAnsi="Calibri"/>
          <w:sz w:val="22"/>
          <w:szCs w:val="22"/>
        </w:rPr>
        <w:t xml:space="preserve">funding </w:t>
      </w:r>
      <w:r w:rsidRPr="0057727F">
        <w:rPr>
          <w:rFonts w:ascii="Calibri" w:hAnsi="Calibri"/>
          <w:sz w:val="22"/>
          <w:szCs w:val="22"/>
        </w:rPr>
        <w:t xml:space="preserve">to </w:t>
      </w:r>
      <w:r w:rsidR="006D7086">
        <w:rPr>
          <w:rFonts w:ascii="Calibri" w:hAnsi="Calibri"/>
          <w:sz w:val="22"/>
          <w:szCs w:val="22"/>
        </w:rPr>
        <w:t>Section 9 F</w:t>
      </w:r>
      <w:r w:rsidRPr="0057727F">
        <w:rPr>
          <w:rFonts w:ascii="Calibri" w:hAnsi="Calibri"/>
          <w:sz w:val="22"/>
          <w:szCs w:val="22"/>
        </w:rPr>
        <w:t>ederal su</w:t>
      </w:r>
      <w:r w:rsidR="006D7086">
        <w:rPr>
          <w:rFonts w:ascii="Calibri" w:hAnsi="Calibri"/>
          <w:sz w:val="22"/>
          <w:szCs w:val="22"/>
        </w:rPr>
        <w:t>bsidy</w:t>
      </w:r>
    </w:p>
    <w:p w14:paraId="05817005"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Single-family housing for families</w:t>
      </w:r>
    </w:p>
    <w:p w14:paraId="51B32C48" w14:textId="77777777" w:rsidR="00084BC6" w:rsidRPr="0057727F" w:rsidRDefault="00084BC6" w:rsidP="00084BC6">
      <w:pPr>
        <w:tabs>
          <w:tab w:val="left" w:pos="720"/>
        </w:tabs>
        <w:ind w:left="1080" w:hanging="360"/>
        <w:jc w:val="both"/>
        <w:rPr>
          <w:rFonts w:asciiTheme="minorHAnsi" w:hAnsiTheme="minorHAnsi"/>
          <w:sz w:val="22"/>
          <w:szCs w:val="22"/>
        </w:rPr>
      </w:pPr>
      <w:r w:rsidRPr="0057727F">
        <w:rPr>
          <w:rFonts w:asciiTheme="minorHAnsi" w:hAnsiTheme="minorHAnsi"/>
          <w:sz w:val="22"/>
          <w:szCs w:val="22"/>
        </w:rPr>
        <w:t>80 units (43 three-bedroom units and 37 two-bedroom units)</w:t>
      </w:r>
    </w:p>
    <w:p w14:paraId="61B6B666" w14:textId="3476A412" w:rsidR="00084BC6" w:rsidRPr="0057727F" w:rsidRDefault="00084BC6" w:rsidP="00084BC6">
      <w:pPr>
        <w:pStyle w:val="Title"/>
        <w:tabs>
          <w:tab w:val="num" w:pos="720"/>
        </w:tabs>
        <w:ind w:left="720" w:hanging="360"/>
        <w:jc w:val="both"/>
        <w:rPr>
          <w:rFonts w:asciiTheme="minorHAnsi" w:hAnsiTheme="minorHAnsi"/>
          <w:b w:val="0"/>
          <w:bCs w:val="0"/>
          <w:sz w:val="22"/>
          <w:szCs w:val="22"/>
        </w:rPr>
      </w:pPr>
      <w:r w:rsidRPr="0057727F">
        <w:rPr>
          <w:rFonts w:asciiTheme="minorHAnsi" w:hAnsiTheme="minorHAnsi"/>
          <w:b w:val="0"/>
          <w:bCs w:val="0"/>
          <w:sz w:val="22"/>
          <w:szCs w:val="22"/>
        </w:rPr>
        <w:tab/>
      </w:r>
      <w:bookmarkStart w:id="9" w:name="_Hlk92713798"/>
      <w:r w:rsidRPr="0057727F">
        <w:rPr>
          <w:rFonts w:asciiTheme="minorHAnsi" w:hAnsiTheme="minorHAnsi"/>
          <w:b w:val="0"/>
          <w:bCs w:val="0"/>
          <w:sz w:val="22"/>
          <w:szCs w:val="22"/>
        </w:rPr>
        <w:t xml:space="preserve">The Needham Housing Authority redeveloped this property by replacing 20 single-family units with </w:t>
      </w:r>
      <w:r w:rsidR="00387793" w:rsidRPr="0057727F">
        <w:rPr>
          <w:rFonts w:asciiTheme="minorHAnsi" w:hAnsiTheme="minorHAnsi"/>
          <w:b w:val="0"/>
          <w:bCs w:val="0"/>
          <w:sz w:val="22"/>
          <w:szCs w:val="22"/>
        </w:rPr>
        <w:t xml:space="preserve">20 </w:t>
      </w:r>
      <w:r w:rsidRPr="0057727F">
        <w:rPr>
          <w:rFonts w:asciiTheme="minorHAnsi" w:hAnsiTheme="minorHAnsi"/>
          <w:b w:val="0"/>
          <w:bCs w:val="0"/>
          <w:sz w:val="22"/>
          <w:szCs w:val="22"/>
        </w:rPr>
        <w:t>two-family structures</w:t>
      </w:r>
      <w:r w:rsidR="00387793" w:rsidRPr="0057727F">
        <w:rPr>
          <w:rFonts w:asciiTheme="minorHAnsi" w:hAnsiTheme="minorHAnsi"/>
          <w:b w:val="0"/>
          <w:bCs w:val="0"/>
          <w:sz w:val="22"/>
          <w:szCs w:val="22"/>
        </w:rPr>
        <w:t xml:space="preserve"> with a net gain of 20 units</w:t>
      </w:r>
      <w:r w:rsidRPr="0057727F">
        <w:rPr>
          <w:rFonts w:asciiTheme="minorHAnsi" w:hAnsiTheme="minorHAnsi"/>
          <w:b w:val="0"/>
          <w:bCs w:val="0"/>
          <w:sz w:val="22"/>
          <w:szCs w:val="22"/>
        </w:rPr>
        <w:t xml:space="preserve">. </w:t>
      </w:r>
      <w:r w:rsidR="00387793" w:rsidRPr="0057727F">
        <w:rPr>
          <w:rFonts w:asciiTheme="minorHAnsi" w:hAnsiTheme="minorHAnsi"/>
          <w:b w:val="0"/>
          <w:bCs w:val="0"/>
          <w:sz w:val="22"/>
          <w:szCs w:val="22"/>
        </w:rPr>
        <w:t xml:space="preserve"> </w:t>
      </w:r>
      <w:r w:rsidR="006D7086">
        <w:rPr>
          <w:rFonts w:asciiTheme="minorHAnsi" w:hAnsiTheme="minorHAnsi"/>
          <w:b w:val="0"/>
          <w:bCs w:val="0"/>
          <w:sz w:val="22"/>
          <w:szCs w:val="22"/>
        </w:rPr>
        <w:t xml:space="preserve">Ten of these units were </w:t>
      </w:r>
      <w:r w:rsidR="001A2EB3">
        <w:rPr>
          <w:rFonts w:asciiTheme="minorHAnsi" w:hAnsiTheme="minorHAnsi"/>
          <w:b w:val="0"/>
          <w:bCs w:val="0"/>
          <w:sz w:val="22"/>
          <w:szCs w:val="22"/>
        </w:rPr>
        <w:t>re</w:t>
      </w:r>
      <w:r w:rsidR="006D7086">
        <w:rPr>
          <w:rFonts w:asciiTheme="minorHAnsi" w:hAnsiTheme="minorHAnsi"/>
          <w:b w:val="0"/>
          <w:bCs w:val="0"/>
          <w:sz w:val="22"/>
          <w:szCs w:val="22"/>
        </w:rPr>
        <w:t xml:space="preserve">developed </w:t>
      </w:r>
      <w:r w:rsidR="001A2EB3">
        <w:rPr>
          <w:rFonts w:asciiTheme="minorHAnsi" w:hAnsiTheme="minorHAnsi"/>
          <w:b w:val="0"/>
          <w:bCs w:val="0"/>
          <w:sz w:val="22"/>
          <w:szCs w:val="22"/>
        </w:rPr>
        <w:t>into 20</w:t>
      </w:r>
      <w:r w:rsidR="006D7086">
        <w:rPr>
          <w:rFonts w:asciiTheme="minorHAnsi" w:hAnsiTheme="minorHAnsi"/>
          <w:b w:val="0"/>
          <w:bCs w:val="0"/>
          <w:sz w:val="22"/>
          <w:szCs w:val="22"/>
        </w:rPr>
        <w:t xml:space="preserve"> condominiums with a separate Homeowners Association but also receiving some NHA support in maintaining and managing the </w:t>
      </w:r>
      <w:r w:rsidR="00C04CAD">
        <w:rPr>
          <w:rFonts w:asciiTheme="minorHAnsi" w:hAnsiTheme="minorHAnsi"/>
          <w:b w:val="0"/>
          <w:bCs w:val="0"/>
          <w:sz w:val="22"/>
          <w:szCs w:val="22"/>
        </w:rPr>
        <w:t>units</w:t>
      </w:r>
      <w:r w:rsidR="006D7086">
        <w:rPr>
          <w:rFonts w:asciiTheme="minorHAnsi" w:hAnsiTheme="minorHAnsi"/>
          <w:b w:val="0"/>
          <w:bCs w:val="0"/>
          <w:sz w:val="22"/>
          <w:szCs w:val="22"/>
        </w:rPr>
        <w:t>.  The remaining ten are rentals managed by NHA.</w:t>
      </w:r>
    </w:p>
    <w:bookmarkEnd w:id="9"/>
    <w:p w14:paraId="398044A4" w14:textId="4041701B" w:rsidR="00084BC6" w:rsidRPr="0057727F" w:rsidRDefault="00084BC6" w:rsidP="00084BC6">
      <w:pPr>
        <w:pStyle w:val="BlockText"/>
        <w:ind w:left="0"/>
        <w:jc w:val="both"/>
        <w:rPr>
          <w:sz w:val="22"/>
          <w:szCs w:val="22"/>
        </w:rPr>
      </w:pPr>
    </w:p>
    <w:p w14:paraId="477CDA46" w14:textId="1A264253" w:rsidR="0065314D" w:rsidRPr="0057727F" w:rsidRDefault="0065314D" w:rsidP="0065314D">
      <w:pPr>
        <w:pStyle w:val="BodyText"/>
        <w:tabs>
          <w:tab w:val="left" w:pos="720"/>
        </w:tabs>
        <w:spacing w:after="0"/>
        <w:ind w:left="720"/>
        <w:jc w:val="both"/>
        <w:rPr>
          <w:rFonts w:ascii="Calibri" w:hAnsi="Calibri"/>
          <w:sz w:val="22"/>
          <w:szCs w:val="22"/>
        </w:rPr>
      </w:pPr>
      <w:r w:rsidRPr="0057727F">
        <w:rPr>
          <w:rFonts w:ascii="Calibri" w:hAnsi="Calibri"/>
          <w:sz w:val="22"/>
          <w:szCs w:val="22"/>
        </w:rPr>
        <w:t>The NHA also sponsored the conversion of 10 single-family</w:t>
      </w:r>
      <w:r w:rsidR="006D5DBE" w:rsidRPr="0057727F">
        <w:rPr>
          <w:rFonts w:ascii="Calibri" w:hAnsi="Calibri"/>
          <w:sz w:val="22"/>
          <w:szCs w:val="22"/>
        </w:rPr>
        <w:t xml:space="preserve"> </w:t>
      </w:r>
      <w:r w:rsidRPr="0057727F">
        <w:rPr>
          <w:rFonts w:ascii="Calibri" w:hAnsi="Calibri"/>
          <w:sz w:val="22"/>
          <w:szCs w:val="22"/>
        </w:rPr>
        <w:t>units at its High Rock development into duplexes, creating 20 condos which it continues to be involved in supporting through ongoing monitoring work and maintenance.</w:t>
      </w:r>
    </w:p>
    <w:p w14:paraId="2976A3F6" w14:textId="77777777" w:rsidR="0065314D" w:rsidRPr="0057727F" w:rsidRDefault="0065314D" w:rsidP="00084BC6">
      <w:pPr>
        <w:pStyle w:val="BlockText"/>
        <w:ind w:left="0"/>
        <w:jc w:val="both"/>
        <w:rPr>
          <w:sz w:val="22"/>
          <w:szCs w:val="22"/>
        </w:rPr>
      </w:pPr>
    </w:p>
    <w:p w14:paraId="08D61C67" w14:textId="77777777" w:rsidR="00084BC6" w:rsidRPr="0057727F" w:rsidRDefault="00084BC6" w:rsidP="005D3FC9">
      <w:pPr>
        <w:pStyle w:val="BodyTextIndent"/>
        <w:numPr>
          <w:ilvl w:val="0"/>
          <w:numId w:val="5"/>
        </w:numPr>
        <w:tabs>
          <w:tab w:val="left" w:pos="720"/>
        </w:tabs>
        <w:spacing w:after="0"/>
        <w:ind w:left="720"/>
        <w:jc w:val="both"/>
        <w:rPr>
          <w:rFonts w:ascii="Calibri" w:hAnsi="Calibri"/>
          <w:i/>
          <w:iCs/>
          <w:sz w:val="22"/>
          <w:szCs w:val="22"/>
        </w:rPr>
      </w:pPr>
      <w:r w:rsidRPr="0057727F">
        <w:rPr>
          <w:rFonts w:ascii="Calibri" w:hAnsi="Calibri"/>
          <w:i/>
          <w:iCs/>
          <w:sz w:val="22"/>
          <w:szCs w:val="22"/>
        </w:rPr>
        <w:t>Linden-Chambers</w:t>
      </w:r>
    </w:p>
    <w:p w14:paraId="190C4036"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lastRenderedPageBreak/>
        <w:t>State Chapter 667 funding, mixed elderly-disabled housing</w:t>
      </w:r>
    </w:p>
    <w:p w14:paraId="06081237"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152 one-bedroom units</w:t>
      </w:r>
    </w:p>
    <w:p w14:paraId="7EAF7D1A" w14:textId="77777777" w:rsidR="00084BC6" w:rsidRPr="0057727F" w:rsidRDefault="00084BC6" w:rsidP="00084BC6">
      <w:pPr>
        <w:pStyle w:val="BodyTextIndent"/>
        <w:tabs>
          <w:tab w:val="left" w:pos="1440"/>
        </w:tabs>
        <w:spacing w:after="0"/>
        <w:ind w:left="1440" w:hanging="360"/>
        <w:jc w:val="both"/>
        <w:rPr>
          <w:rFonts w:ascii="Calibri" w:hAnsi="Calibri"/>
          <w:i/>
          <w:iCs/>
          <w:sz w:val="22"/>
          <w:szCs w:val="22"/>
        </w:rPr>
      </w:pPr>
    </w:p>
    <w:p w14:paraId="2D5F4655" w14:textId="77777777" w:rsidR="00084BC6" w:rsidRPr="0057727F" w:rsidRDefault="00084BC6" w:rsidP="005D3FC9">
      <w:pPr>
        <w:pStyle w:val="BodyTextIndent"/>
        <w:numPr>
          <w:ilvl w:val="0"/>
          <w:numId w:val="5"/>
        </w:numPr>
        <w:tabs>
          <w:tab w:val="left" w:pos="720"/>
        </w:tabs>
        <w:spacing w:after="0"/>
        <w:ind w:left="720"/>
        <w:jc w:val="both"/>
        <w:rPr>
          <w:rFonts w:ascii="Calibri" w:hAnsi="Calibri"/>
          <w:i/>
          <w:iCs/>
          <w:sz w:val="22"/>
          <w:szCs w:val="22"/>
        </w:rPr>
      </w:pPr>
      <w:r w:rsidRPr="0057727F">
        <w:rPr>
          <w:rFonts w:ascii="Calibri" w:hAnsi="Calibri"/>
          <w:i/>
          <w:iCs/>
          <w:sz w:val="22"/>
          <w:szCs w:val="22"/>
        </w:rPr>
        <w:t>Matthews House</w:t>
      </w:r>
    </w:p>
    <w:p w14:paraId="3B19F655" w14:textId="77777777" w:rsidR="00084BC6" w:rsidRPr="0057727F" w:rsidRDefault="00084BC6" w:rsidP="00084BC6">
      <w:pPr>
        <w:tabs>
          <w:tab w:val="left" w:pos="720"/>
        </w:tabs>
        <w:ind w:left="720"/>
        <w:jc w:val="both"/>
        <w:rPr>
          <w:rFonts w:ascii="Calibri" w:hAnsi="Calibri"/>
          <w:sz w:val="22"/>
          <w:szCs w:val="22"/>
        </w:rPr>
      </w:pPr>
      <w:r w:rsidRPr="0057727F">
        <w:rPr>
          <w:rFonts w:ascii="Calibri" w:hAnsi="Calibri"/>
          <w:sz w:val="22"/>
          <w:szCs w:val="22"/>
        </w:rPr>
        <w:t>State Chapter 689 funding for special needs housing</w:t>
      </w:r>
    </w:p>
    <w:p w14:paraId="6E0BF158" w14:textId="77777777" w:rsidR="00084BC6" w:rsidRPr="0057727F" w:rsidRDefault="00084BC6" w:rsidP="00084BC6">
      <w:pPr>
        <w:tabs>
          <w:tab w:val="left" w:pos="720"/>
        </w:tabs>
        <w:ind w:left="720"/>
        <w:jc w:val="both"/>
        <w:rPr>
          <w:rFonts w:ascii="Calibri" w:hAnsi="Calibri"/>
          <w:sz w:val="22"/>
          <w:szCs w:val="22"/>
        </w:rPr>
      </w:pPr>
      <w:r w:rsidRPr="0057727F">
        <w:rPr>
          <w:rFonts w:ascii="Calibri" w:hAnsi="Calibri"/>
          <w:sz w:val="22"/>
          <w:szCs w:val="22"/>
        </w:rPr>
        <w:t>8-bed group home</w:t>
      </w:r>
    </w:p>
    <w:p w14:paraId="5B36AE55" w14:textId="77777777" w:rsidR="00084BC6" w:rsidRPr="0057727F" w:rsidRDefault="00084BC6" w:rsidP="00084BC6">
      <w:pPr>
        <w:pStyle w:val="BodyTextIndent"/>
        <w:tabs>
          <w:tab w:val="left" w:pos="1440"/>
        </w:tabs>
        <w:spacing w:after="0"/>
        <w:ind w:left="1440" w:hanging="360"/>
        <w:jc w:val="both"/>
        <w:rPr>
          <w:rFonts w:ascii="Calibri" w:hAnsi="Calibri"/>
          <w:i/>
          <w:iCs/>
          <w:sz w:val="22"/>
          <w:szCs w:val="22"/>
        </w:rPr>
      </w:pPr>
    </w:p>
    <w:p w14:paraId="5BCAEC56" w14:textId="77777777" w:rsidR="00084BC6" w:rsidRPr="0057727F" w:rsidRDefault="00084BC6" w:rsidP="005D3FC9">
      <w:pPr>
        <w:pStyle w:val="BodyTextIndent"/>
        <w:numPr>
          <w:ilvl w:val="0"/>
          <w:numId w:val="5"/>
        </w:numPr>
        <w:tabs>
          <w:tab w:val="left" w:pos="720"/>
        </w:tabs>
        <w:spacing w:after="0"/>
        <w:ind w:left="720"/>
        <w:jc w:val="both"/>
        <w:rPr>
          <w:rFonts w:ascii="Calibri" w:hAnsi="Calibri"/>
          <w:i/>
          <w:iCs/>
          <w:sz w:val="22"/>
          <w:szCs w:val="22"/>
        </w:rPr>
      </w:pPr>
      <w:r w:rsidRPr="0057727F">
        <w:rPr>
          <w:rFonts w:ascii="Calibri" w:hAnsi="Calibri"/>
          <w:i/>
          <w:iCs/>
          <w:sz w:val="22"/>
          <w:szCs w:val="22"/>
        </w:rPr>
        <w:t>Captain Robert Cook Drive</w:t>
      </w:r>
    </w:p>
    <w:p w14:paraId="12D989F1"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 xml:space="preserve">Federally-financed </w:t>
      </w:r>
    </w:p>
    <w:p w14:paraId="3E8DAF34"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Single-family housing for families</w:t>
      </w:r>
    </w:p>
    <w:p w14:paraId="5C8730C3"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30 units (5 two-bedroom units, 20 three-bedroom units and 5 four-bedroom units)</w:t>
      </w:r>
    </w:p>
    <w:p w14:paraId="49667EA2" w14:textId="77777777" w:rsidR="00084BC6" w:rsidRPr="0057727F" w:rsidRDefault="00084BC6" w:rsidP="00084BC6">
      <w:pPr>
        <w:pStyle w:val="BodyTextIndent"/>
        <w:tabs>
          <w:tab w:val="left" w:pos="720"/>
        </w:tabs>
        <w:spacing w:after="0"/>
        <w:ind w:left="720" w:hanging="360"/>
        <w:jc w:val="both"/>
        <w:rPr>
          <w:rFonts w:ascii="Calibri" w:hAnsi="Calibri"/>
          <w:i/>
          <w:iCs/>
          <w:sz w:val="22"/>
          <w:szCs w:val="22"/>
        </w:rPr>
      </w:pPr>
    </w:p>
    <w:p w14:paraId="7C14E5DD" w14:textId="77777777" w:rsidR="00084BC6" w:rsidRPr="0057727F" w:rsidRDefault="00084BC6" w:rsidP="005D3FC9">
      <w:pPr>
        <w:pStyle w:val="BodyTextIndent"/>
        <w:numPr>
          <w:ilvl w:val="0"/>
          <w:numId w:val="5"/>
        </w:numPr>
        <w:tabs>
          <w:tab w:val="left" w:pos="720"/>
        </w:tabs>
        <w:spacing w:after="0"/>
        <w:ind w:left="720"/>
        <w:jc w:val="both"/>
        <w:rPr>
          <w:rFonts w:ascii="Calibri" w:hAnsi="Calibri"/>
          <w:i/>
          <w:iCs/>
          <w:sz w:val="22"/>
          <w:szCs w:val="22"/>
        </w:rPr>
      </w:pPr>
      <w:r w:rsidRPr="0057727F">
        <w:rPr>
          <w:rFonts w:ascii="Calibri" w:hAnsi="Calibri"/>
          <w:i/>
          <w:iCs/>
          <w:sz w:val="22"/>
          <w:szCs w:val="22"/>
        </w:rPr>
        <w:t>Seabeds Way</w:t>
      </w:r>
    </w:p>
    <w:p w14:paraId="48C34765" w14:textId="77777777" w:rsidR="00084BC6" w:rsidRPr="0057727F" w:rsidRDefault="00084BC6" w:rsidP="00084BC6">
      <w:pPr>
        <w:pStyle w:val="BodyTextIndent"/>
        <w:tabs>
          <w:tab w:val="left" w:pos="720"/>
        </w:tabs>
        <w:spacing w:after="0"/>
        <w:ind w:left="1080" w:hanging="360"/>
        <w:jc w:val="both"/>
        <w:rPr>
          <w:rFonts w:ascii="Calibri" w:hAnsi="Calibri"/>
          <w:sz w:val="22"/>
          <w:szCs w:val="22"/>
        </w:rPr>
      </w:pPr>
      <w:r w:rsidRPr="0057727F">
        <w:rPr>
          <w:rFonts w:ascii="Calibri" w:hAnsi="Calibri"/>
          <w:sz w:val="22"/>
          <w:szCs w:val="22"/>
        </w:rPr>
        <w:t>Federally-financed</w:t>
      </w:r>
    </w:p>
    <w:p w14:paraId="0696CE21"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Mixed elderly, disabled singles housing</w:t>
      </w:r>
    </w:p>
    <w:p w14:paraId="626E72B2" w14:textId="77777777" w:rsidR="00084BC6" w:rsidRPr="0057727F" w:rsidRDefault="00084BC6" w:rsidP="00084BC6">
      <w:pPr>
        <w:tabs>
          <w:tab w:val="left" w:pos="720"/>
        </w:tabs>
        <w:ind w:left="1080" w:hanging="360"/>
        <w:jc w:val="both"/>
        <w:rPr>
          <w:rFonts w:ascii="Calibri" w:hAnsi="Calibri"/>
          <w:sz w:val="22"/>
          <w:szCs w:val="22"/>
        </w:rPr>
      </w:pPr>
      <w:r w:rsidRPr="0057727F">
        <w:rPr>
          <w:rFonts w:ascii="Calibri" w:hAnsi="Calibri"/>
          <w:sz w:val="22"/>
          <w:szCs w:val="22"/>
        </w:rPr>
        <w:t>46 one-bedroom units</w:t>
      </w:r>
    </w:p>
    <w:p w14:paraId="42330509" w14:textId="77777777" w:rsidR="00084BC6" w:rsidRPr="0057727F" w:rsidRDefault="00084BC6" w:rsidP="00084BC6">
      <w:pPr>
        <w:tabs>
          <w:tab w:val="left" w:pos="0"/>
        </w:tabs>
        <w:jc w:val="both"/>
        <w:rPr>
          <w:rFonts w:ascii="Calibri" w:hAnsi="Calibri"/>
          <w:sz w:val="22"/>
          <w:szCs w:val="22"/>
        </w:rPr>
      </w:pPr>
    </w:p>
    <w:p w14:paraId="3A54F31A" w14:textId="20A0F04F" w:rsidR="00084BC6" w:rsidRPr="0057727F" w:rsidRDefault="00084BC6" w:rsidP="00084BC6">
      <w:pPr>
        <w:pStyle w:val="BodyText"/>
        <w:tabs>
          <w:tab w:val="left" w:pos="0"/>
        </w:tabs>
        <w:spacing w:after="0"/>
        <w:jc w:val="both"/>
        <w:rPr>
          <w:rFonts w:ascii="Calibri" w:hAnsi="Calibri"/>
          <w:sz w:val="22"/>
          <w:szCs w:val="22"/>
        </w:rPr>
      </w:pPr>
      <w:bookmarkStart w:id="10" w:name="_Hlk92714145"/>
      <w:r w:rsidRPr="0057727F">
        <w:rPr>
          <w:rFonts w:ascii="Calibri" w:hAnsi="Calibri"/>
          <w:sz w:val="22"/>
          <w:szCs w:val="22"/>
        </w:rPr>
        <w:t>The Housing Authority</w:t>
      </w:r>
      <w:r w:rsidR="0057727F">
        <w:rPr>
          <w:rFonts w:ascii="Calibri" w:hAnsi="Calibri"/>
          <w:sz w:val="22"/>
          <w:szCs w:val="22"/>
        </w:rPr>
        <w:t xml:space="preserve"> focuses on “deeply” affordable housing for those with incomes at or below 50% AMI</w:t>
      </w:r>
      <w:r w:rsidR="00E85381">
        <w:rPr>
          <w:rFonts w:ascii="Calibri" w:hAnsi="Calibri"/>
          <w:sz w:val="22"/>
          <w:szCs w:val="22"/>
        </w:rPr>
        <w:t xml:space="preserve"> and no tenant pays more than 30% of annual income for rent.</w:t>
      </w:r>
      <w:r w:rsidR="0057727F">
        <w:rPr>
          <w:rFonts w:ascii="Calibri" w:hAnsi="Calibri"/>
          <w:sz w:val="22"/>
          <w:szCs w:val="22"/>
        </w:rPr>
        <w:t xml:space="preserve">  </w:t>
      </w:r>
      <w:r w:rsidR="00E85381">
        <w:rPr>
          <w:rFonts w:ascii="Calibri" w:hAnsi="Calibri"/>
          <w:sz w:val="22"/>
          <w:szCs w:val="22"/>
        </w:rPr>
        <w:t xml:space="preserve">Waitlists are very long.  For example, </w:t>
      </w:r>
      <w:r w:rsidR="0057727F">
        <w:rPr>
          <w:rFonts w:ascii="Calibri" w:hAnsi="Calibri"/>
          <w:sz w:val="22"/>
          <w:szCs w:val="22"/>
        </w:rPr>
        <w:t xml:space="preserve">NHA </w:t>
      </w:r>
      <w:r w:rsidRPr="0057727F">
        <w:rPr>
          <w:rFonts w:ascii="Calibri" w:hAnsi="Calibri"/>
          <w:sz w:val="22"/>
          <w:szCs w:val="22"/>
        </w:rPr>
        <w:t>has 559 applicants on its wait list for the family units including 359 applicants for two-bedroom units, 167 for three-bedrooms, and 33 for four-bedroom units.  Waits for these units extend to three to five years.  In regard to the NHA’s elderly/disabled units, there were 227 on the waitlist with waits of approximately six months to a year.</w:t>
      </w:r>
    </w:p>
    <w:p w14:paraId="67FEF533" w14:textId="24FCB13A" w:rsidR="00084BC6" w:rsidRPr="0057727F" w:rsidRDefault="00084BC6" w:rsidP="00084BC6">
      <w:pPr>
        <w:pStyle w:val="BodyText"/>
        <w:tabs>
          <w:tab w:val="left" w:pos="0"/>
        </w:tabs>
        <w:spacing w:after="0"/>
        <w:jc w:val="both"/>
        <w:rPr>
          <w:rFonts w:ascii="Calibri" w:hAnsi="Calibri"/>
          <w:sz w:val="22"/>
          <w:szCs w:val="22"/>
        </w:rPr>
      </w:pPr>
    </w:p>
    <w:bookmarkEnd w:id="10"/>
    <w:p w14:paraId="3B118DAE" w14:textId="610A2567" w:rsidR="00084BC6" w:rsidRPr="00520BC5" w:rsidRDefault="00084BC6" w:rsidP="00084BC6">
      <w:pPr>
        <w:pStyle w:val="BodyText"/>
        <w:spacing w:after="0"/>
        <w:jc w:val="both"/>
        <w:rPr>
          <w:rFonts w:ascii="Calibri" w:hAnsi="Calibri"/>
          <w:b/>
          <w:sz w:val="22"/>
          <w:szCs w:val="22"/>
        </w:rPr>
      </w:pPr>
      <w:r w:rsidRPr="0057727F">
        <w:rPr>
          <w:rFonts w:ascii="Calibri" w:hAnsi="Calibri"/>
          <w:sz w:val="22"/>
          <w:szCs w:val="22"/>
        </w:rPr>
        <w:t>In addition to the Housing Authority’s Matthews House, Needham has five other special needs housing facilities that altogether total 26 additional affordable housing units (including the Highland Avenue ARC project, Marked Tree Road, 299 and 929 Webster Street, and West Street Apartments) as well as 8</w:t>
      </w:r>
      <w:r w:rsidR="008C2696">
        <w:rPr>
          <w:rFonts w:ascii="Calibri" w:hAnsi="Calibri"/>
          <w:sz w:val="22"/>
          <w:szCs w:val="22"/>
        </w:rPr>
        <w:t>4</w:t>
      </w:r>
      <w:r w:rsidRPr="0057727F">
        <w:rPr>
          <w:rFonts w:ascii="Calibri" w:hAnsi="Calibri"/>
          <w:sz w:val="22"/>
          <w:szCs w:val="22"/>
        </w:rPr>
        <w:t xml:space="preserve"> units in group homes for state Department of Developmental Services</w:t>
      </w:r>
      <w:r w:rsidRPr="0033731E">
        <w:rPr>
          <w:rFonts w:ascii="Calibri" w:hAnsi="Calibri"/>
          <w:sz w:val="22"/>
          <w:szCs w:val="22"/>
        </w:rPr>
        <w:t xml:space="preserve"> (DDS) clients scattered throughout town. </w:t>
      </w:r>
      <w:r>
        <w:rPr>
          <w:rFonts w:ascii="Calibri" w:hAnsi="Calibri"/>
          <w:sz w:val="22"/>
          <w:szCs w:val="22"/>
        </w:rPr>
        <w:t xml:space="preserve">These group home units include </w:t>
      </w:r>
      <w:r w:rsidRPr="00F542C7">
        <w:rPr>
          <w:rFonts w:ascii="Calibri" w:hAnsi="Calibri"/>
          <w:sz w:val="22"/>
          <w:szCs w:val="22"/>
        </w:rPr>
        <w:t>five units as part of a group home for developmentally disabled adults on South Street</w:t>
      </w:r>
      <w:r w:rsidR="008C2696">
        <w:rPr>
          <w:rFonts w:ascii="Calibri" w:hAnsi="Calibri"/>
          <w:sz w:val="22"/>
          <w:szCs w:val="22"/>
        </w:rPr>
        <w:t xml:space="preserve"> that was supported with HOME Program and CPA funding</w:t>
      </w:r>
      <w:r w:rsidRPr="00F542C7">
        <w:rPr>
          <w:rFonts w:ascii="Calibri" w:hAnsi="Calibri"/>
          <w:sz w:val="22"/>
          <w:szCs w:val="22"/>
        </w:rPr>
        <w:t>.</w:t>
      </w:r>
      <w:r w:rsidRPr="00F542C7">
        <w:rPr>
          <w:rStyle w:val="FootnoteReference"/>
          <w:rFonts w:ascii="Calibri" w:eastAsiaTheme="majorEastAsia" w:hAnsi="Calibri"/>
          <w:sz w:val="22"/>
          <w:szCs w:val="22"/>
        </w:rPr>
        <w:footnoteReference w:id="31"/>
      </w:r>
    </w:p>
    <w:p w14:paraId="2B75121F" w14:textId="77777777" w:rsidR="00084BC6" w:rsidRPr="004E50E7" w:rsidRDefault="00084BC6" w:rsidP="00084BC6">
      <w:pPr>
        <w:pStyle w:val="BodyText"/>
        <w:spacing w:after="0"/>
        <w:jc w:val="both"/>
        <w:rPr>
          <w:rFonts w:ascii="Calibri" w:hAnsi="Calibri"/>
        </w:rPr>
      </w:pPr>
    </w:p>
    <w:p w14:paraId="4544F4CC" w14:textId="77777777" w:rsidR="00084BC6" w:rsidRPr="0033731E" w:rsidRDefault="00084BC6" w:rsidP="00084BC6">
      <w:pPr>
        <w:pStyle w:val="BodyText"/>
        <w:spacing w:after="0"/>
        <w:jc w:val="both"/>
        <w:rPr>
          <w:rFonts w:asciiTheme="minorHAnsi" w:hAnsiTheme="minorHAnsi"/>
          <w:sz w:val="22"/>
          <w:szCs w:val="22"/>
        </w:rPr>
      </w:pPr>
      <w:r w:rsidRPr="0033731E">
        <w:rPr>
          <w:rFonts w:asciiTheme="minorHAnsi" w:hAnsiTheme="minorHAnsi"/>
          <w:sz w:val="22"/>
          <w:szCs w:val="22"/>
        </w:rPr>
        <w:t xml:space="preserve">Needham also has </w:t>
      </w:r>
      <w:r>
        <w:rPr>
          <w:rFonts w:asciiTheme="minorHAnsi" w:hAnsiTheme="minorHAnsi"/>
          <w:sz w:val="22"/>
          <w:szCs w:val="22"/>
        </w:rPr>
        <w:t>15</w:t>
      </w:r>
      <w:r w:rsidRPr="0033731E">
        <w:rPr>
          <w:rFonts w:asciiTheme="minorHAnsi" w:hAnsiTheme="minorHAnsi"/>
          <w:sz w:val="22"/>
          <w:szCs w:val="22"/>
        </w:rPr>
        <w:t xml:space="preserve"> other projects that are a part of its SHI that include an additional </w:t>
      </w:r>
      <w:r>
        <w:rPr>
          <w:rFonts w:asciiTheme="minorHAnsi" w:hAnsiTheme="minorHAnsi"/>
          <w:sz w:val="22"/>
          <w:szCs w:val="22"/>
        </w:rPr>
        <w:t xml:space="preserve">312 </w:t>
      </w:r>
      <w:r w:rsidRPr="00387793">
        <w:rPr>
          <w:rFonts w:asciiTheme="minorHAnsi" w:hAnsiTheme="minorHAnsi"/>
          <w:sz w:val="22"/>
          <w:szCs w:val="22"/>
          <w:u w:val="single"/>
        </w:rPr>
        <w:t>actual</w:t>
      </w:r>
      <w:r w:rsidRPr="0033731E">
        <w:rPr>
          <w:rFonts w:asciiTheme="minorHAnsi" w:hAnsiTheme="minorHAnsi"/>
          <w:sz w:val="22"/>
          <w:szCs w:val="22"/>
        </w:rPr>
        <w:t xml:space="preserve"> affordable units (total of </w:t>
      </w:r>
      <w:r>
        <w:rPr>
          <w:rFonts w:asciiTheme="minorHAnsi" w:hAnsiTheme="minorHAnsi"/>
          <w:sz w:val="22"/>
          <w:szCs w:val="22"/>
        </w:rPr>
        <w:t>968</w:t>
      </w:r>
      <w:r w:rsidRPr="0033731E">
        <w:rPr>
          <w:rFonts w:asciiTheme="minorHAnsi" w:hAnsiTheme="minorHAnsi"/>
          <w:sz w:val="22"/>
          <w:szCs w:val="22"/>
        </w:rPr>
        <w:t xml:space="preserve"> units that can be counted in the SHI) that have been produced by private, for profit or non-profit developers including:</w:t>
      </w:r>
    </w:p>
    <w:p w14:paraId="016FFF2B" w14:textId="77777777" w:rsidR="00084BC6" w:rsidRDefault="00084BC6" w:rsidP="00084BC6">
      <w:pPr>
        <w:overflowPunct w:val="0"/>
        <w:autoSpaceDE w:val="0"/>
        <w:autoSpaceDN w:val="0"/>
        <w:adjustRightInd w:val="0"/>
        <w:jc w:val="both"/>
        <w:rPr>
          <w:rFonts w:asciiTheme="minorHAnsi" w:hAnsiTheme="minorHAnsi"/>
          <w:bCs/>
          <w:sz w:val="22"/>
          <w:szCs w:val="22"/>
          <w:u w:val="single"/>
        </w:rPr>
      </w:pPr>
    </w:p>
    <w:p w14:paraId="409CCBEB" w14:textId="6523F250" w:rsidR="00084BC6" w:rsidRPr="0033731E" w:rsidRDefault="00976E29" w:rsidP="005D3FC9">
      <w:pPr>
        <w:pStyle w:val="Heading5"/>
        <w:keepLines w:val="0"/>
        <w:numPr>
          <w:ilvl w:val="0"/>
          <w:numId w:val="5"/>
        </w:numPr>
        <w:tabs>
          <w:tab w:val="clear" w:pos="2160"/>
          <w:tab w:val="left" w:pos="720"/>
        </w:tabs>
        <w:spacing w:before="0"/>
        <w:ind w:left="0" w:right="-720" w:firstLine="360"/>
        <w:jc w:val="both"/>
        <w:rPr>
          <w:rFonts w:asciiTheme="minorHAnsi" w:hAnsiTheme="minorHAnsi"/>
          <w:bCs/>
          <w:i/>
          <w:iCs/>
          <w:color w:val="auto"/>
          <w:sz w:val="22"/>
          <w:szCs w:val="22"/>
        </w:rPr>
      </w:pPr>
      <w:r>
        <w:rPr>
          <w:rFonts w:asciiTheme="minorHAnsi" w:hAnsiTheme="minorHAnsi"/>
          <w:bCs/>
          <w:i/>
          <w:iCs/>
          <w:color w:val="auto"/>
          <w:sz w:val="22"/>
          <w:szCs w:val="22"/>
        </w:rPr>
        <w:t>Nehoiden</w:t>
      </w:r>
      <w:r w:rsidR="00084BC6" w:rsidRPr="0033731E">
        <w:rPr>
          <w:rFonts w:asciiTheme="minorHAnsi" w:hAnsiTheme="minorHAnsi"/>
          <w:bCs/>
          <w:i/>
          <w:iCs/>
          <w:color w:val="auto"/>
          <w:sz w:val="22"/>
          <w:szCs w:val="22"/>
        </w:rPr>
        <w:t xml:space="preserve"> Glen</w:t>
      </w:r>
    </w:p>
    <w:p w14:paraId="5A47D228" w14:textId="77777777" w:rsidR="00084BC6" w:rsidRPr="0033731E" w:rsidRDefault="00084BC6" w:rsidP="00084BC6">
      <w:pPr>
        <w:tabs>
          <w:tab w:val="left" w:pos="720"/>
        </w:tabs>
        <w:ind w:firstLine="360"/>
        <w:jc w:val="both"/>
        <w:rPr>
          <w:rFonts w:asciiTheme="minorHAnsi" w:hAnsiTheme="minorHAnsi"/>
          <w:sz w:val="22"/>
          <w:szCs w:val="22"/>
        </w:rPr>
      </w:pPr>
      <w:r w:rsidRPr="0033731E">
        <w:rPr>
          <w:rFonts w:asciiTheme="minorHAnsi" w:hAnsiTheme="minorHAnsi"/>
          <w:sz w:val="22"/>
          <w:szCs w:val="22"/>
        </w:rPr>
        <w:tab/>
        <w:t>1035 Central Avenue</w:t>
      </w:r>
    </w:p>
    <w:p w14:paraId="10564165" w14:textId="77777777" w:rsidR="00084BC6" w:rsidRPr="0033731E" w:rsidRDefault="00084BC6" w:rsidP="00084BC6">
      <w:pPr>
        <w:tabs>
          <w:tab w:val="left" w:pos="720"/>
        </w:tabs>
        <w:ind w:left="720"/>
        <w:jc w:val="both"/>
        <w:rPr>
          <w:rFonts w:asciiTheme="minorHAnsi" w:hAnsiTheme="minorHAnsi"/>
          <w:sz w:val="22"/>
          <w:szCs w:val="22"/>
        </w:rPr>
      </w:pPr>
      <w:r w:rsidRPr="0033731E">
        <w:rPr>
          <w:rFonts w:asciiTheme="minorHAnsi" w:hAnsiTheme="minorHAnsi"/>
          <w:sz w:val="22"/>
          <w:szCs w:val="22"/>
        </w:rPr>
        <w:t xml:space="preserve">Comprehensive Permit granted in 1976 </w:t>
      </w:r>
      <w:r>
        <w:rPr>
          <w:rFonts w:asciiTheme="minorHAnsi" w:hAnsiTheme="minorHAnsi"/>
          <w:sz w:val="22"/>
          <w:szCs w:val="22"/>
        </w:rPr>
        <w:t xml:space="preserve">and </w:t>
      </w:r>
      <w:r w:rsidRPr="0033731E">
        <w:rPr>
          <w:rFonts w:asciiTheme="minorHAnsi" w:hAnsiTheme="minorHAnsi"/>
          <w:sz w:val="22"/>
          <w:szCs w:val="22"/>
        </w:rPr>
        <w:t xml:space="preserve">amendments were issued through June 2011. </w:t>
      </w:r>
    </w:p>
    <w:p w14:paraId="581772A4" w14:textId="77777777" w:rsidR="00084BC6" w:rsidRPr="0033731E" w:rsidRDefault="00084BC6" w:rsidP="00084BC6">
      <w:pPr>
        <w:tabs>
          <w:tab w:val="left" w:pos="720"/>
        </w:tabs>
        <w:ind w:firstLine="360"/>
        <w:jc w:val="both"/>
        <w:rPr>
          <w:rFonts w:asciiTheme="minorHAnsi" w:hAnsiTheme="minorHAnsi"/>
          <w:sz w:val="22"/>
          <w:szCs w:val="22"/>
        </w:rPr>
      </w:pPr>
      <w:r w:rsidRPr="0033731E">
        <w:rPr>
          <w:rFonts w:asciiTheme="minorHAnsi" w:hAnsiTheme="minorHAnsi"/>
          <w:sz w:val="22"/>
          <w:szCs w:val="22"/>
        </w:rPr>
        <w:tab/>
        <w:t>Total Rental Units:  61   Affordable Units: 61</w:t>
      </w:r>
    </w:p>
    <w:p w14:paraId="1695EB33" w14:textId="3FDC7FFD" w:rsidR="00084BC6" w:rsidRDefault="00084BC6" w:rsidP="00084BC6">
      <w:pPr>
        <w:pStyle w:val="Footer"/>
        <w:tabs>
          <w:tab w:val="left" w:pos="720"/>
        </w:tabs>
        <w:ind w:firstLine="360"/>
        <w:jc w:val="both"/>
        <w:rPr>
          <w:rFonts w:asciiTheme="minorHAnsi" w:hAnsiTheme="minorHAnsi"/>
          <w:sz w:val="22"/>
          <w:szCs w:val="22"/>
        </w:rPr>
      </w:pPr>
      <w:r w:rsidRPr="0033731E">
        <w:rPr>
          <w:rFonts w:asciiTheme="minorHAnsi" w:hAnsiTheme="minorHAnsi"/>
          <w:sz w:val="22"/>
          <w:szCs w:val="22"/>
        </w:rPr>
        <w:tab/>
        <w:t>This development is for</w:t>
      </w:r>
      <w:r w:rsidR="00FA6F4E">
        <w:rPr>
          <w:rFonts w:asciiTheme="minorHAnsi" w:hAnsiTheme="minorHAnsi"/>
          <w:sz w:val="22"/>
          <w:szCs w:val="22"/>
        </w:rPr>
        <w:t xml:space="preserve"> very</w:t>
      </w:r>
      <w:r w:rsidRPr="0033731E">
        <w:rPr>
          <w:rFonts w:asciiTheme="minorHAnsi" w:hAnsiTheme="minorHAnsi"/>
          <w:sz w:val="22"/>
          <w:szCs w:val="22"/>
        </w:rPr>
        <w:t xml:space="preserve"> low-income </w:t>
      </w:r>
      <w:r w:rsidR="00FA6F4E">
        <w:rPr>
          <w:rFonts w:asciiTheme="minorHAnsi" w:hAnsiTheme="minorHAnsi"/>
          <w:sz w:val="22"/>
          <w:szCs w:val="22"/>
        </w:rPr>
        <w:t>older adults</w:t>
      </w:r>
      <w:r>
        <w:rPr>
          <w:rFonts w:asciiTheme="minorHAnsi" w:hAnsiTheme="minorHAnsi"/>
          <w:sz w:val="22"/>
          <w:szCs w:val="22"/>
        </w:rPr>
        <w:t xml:space="preserve"> and is managed by Wingate</w:t>
      </w:r>
      <w:r w:rsidRPr="0033731E">
        <w:rPr>
          <w:rFonts w:asciiTheme="minorHAnsi" w:hAnsiTheme="minorHAnsi"/>
          <w:sz w:val="22"/>
          <w:szCs w:val="22"/>
        </w:rPr>
        <w:t>.</w:t>
      </w:r>
    </w:p>
    <w:p w14:paraId="106CD367" w14:textId="77777777" w:rsidR="00084BC6" w:rsidRDefault="00084BC6" w:rsidP="00084BC6">
      <w:pPr>
        <w:pStyle w:val="Footer"/>
        <w:tabs>
          <w:tab w:val="left" w:pos="720"/>
        </w:tabs>
        <w:ind w:firstLine="360"/>
        <w:jc w:val="both"/>
        <w:rPr>
          <w:rFonts w:asciiTheme="minorHAnsi" w:hAnsiTheme="minorHAnsi"/>
          <w:sz w:val="22"/>
          <w:szCs w:val="22"/>
        </w:rPr>
      </w:pPr>
    </w:p>
    <w:p w14:paraId="39F6E205" w14:textId="77777777" w:rsidR="00084BC6" w:rsidRPr="0033731E" w:rsidRDefault="00084BC6" w:rsidP="005D3FC9">
      <w:pPr>
        <w:pStyle w:val="Heading5"/>
        <w:keepLines w:val="0"/>
        <w:numPr>
          <w:ilvl w:val="0"/>
          <w:numId w:val="5"/>
        </w:numPr>
        <w:tabs>
          <w:tab w:val="clear" w:pos="2160"/>
          <w:tab w:val="left" w:pos="720"/>
          <w:tab w:val="num" w:pos="4325"/>
        </w:tabs>
        <w:spacing w:before="0"/>
        <w:ind w:left="0" w:right="-720" w:firstLine="360"/>
        <w:jc w:val="both"/>
        <w:rPr>
          <w:rFonts w:asciiTheme="minorHAnsi" w:hAnsiTheme="minorHAnsi"/>
          <w:i/>
          <w:iCs/>
          <w:color w:val="auto"/>
          <w:sz w:val="22"/>
          <w:szCs w:val="22"/>
        </w:rPr>
      </w:pPr>
      <w:r w:rsidRPr="0033731E">
        <w:rPr>
          <w:rFonts w:asciiTheme="minorHAnsi" w:hAnsiTheme="minorHAnsi"/>
          <w:bCs/>
          <w:i/>
          <w:iCs/>
          <w:color w:val="auto"/>
          <w:sz w:val="22"/>
          <w:szCs w:val="22"/>
        </w:rPr>
        <w:t>Chestnut Hollow</w:t>
      </w:r>
    </w:p>
    <w:p w14:paraId="4F49BE38" w14:textId="77777777" w:rsidR="00084BC6" w:rsidRPr="0033731E" w:rsidRDefault="00084BC6" w:rsidP="00084BC6">
      <w:pPr>
        <w:tabs>
          <w:tab w:val="left" w:pos="720"/>
        </w:tabs>
        <w:overflowPunct w:val="0"/>
        <w:autoSpaceDE w:val="0"/>
        <w:autoSpaceDN w:val="0"/>
        <w:adjustRightInd w:val="0"/>
        <w:ind w:left="1440" w:hanging="720"/>
        <w:jc w:val="both"/>
        <w:rPr>
          <w:rFonts w:asciiTheme="minorHAnsi" w:hAnsiTheme="minorHAnsi"/>
          <w:sz w:val="22"/>
          <w:szCs w:val="22"/>
          <w:u w:val="single"/>
        </w:rPr>
      </w:pPr>
      <w:r w:rsidRPr="0033731E">
        <w:rPr>
          <w:rFonts w:asciiTheme="minorHAnsi" w:hAnsiTheme="minorHAnsi"/>
          <w:sz w:val="22"/>
          <w:szCs w:val="22"/>
        </w:rPr>
        <w:t>141 Chestnut Street</w:t>
      </w:r>
    </w:p>
    <w:p w14:paraId="5B135378" w14:textId="77777777" w:rsidR="00084BC6" w:rsidRPr="0033731E" w:rsidRDefault="00084BC6" w:rsidP="00084BC6">
      <w:pPr>
        <w:tabs>
          <w:tab w:val="left" w:pos="720"/>
        </w:tabs>
        <w:overflowPunct w:val="0"/>
        <w:autoSpaceDE w:val="0"/>
        <w:autoSpaceDN w:val="0"/>
        <w:adjustRightInd w:val="0"/>
        <w:ind w:left="1440" w:hanging="720"/>
        <w:jc w:val="both"/>
        <w:rPr>
          <w:rFonts w:asciiTheme="minorHAnsi" w:hAnsiTheme="minorHAnsi"/>
          <w:sz w:val="22"/>
          <w:szCs w:val="22"/>
        </w:rPr>
      </w:pPr>
      <w:r w:rsidRPr="0033731E">
        <w:rPr>
          <w:rFonts w:asciiTheme="minorHAnsi" w:hAnsiTheme="minorHAnsi"/>
          <w:sz w:val="22"/>
          <w:szCs w:val="22"/>
        </w:rPr>
        <w:lastRenderedPageBreak/>
        <w:t>Variance granted in October 2000 by the Board of Appeals</w:t>
      </w:r>
    </w:p>
    <w:p w14:paraId="0F75F65E" w14:textId="77777777" w:rsidR="00084BC6" w:rsidRPr="0033731E" w:rsidRDefault="00084BC6" w:rsidP="00084BC6">
      <w:pPr>
        <w:tabs>
          <w:tab w:val="left" w:pos="720"/>
        </w:tabs>
        <w:overflowPunct w:val="0"/>
        <w:autoSpaceDE w:val="0"/>
        <w:autoSpaceDN w:val="0"/>
        <w:adjustRightInd w:val="0"/>
        <w:ind w:left="1440" w:hanging="720"/>
        <w:jc w:val="both"/>
        <w:rPr>
          <w:rFonts w:asciiTheme="minorHAnsi" w:hAnsiTheme="minorHAnsi"/>
          <w:sz w:val="22"/>
          <w:szCs w:val="22"/>
        </w:rPr>
      </w:pPr>
      <w:r w:rsidRPr="0033731E">
        <w:rPr>
          <w:rFonts w:asciiTheme="minorHAnsi" w:hAnsiTheme="minorHAnsi"/>
          <w:sz w:val="22"/>
          <w:szCs w:val="22"/>
        </w:rPr>
        <w:t>Special Permit granted in December 2000 by the Planning Board</w:t>
      </w:r>
    </w:p>
    <w:p w14:paraId="3B792A79" w14:textId="77777777" w:rsidR="00084BC6" w:rsidRPr="0033731E" w:rsidRDefault="00084BC6" w:rsidP="00084BC6">
      <w:pPr>
        <w:tabs>
          <w:tab w:val="left" w:pos="720"/>
        </w:tabs>
        <w:overflowPunct w:val="0"/>
        <w:autoSpaceDE w:val="0"/>
        <w:autoSpaceDN w:val="0"/>
        <w:adjustRightInd w:val="0"/>
        <w:ind w:firstLine="360"/>
        <w:jc w:val="both"/>
        <w:rPr>
          <w:rFonts w:asciiTheme="minorHAnsi" w:hAnsiTheme="minorHAnsi"/>
          <w:sz w:val="22"/>
          <w:szCs w:val="22"/>
        </w:rPr>
      </w:pPr>
      <w:r w:rsidRPr="0033731E">
        <w:rPr>
          <w:rFonts w:asciiTheme="minorHAnsi" w:hAnsiTheme="minorHAnsi"/>
          <w:sz w:val="22"/>
          <w:szCs w:val="22"/>
        </w:rPr>
        <w:tab/>
        <w:t>Total Rental Units: 28   Affordable Units: 6</w:t>
      </w:r>
    </w:p>
    <w:p w14:paraId="325F31E2" w14:textId="77777777" w:rsidR="00084BC6" w:rsidRPr="0033731E" w:rsidRDefault="00084BC6" w:rsidP="00084BC6">
      <w:pPr>
        <w:pStyle w:val="BodyTextIndent3"/>
        <w:tabs>
          <w:tab w:val="left" w:pos="1440"/>
        </w:tabs>
        <w:spacing w:after="0"/>
        <w:ind w:left="720"/>
        <w:jc w:val="both"/>
        <w:rPr>
          <w:rFonts w:asciiTheme="minorHAnsi" w:hAnsiTheme="minorHAnsi"/>
          <w:sz w:val="22"/>
          <w:szCs w:val="22"/>
        </w:rPr>
      </w:pPr>
      <w:r w:rsidRPr="0033731E">
        <w:rPr>
          <w:rFonts w:asciiTheme="minorHAnsi" w:hAnsiTheme="minorHAnsi"/>
          <w:sz w:val="22"/>
          <w:szCs w:val="22"/>
        </w:rPr>
        <w:t xml:space="preserve">Chestnut Hollow involved a </w:t>
      </w:r>
      <w:r>
        <w:rPr>
          <w:rFonts w:asciiTheme="minorHAnsi" w:hAnsiTheme="minorHAnsi"/>
          <w:sz w:val="22"/>
          <w:szCs w:val="22"/>
        </w:rPr>
        <w:t xml:space="preserve">major renovation </w:t>
      </w:r>
      <w:r w:rsidRPr="0033731E">
        <w:rPr>
          <w:rFonts w:asciiTheme="minorHAnsi" w:hAnsiTheme="minorHAnsi"/>
          <w:sz w:val="22"/>
          <w:szCs w:val="22"/>
        </w:rPr>
        <w:t xml:space="preserve">of an existing non-conforming building, formerly the Hamilton House Nursing Home, for conversion into apartments for seniors.  The development was processed through a Special Permit and variances.  There are 12 two-bedroom units, 15 one-bedroom units, and one (1) studio unit.  </w:t>
      </w:r>
    </w:p>
    <w:p w14:paraId="09098159" w14:textId="77777777" w:rsidR="00084BC6" w:rsidRPr="0033731E" w:rsidRDefault="00084BC6" w:rsidP="00084BC6">
      <w:pPr>
        <w:pStyle w:val="Heading5"/>
        <w:spacing w:before="0"/>
        <w:jc w:val="both"/>
        <w:rPr>
          <w:b/>
          <w:bCs/>
          <w:color w:val="auto"/>
        </w:rPr>
      </w:pPr>
    </w:p>
    <w:p w14:paraId="4CB3E96E" w14:textId="77777777" w:rsidR="00084BC6" w:rsidRPr="0033731E" w:rsidRDefault="00084BC6" w:rsidP="005D3FC9">
      <w:pPr>
        <w:pStyle w:val="Heading5"/>
        <w:keepLines w:val="0"/>
        <w:numPr>
          <w:ilvl w:val="0"/>
          <w:numId w:val="5"/>
        </w:numPr>
        <w:tabs>
          <w:tab w:val="clear" w:pos="2160"/>
          <w:tab w:val="num" w:pos="720"/>
          <w:tab w:val="num" w:pos="4325"/>
        </w:tabs>
        <w:spacing w:before="0"/>
        <w:ind w:left="720" w:right="-720"/>
        <w:jc w:val="both"/>
        <w:rPr>
          <w:rFonts w:asciiTheme="minorHAnsi" w:hAnsiTheme="minorHAnsi"/>
          <w:bCs/>
          <w:i/>
          <w:iCs/>
          <w:color w:val="auto"/>
          <w:sz w:val="22"/>
          <w:szCs w:val="22"/>
        </w:rPr>
      </w:pPr>
      <w:r w:rsidRPr="0033731E">
        <w:rPr>
          <w:rFonts w:asciiTheme="minorHAnsi" w:hAnsiTheme="minorHAnsi"/>
          <w:bCs/>
          <w:i/>
          <w:iCs/>
          <w:color w:val="auto"/>
          <w:sz w:val="22"/>
          <w:szCs w:val="22"/>
        </w:rPr>
        <w:t>Junction Place Townhouses</w:t>
      </w:r>
    </w:p>
    <w:p w14:paraId="2D0F0059" w14:textId="77777777" w:rsidR="00084BC6" w:rsidRPr="0033731E"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33731E">
        <w:rPr>
          <w:rFonts w:ascii="Calibri" w:hAnsi="Calibri"/>
          <w:sz w:val="22"/>
          <w:szCs w:val="22"/>
        </w:rPr>
        <w:t>32 Junction Place</w:t>
      </w:r>
    </w:p>
    <w:p w14:paraId="338D1293" w14:textId="77777777" w:rsidR="00084BC6" w:rsidRPr="0033731E"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33731E">
        <w:rPr>
          <w:rFonts w:ascii="Calibri" w:hAnsi="Calibri"/>
          <w:sz w:val="22"/>
          <w:szCs w:val="22"/>
        </w:rPr>
        <w:t>Comprehensive Permit granted in October 200</w:t>
      </w:r>
      <w:r w:rsidR="00387793">
        <w:rPr>
          <w:rFonts w:ascii="Calibri" w:hAnsi="Calibri"/>
          <w:sz w:val="22"/>
          <w:szCs w:val="22"/>
        </w:rPr>
        <w:t>1</w:t>
      </w:r>
      <w:r w:rsidRPr="0033731E">
        <w:rPr>
          <w:rFonts w:ascii="Calibri" w:hAnsi="Calibri"/>
          <w:sz w:val="22"/>
          <w:szCs w:val="22"/>
        </w:rPr>
        <w:t xml:space="preserve"> </w:t>
      </w:r>
    </w:p>
    <w:p w14:paraId="460E6CBD" w14:textId="77777777" w:rsidR="00084BC6" w:rsidRPr="0033731E"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33731E">
        <w:rPr>
          <w:rFonts w:ascii="Calibri" w:hAnsi="Calibri"/>
          <w:sz w:val="22"/>
          <w:szCs w:val="22"/>
        </w:rPr>
        <w:t>Total Condominium Units: 5    Affordable Units: 2</w:t>
      </w:r>
    </w:p>
    <w:p w14:paraId="326E789C" w14:textId="77777777" w:rsidR="00084BC6" w:rsidRPr="004E50E7" w:rsidRDefault="00084BC6" w:rsidP="00084BC6">
      <w:pPr>
        <w:tabs>
          <w:tab w:val="num" w:pos="720"/>
        </w:tabs>
        <w:overflowPunct w:val="0"/>
        <w:autoSpaceDE w:val="0"/>
        <w:autoSpaceDN w:val="0"/>
        <w:adjustRightInd w:val="0"/>
        <w:ind w:left="720"/>
        <w:jc w:val="both"/>
        <w:rPr>
          <w:rFonts w:ascii="Calibri" w:hAnsi="Calibri"/>
          <w:sz w:val="22"/>
          <w:szCs w:val="22"/>
        </w:rPr>
      </w:pPr>
      <w:r w:rsidRPr="0033731E">
        <w:rPr>
          <w:rFonts w:ascii="Calibri" w:hAnsi="Calibri"/>
          <w:sz w:val="22"/>
        </w:rPr>
        <w:t xml:space="preserve">Junction Place is a condominium project comprised of five (5) attached townhouse units, approved by the Town in </w:t>
      </w:r>
      <w:r w:rsidR="00387793">
        <w:rPr>
          <w:rFonts w:ascii="Calibri" w:hAnsi="Calibri"/>
          <w:sz w:val="22"/>
        </w:rPr>
        <w:t>October</w:t>
      </w:r>
      <w:r w:rsidRPr="0033731E">
        <w:rPr>
          <w:rFonts w:ascii="Calibri" w:hAnsi="Calibri"/>
          <w:sz w:val="22"/>
        </w:rPr>
        <w:t xml:space="preserve"> 2001 through a comprehensive permit. The property contains approximately 11,200 square feet of land, previously occupied by a small vacant two-story office building, a garage and parking area on the edge of a commercial district and </w:t>
      </w:r>
      <w:r>
        <w:rPr>
          <w:rFonts w:ascii="Calibri" w:hAnsi="Calibri"/>
          <w:sz w:val="22"/>
        </w:rPr>
        <w:t>across the road from a</w:t>
      </w:r>
      <w:r w:rsidRPr="0033731E">
        <w:rPr>
          <w:rFonts w:ascii="Calibri" w:hAnsi="Calibri"/>
          <w:sz w:val="22"/>
        </w:rPr>
        <w:t xml:space="preserve"> train station.  </w:t>
      </w:r>
      <w:r w:rsidRPr="0033731E">
        <w:rPr>
          <w:rFonts w:ascii="Calibri" w:hAnsi="Calibri"/>
          <w:sz w:val="22"/>
          <w:szCs w:val="22"/>
        </w:rPr>
        <w:t xml:space="preserve">All five (5) of the townhouses were sold at below market prices to eligible families through a lottery system.  Two (2) of the homes were sold for $165,000 to families earning up to 80% of the area median income with the remaining three (3) </w:t>
      </w:r>
      <w:r>
        <w:rPr>
          <w:rFonts w:ascii="Calibri" w:hAnsi="Calibri"/>
          <w:sz w:val="22"/>
          <w:szCs w:val="22"/>
        </w:rPr>
        <w:t xml:space="preserve">initially </w:t>
      </w:r>
      <w:r w:rsidRPr="0033731E">
        <w:rPr>
          <w:rFonts w:ascii="Calibri" w:hAnsi="Calibri"/>
          <w:sz w:val="22"/>
          <w:szCs w:val="22"/>
        </w:rPr>
        <w:t xml:space="preserve">sold for $310,000 to families earning up </w:t>
      </w:r>
      <w:r w:rsidRPr="004E50E7">
        <w:rPr>
          <w:rFonts w:ascii="Calibri" w:hAnsi="Calibri"/>
          <w:sz w:val="22"/>
          <w:szCs w:val="22"/>
        </w:rPr>
        <w:t xml:space="preserve">to 150% of the area median income.  </w:t>
      </w:r>
    </w:p>
    <w:p w14:paraId="5315CC5E" w14:textId="77777777" w:rsidR="00084BC6" w:rsidRPr="004E50E7" w:rsidRDefault="00084BC6" w:rsidP="00084BC6">
      <w:pPr>
        <w:tabs>
          <w:tab w:val="num" w:pos="720"/>
        </w:tabs>
        <w:overflowPunct w:val="0"/>
        <w:autoSpaceDE w:val="0"/>
        <w:autoSpaceDN w:val="0"/>
        <w:adjustRightInd w:val="0"/>
        <w:ind w:left="720"/>
        <w:jc w:val="both"/>
        <w:rPr>
          <w:sz w:val="22"/>
          <w:szCs w:val="22"/>
        </w:rPr>
      </w:pPr>
    </w:p>
    <w:p w14:paraId="064E07DF" w14:textId="77777777" w:rsidR="00084BC6" w:rsidRPr="004E50E7" w:rsidRDefault="00084BC6" w:rsidP="005D3FC9">
      <w:pPr>
        <w:pStyle w:val="Heading7"/>
        <w:numPr>
          <w:ilvl w:val="0"/>
          <w:numId w:val="5"/>
        </w:numPr>
        <w:tabs>
          <w:tab w:val="clear" w:pos="2160"/>
          <w:tab w:val="num" w:pos="720"/>
          <w:tab w:val="num" w:pos="4325"/>
        </w:tabs>
        <w:ind w:left="720"/>
        <w:jc w:val="both"/>
        <w:rPr>
          <w:b w:val="0"/>
          <w:bCs w:val="0"/>
          <w:i/>
          <w:iCs/>
          <w:u w:val="none"/>
        </w:rPr>
      </w:pPr>
      <w:r w:rsidRPr="004E50E7">
        <w:rPr>
          <w:b w:val="0"/>
          <w:bCs w:val="0"/>
          <w:i/>
          <w:iCs/>
          <w:u w:val="none"/>
        </w:rPr>
        <w:t>Garden Street</w:t>
      </w:r>
      <w:r>
        <w:rPr>
          <w:b w:val="0"/>
          <w:bCs w:val="0"/>
          <w:i/>
          <w:iCs/>
          <w:u w:val="none"/>
        </w:rPr>
        <w:t>/Browne-Whitney</w:t>
      </w:r>
    </w:p>
    <w:p w14:paraId="7A90A1B1" w14:textId="77777777" w:rsidR="00084BC6" w:rsidRPr="004E50E7"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4E50E7">
        <w:rPr>
          <w:rFonts w:ascii="Calibri" w:hAnsi="Calibri"/>
          <w:sz w:val="22"/>
          <w:szCs w:val="22"/>
        </w:rPr>
        <w:t>207-21</w:t>
      </w:r>
      <w:r w:rsidR="00387793">
        <w:rPr>
          <w:rFonts w:ascii="Calibri" w:hAnsi="Calibri"/>
          <w:sz w:val="22"/>
          <w:szCs w:val="22"/>
        </w:rPr>
        <w:t>7</w:t>
      </w:r>
      <w:r w:rsidRPr="004E50E7">
        <w:rPr>
          <w:rFonts w:ascii="Calibri" w:hAnsi="Calibri"/>
          <w:sz w:val="22"/>
          <w:szCs w:val="22"/>
        </w:rPr>
        <w:t xml:space="preserve"> Garden Street</w:t>
      </w:r>
    </w:p>
    <w:p w14:paraId="1997FF89" w14:textId="77777777" w:rsidR="00084BC6" w:rsidRPr="004E50E7"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4E50E7">
        <w:rPr>
          <w:rFonts w:ascii="Calibri" w:hAnsi="Calibri"/>
          <w:sz w:val="22"/>
          <w:szCs w:val="22"/>
        </w:rPr>
        <w:t>Comprehensive Permit granted March 2002</w:t>
      </w:r>
    </w:p>
    <w:p w14:paraId="7732E489" w14:textId="77777777" w:rsidR="00084BC6" w:rsidRPr="004E50E7"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4E50E7">
        <w:rPr>
          <w:rFonts w:ascii="Calibri" w:hAnsi="Calibri"/>
          <w:sz w:val="22"/>
          <w:szCs w:val="22"/>
        </w:rPr>
        <w:t>Total Condominium Units: 6</w:t>
      </w:r>
      <w:r>
        <w:rPr>
          <w:rFonts w:ascii="Calibri" w:hAnsi="Calibri"/>
          <w:sz w:val="22"/>
          <w:szCs w:val="22"/>
        </w:rPr>
        <w:t xml:space="preserve">    </w:t>
      </w:r>
      <w:r w:rsidRPr="004E50E7">
        <w:rPr>
          <w:rFonts w:ascii="Calibri" w:hAnsi="Calibri"/>
          <w:sz w:val="22"/>
          <w:szCs w:val="22"/>
        </w:rPr>
        <w:t>Affordable Units: 2</w:t>
      </w:r>
    </w:p>
    <w:p w14:paraId="76765DB1" w14:textId="77777777" w:rsidR="00084BC6" w:rsidRDefault="00084BC6" w:rsidP="00084BC6">
      <w:pPr>
        <w:overflowPunct w:val="0"/>
        <w:autoSpaceDE w:val="0"/>
        <w:autoSpaceDN w:val="0"/>
        <w:adjustRightInd w:val="0"/>
        <w:ind w:left="720"/>
        <w:jc w:val="both"/>
        <w:rPr>
          <w:rFonts w:ascii="Calibri" w:hAnsi="Calibri"/>
          <w:sz w:val="22"/>
        </w:rPr>
      </w:pPr>
      <w:r w:rsidRPr="004E50E7">
        <w:rPr>
          <w:rFonts w:ascii="Calibri" w:hAnsi="Calibri"/>
          <w:sz w:val="22"/>
        </w:rPr>
        <w:t>The Garden Street project</w:t>
      </w:r>
      <w:r w:rsidR="00387793">
        <w:rPr>
          <w:rFonts w:ascii="Calibri" w:hAnsi="Calibri"/>
          <w:sz w:val="22"/>
        </w:rPr>
        <w:t>, also known as Browne-Whitney,</w:t>
      </w:r>
      <w:r w:rsidRPr="004E50E7">
        <w:rPr>
          <w:rFonts w:ascii="Calibri" w:hAnsi="Calibri"/>
          <w:sz w:val="22"/>
        </w:rPr>
        <w:t xml:space="preserve"> is a condominium development with six (6) total three-bedroom units, two (2) of which are affordable.  The Town</w:t>
      </w:r>
      <w:r>
        <w:rPr>
          <w:rFonts w:ascii="Calibri" w:hAnsi="Calibri"/>
          <w:sz w:val="22"/>
        </w:rPr>
        <w:t xml:space="preserve"> approved the project</w:t>
      </w:r>
      <w:r w:rsidRPr="004E50E7">
        <w:rPr>
          <w:rFonts w:ascii="Calibri" w:hAnsi="Calibri"/>
          <w:sz w:val="22"/>
        </w:rPr>
        <w:t xml:space="preserve"> in March of 2002, and was subject to an appeal filed by an abutter to the property that was subsequently settled.  The property contains approximately 27,132 square feet of land.  Although within a single-family district, the property is located directly across the street from a business zone</w:t>
      </w:r>
      <w:r w:rsidR="00387793">
        <w:rPr>
          <w:rFonts w:ascii="Calibri" w:hAnsi="Calibri"/>
          <w:sz w:val="22"/>
        </w:rPr>
        <w:t xml:space="preserve"> and only </w:t>
      </w:r>
      <w:r w:rsidRPr="004E50E7">
        <w:rPr>
          <w:rFonts w:ascii="Calibri" w:hAnsi="Calibri"/>
          <w:sz w:val="22"/>
        </w:rPr>
        <w:t xml:space="preserve">a short walk to the center of Needham and public transportation. The two (2) affordable units sold for $160,000 with the market rate units </w:t>
      </w:r>
      <w:r w:rsidR="00387793">
        <w:rPr>
          <w:rFonts w:ascii="Calibri" w:hAnsi="Calibri"/>
          <w:sz w:val="22"/>
        </w:rPr>
        <w:t xml:space="preserve">were </w:t>
      </w:r>
      <w:r w:rsidRPr="004E50E7">
        <w:rPr>
          <w:rFonts w:ascii="Calibri" w:hAnsi="Calibri"/>
          <w:sz w:val="22"/>
        </w:rPr>
        <w:t xml:space="preserve">priced between $525,000 and $759,000.  </w:t>
      </w:r>
    </w:p>
    <w:p w14:paraId="35F54E4E" w14:textId="77777777" w:rsidR="00084BC6" w:rsidRPr="004E50E7" w:rsidRDefault="00084BC6" w:rsidP="00084BC6">
      <w:pPr>
        <w:overflowPunct w:val="0"/>
        <w:autoSpaceDE w:val="0"/>
        <w:autoSpaceDN w:val="0"/>
        <w:adjustRightInd w:val="0"/>
        <w:ind w:left="720"/>
        <w:jc w:val="both"/>
        <w:rPr>
          <w:rFonts w:ascii="Calibri" w:hAnsi="Calibri"/>
          <w:sz w:val="22"/>
        </w:rPr>
      </w:pPr>
    </w:p>
    <w:p w14:paraId="1EC9DBAE" w14:textId="77777777" w:rsidR="00084BC6" w:rsidRPr="004E50E7" w:rsidRDefault="00084BC6" w:rsidP="005D3FC9">
      <w:pPr>
        <w:pStyle w:val="Heading7"/>
        <w:numPr>
          <w:ilvl w:val="0"/>
          <w:numId w:val="5"/>
        </w:numPr>
        <w:tabs>
          <w:tab w:val="clear" w:pos="2160"/>
          <w:tab w:val="num" w:pos="720"/>
        </w:tabs>
        <w:ind w:left="720"/>
        <w:jc w:val="both"/>
        <w:rPr>
          <w:b w:val="0"/>
          <w:bCs w:val="0"/>
          <w:i/>
          <w:iCs/>
          <w:u w:val="none"/>
        </w:rPr>
      </w:pPr>
      <w:r w:rsidRPr="004E50E7">
        <w:rPr>
          <w:b w:val="0"/>
          <w:bCs w:val="0"/>
          <w:i/>
          <w:iCs/>
          <w:u w:val="none"/>
        </w:rPr>
        <w:t>High Cliff Estates</w:t>
      </w:r>
    </w:p>
    <w:p w14:paraId="40FD77C8" w14:textId="77777777" w:rsidR="00084BC6" w:rsidRPr="004E50E7" w:rsidRDefault="00387793" w:rsidP="00084BC6">
      <w:pPr>
        <w:tabs>
          <w:tab w:val="num" w:pos="720"/>
        </w:tabs>
        <w:overflowPunct w:val="0"/>
        <w:autoSpaceDE w:val="0"/>
        <w:autoSpaceDN w:val="0"/>
        <w:adjustRightInd w:val="0"/>
        <w:ind w:left="1080" w:hanging="360"/>
        <w:jc w:val="both"/>
        <w:rPr>
          <w:rFonts w:ascii="Calibri" w:hAnsi="Calibri"/>
          <w:sz w:val="22"/>
          <w:szCs w:val="22"/>
        </w:rPr>
      </w:pPr>
      <w:r>
        <w:rPr>
          <w:rFonts w:ascii="Calibri" w:hAnsi="Calibri"/>
          <w:sz w:val="22"/>
          <w:szCs w:val="22"/>
        </w:rPr>
        <w:t>209-233</w:t>
      </w:r>
      <w:r w:rsidR="00084BC6" w:rsidRPr="004E50E7">
        <w:rPr>
          <w:rFonts w:ascii="Calibri" w:hAnsi="Calibri"/>
          <w:sz w:val="22"/>
          <w:szCs w:val="22"/>
        </w:rPr>
        <w:t xml:space="preserve"> St. Mary Street</w:t>
      </w:r>
    </w:p>
    <w:p w14:paraId="56E8F7C4" w14:textId="77777777" w:rsidR="00084BC6" w:rsidRPr="004E50E7"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4E50E7">
        <w:rPr>
          <w:rFonts w:ascii="Calibri" w:hAnsi="Calibri"/>
          <w:sz w:val="22"/>
          <w:szCs w:val="22"/>
        </w:rPr>
        <w:t>Comprehensive Permit granted April 2002</w:t>
      </w:r>
    </w:p>
    <w:p w14:paraId="4275F850" w14:textId="77777777" w:rsidR="00084BC6" w:rsidRPr="004E50E7" w:rsidRDefault="00084BC6" w:rsidP="00084BC6">
      <w:pPr>
        <w:tabs>
          <w:tab w:val="num" w:pos="720"/>
        </w:tabs>
        <w:overflowPunct w:val="0"/>
        <w:autoSpaceDE w:val="0"/>
        <w:autoSpaceDN w:val="0"/>
        <w:adjustRightInd w:val="0"/>
        <w:ind w:left="1080" w:hanging="360"/>
        <w:jc w:val="both"/>
        <w:rPr>
          <w:rFonts w:ascii="Calibri" w:hAnsi="Calibri"/>
          <w:sz w:val="22"/>
          <w:szCs w:val="22"/>
        </w:rPr>
      </w:pPr>
      <w:r w:rsidRPr="004E50E7">
        <w:rPr>
          <w:rFonts w:ascii="Calibri" w:hAnsi="Calibri"/>
          <w:sz w:val="22"/>
          <w:szCs w:val="22"/>
        </w:rPr>
        <w:t>Total Condominium Units: 12</w:t>
      </w:r>
      <w:r>
        <w:rPr>
          <w:rFonts w:ascii="Calibri" w:hAnsi="Calibri"/>
          <w:sz w:val="22"/>
          <w:szCs w:val="22"/>
        </w:rPr>
        <w:t xml:space="preserve">    </w:t>
      </w:r>
      <w:r w:rsidRPr="004E50E7">
        <w:rPr>
          <w:rFonts w:ascii="Calibri" w:hAnsi="Calibri"/>
          <w:sz w:val="22"/>
          <w:szCs w:val="22"/>
        </w:rPr>
        <w:t>Affordable Units: 3</w:t>
      </w:r>
    </w:p>
    <w:p w14:paraId="42C3F44C" w14:textId="77777777" w:rsidR="00084BC6" w:rsidRPr="004E50E7" w:rsidRDefault="00084BC6" w:rsidP="00084BC6">
      <w:pPr>
        <w:tabs>
          <w:tab w:val="left" w:pos="720"/>
        </w:tabs>
        <w:overflowPunct w:val="0"/>
        <w:autoSpaceDE w:val="0"/>
        <w:autoSpaceDN w:val="0"/>
        <w:adjustRightInd w:val="0"/>
        <w:ind w:left="720"/>
        <w:jc w:val="both"/>
        <w:rPr>
          <w:rFonts w:ascii="Calibri" w:hAnsi="Calibri"/>
          <w:sz w:val="22"/>
          <w:szCs w:val="22"/>
        </w:rPr>
      </w:pPr>
      <w:r w:rsidRPr="004E50E7">
        <w:rPr>
          <w:rFonts w:ascii="Calibri" w:hAnsi="Calibri"/>
          <w:sz w:val="22"/>
        </w:rPr>
        <w:t>The High Cliff Estates project is a townhouse condominium development with 12 total three-bedroom condominium units in four (4) buildings and with t</w:t>
      </w:r>
      <w:r w:rsidRPr="004E50E7">
        <w:rPr>
          <w:rFonts w:ascii="Calibri" w:hAnsi="Calibri"/>
          <w:sz w:val="22"/>
          <w:szCs w:val="22"/>
        </w:rPr>
        <w:t xml:space="preserve">hree (3) of the condominiums sold as affordable, selling between $105,000 and $137,500. The market rate units sold for $447,000 to $582,300.  </w:t>
      </w:r>
    </w:p>
    <w:p w14:paraId="571C58B7" w14:textId="77777777" w:rsidR="009C3304" w:rsidRDefault="009C3304" w:rsidP="00084BC6">
      <w:pPr>
        <w:tabs>
          <w:tab w:val="left" w:pos="720"/>
        </w:tabs>
        <w:overflowPunct w:val="0"/>
        <w:autoSpaceDE w:val="0"/>
        <w:autoSpaceDN w:val="0"/>
        <w:adjustRightInd w:val="0"/>
        <w:ind w:left="720"/>
        <w:jc w:val="both"/>
        <w:rPr>
          <w:rFonts w:ascii="Calibri" w:hAnsi="Calibri"/>
          <w:sz w:val="22"/>
          <w:szCs w:val="22"/>
        </w:rPr>
      </w:pPr>
    </w:p>
    <w:p w14:paraId="2E327360" w14:textId="77777777" w:rsidR="00084BC6" w:rsidRPr="004E50E7"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i/>
          <w:iCs/>
          <w:sz w:val="22"/>
          <w:szCs w:val="22"/>
        </w:rPr>
      </w:pPr>
      <w:r w:rsidRPr="004E50E7">
        <w:rPr>
          <w:rFonts w:ascii="Calibri" w:hAnsi="Calibri"/>
          <w:i/>
          <w:iCs/>
          <w:sz w:val="22"/>
          <w:szCs w:val="22"/>
        </w:rPr>
        <w:t>Suites at Needham</w:t>
      </w:r>
    </w:p>
    <w:p w14:paraId="6080ECC9" w14:textId="77777777" w:rsidR="00084BC6" w:rsidRPr="0033731E" w:rsidRDefault="00084BC6" w:rsidP="00AC3B55">
      <w:pPr>
        <w:tabs>
          <w:tab w:val="num" w:pos="720"/>
        </w:tabs>
        <w:overflowPunct w:val="0"/>
        <w:autoSpaceDE w:val="0"/>
        <w:autoSpaceDN w:val="0"/>
        <w:adjustRightInd w:val="0"/>
        <w:ind w:left="720"/>
        <w:jc w:val="both"/>
        <w:rPr>
          <w:rFonts w:asciiTheme="minorHAnsi" w:hAnsiTheme="minorHAnsi"/>
          <w:sz w:val="22"/>
          <w:szCs w:val="22"/>
        </w:rPr>
      </w:pPr>
      <w:r w:rsidRPr="0033731E">
        <w:rPr>
          <w:rFonts w:asciiTheme="minorHAnsi" w:hAnsiTheme="minorHAnsi"/>
          <w:sz w:val="22"/>
          <w:szCs w:val="22"/>
        </w:rPr>
        <w:t>797</w:t>
      </w:r>
      <w:r w:rsidR="00AC3B55">
        <w:rPr>
          <w:rFonts w:asciiTheme="minorHAnsi" w:hAnsiTheme="minorHAnsi"/>
          <w:sz w:val="22"/>
          <w:szCs w:val="22"/>
        </w:rPr>
        <w:t xml:space="preserve"> and 805</w:t>
      </w:r>
      <w:r w:rsidRPr="0033731E">
        <w:rPr>
          <w:rFonts w:asciiTheme="minorHAnsi" w:hAnsiTheme="minorHAnsi"/>
          <w:sz w:val="22"/>
          <w:szCs w:val="22"/>
        </w:rPr>
        <w:t xml:space="preserve"> Highland Avenue</w:t>
      </w:r>
    </w:p>
    <w:p w14:paraId="4D08BCBA" w14:textId="77777777" w:rsidR="00084BC6" w:rsidRPr="0033731E" w:rsidRDefault="00084BC6" w:rsidP="00084BC6">
      <w:pPr>
        <w:pStyle w:val="BodyTextIndent3"/>
        <w:tabs>
          <w:tab w:val="num" w:pos="720"/>
        </w:tabs>
        <w:spacing w:after="0"/>
        <w:jc w:val="both"/>
        <w:rPr>
          <w:rFonts w:asciiTheme="minorHAnsi" w:hAnsiTheme="minorHAnsi"/>
          <w:sz w:val="22"/>
        </w:rPr>
      </w:pPr>
      <w:r>
        <w:rPr>
          <w:rFonts w:asciiTheme="minorHAnsi" w:hAnsiTheme="minorHAnsi"/>
          <w:sz w:val="22"/>
        </w:rPr>
        <w:tab/>
      </w:r>
      <w:r w:rsidRPr="0033731E">
        <w:rPr>
          <w:rFonts w:asciiTheme="minorHAnsi" w:hAnsiTheme="minorHAnsi"/>
          <w:sz w:val="22"/>
        </w:rPr>
        <w:t>Comprehensive Permit gra</w:t>
      </w:r>
      <w:r>
        <w:rPr>
          <w:rFonts w:asciiTheme="minorHAnsi" w:hAnsiTheme="minorHAnsi"/>
          <w:sz w:val="22"/>
        </w:rPr>
        <w:t>n</w:t>
      </w:r>
      <w:r w:rsidRPr="0033731E">
        <w:rPr>
          <w:rFonts w:asciiTheme="minorHAnsi" w:hAnsiTheme="minorHAnsi"/>
          <w:sz w:val="22"/>
        </w:rPr>
        <w:t>ted in 2006</w:t>
      </w:r>
    </w:p>
    <w:p w14:paraId="633D0003"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Pr>
          <w:rFonts w:asciiTheme="minorHAnsi" w:hAnsiTheme="minorHAnsi"/>
          <w:sz w:val="22"/>
        </w:rPr>
        <w:t xml:space="preserve">Total Condominium Units: 8    </w:t>
      </w:r>
      <w:r w:rsidRPr="0033731E">
        <w:rPr>
          <w:rFonts w:asciiTheme="minorHAnsi" w:hAnsiTheme="minorHAnsi"/>
          <w:sz w:val="22"/>
        </w:rPr>
        <w:t>Affordable Units: 2</w:t>
      </w:r>
    </w:p>
    <w:p w14:paraId="36366821"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lastRenderedPageBreak/>
        <w:t xml:space="preserve">The development includes eight (8) townhouses, two (2) of which are affordable. The project is located on Highland Avenue, only a short walk to </w:t>
      </w:r>
      <w:r>
        <w:rPr>
          <w:rFonts w:asciiTheme="minorHAnsi" w:hAnsiTheme="minorHAnsi"/>
          <w:sz w:val="22"/>
        </w:rPr>
        <w:t>a</w:t>
      </w:r>
      <w:r w:rsidR="00387793">
        <w:rPr>
          <w:rFonts w:asciiTheme="minorHAnsi" w:hAnsiTheme="minorHAnsi"/>
          <w:sz w:val="22"/>
        </w:rPr>
        <w:t>n</w:t>
      </w:r>
      <w:r w:rsidRPr="0033731E">
        <w:rPr>
          <w:rFonts w:asciiTheme="minorHAnsi" w:hAnsiTheme="minorHAnsi"/>
          <w:sz w:val="22"/>
        </w:rPr>
        <w:t xml:space="preserve"> MBTA </w:t>
      </w:r>
      <w:r>
        <w:rPr>
          <w:rFonts w:asciiTheme="minorHAnsi" w:hAnsiTheme="minorHAnsi"/>
          <w:sz w:val="22"/>
        </w:rPr>
        <w:t xml:space="preserve">commuter rail </w:t>
      </w:r>
      <w:r w:rsidRPr="0033731E">
        <w:rPr>
          <w:rFonts w:asciiTheme="minorHAnsi" w:hAnsiTheme="minorHAnsi"/>
          <w:sz w:val="22"/>
        </w:rPr>
        <w:t xml:space="preserve">station. </w:t>
      </w:r>
    </w:p>
    <w:p w14:paraId="60458930" w14:textId="77777777" w:rsidR="00084BC6" w:rsidRDefault="00084BC6" w:rsidP="00084BC6">
      <w:pPr>
        <w:pStyle w:val="BodyTextIndent3"/>
        <w:tabs>
          <w:tab w:val="left" w:pos="1440"/>
        </w:tabs>
        <w:spacing w:after="0"/>
        <w:ind w:left="1440"/>
        <w:jc w:val="both"/>
        <w:rPr>
          <w:rFonts w:asciiTheme="minorHAnsi" w:hAnsiTheme="minorHAnsi"/>
          <w:sz w:val="22"/>
        </w:rPr>
      </w:pPr>
    </w:p>
    <w:p w14:paraId="66ACD00D" w14:textId="77777777" w:rsidR="00084BC6" w:rsidRPr="0033731E"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Theme="minorHAnsi" w:hAnsiTheme="minorHAnsi"/>
          <w:sz w:val="22"/>
          <w:szCs w:val="22"/>
        </w:rPr>
      </w:pPr>
      <w:r w:rsidRPr="0033731E">
        <w:rPr>
          <w:rFonts w:asciiTheme="minorHAnsi" w:hAnsiTheme="minorHAnsi"/>
          <w:i/>
          <w:iCs/>
          <w:sz w:val="22"/>
          <w:szCs w:val="22"/>
        </w:rPr>
        <w:t>Charles River Landing</w:t>
      </w:r>
    </w:p>
    <w:p w14:paraId="0EB665DB"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t>300 Second Avenue</w:t>
      </w:r>
    </w:p>
    <w:p w14:paraId="066E41F4"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t>Comprehensive</w:t>
      </w:r>
      <w:r>
        <w:rPr>
          <w:rFonts w:asciiTheme="minorHAnsi" w:hAnsiTheme="minorHAnsi"/>
          <w:sz w:val="22"/>
        </w:rPr>
        <w:t xml:space="preserve"> </w:t>
      </w:r>
      <w:r w:rsidRPr="0033731E">
        <w:rPr>
          <w:rFonts w:asciiTheme="minorHAnsi" w:hAnsiTheme="minorHAnsi"/>
          <w:sz w:val="22"/>
        </w:rPr>
        <w:t>Permit gra</w:t>
      </w:r>
      <w:r>
        <w:rPr>
          <w:rFonts w:asciiTheme="minorHAnsi" w:hAnsiTheme="minorHAnsi"/>
          <w:sz w:val="22"/>
        </w:rPr>
        <w:t>n</w:t>
      </w:r>
      <w:r w:rsidRPr="0033731E">
        <w:rPr>
          <w:rFonts w:asciiTheme="minorHAnsi" w:hAnsiTheme="minorHAnsi"/>
          <w:sz w:val="22"/>
        </w:rPr>
        <w:t>ted in 2007</w:t>
      </w:r>
    </w:p>
    <w:p w14:paraId="4EE4D461"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t xml:space="preserve">Total </w:t>
      </w:r>
      <w:r>
        <w:rPr>
          <w:rFonts w:asciiTheme="minorHAnsi" w:hAnsiTheme="minorHAnsi"/>
          <w:sz w:val="22"/>
        </w:rPr>
        <w:t xml:space="preserve">Rental </w:t>
      </w:r>
      <w:r w:rsidRPr="0033731E">
        <w:rPr>
          <w:rFonts w:asciiTheme="minorHAnsi" w:hAnsiTheme="minorHAnsi"/>
          <w:sz w:val="22"/>
        </w:rPr>
        <w:t>Units: 350</w:t>
      </w:r>
      <w:r w:rsidRPr="0033731E">
        <w:rPr>
          <w:rFonts w:asciiTheme="minorHAnsi" w:hAnsiTheme="minorHAnsi"/>
          <w:sz w:val="22"/>
        </w:rPr>
        <w:tab/>
        <w:t xml:space="preserve">    Affordable Units: 88 (all </w:t>
      </w:r>
      <w:r>
        <w:rPr>
          <w:rFonts w:asciiTheme="minorHAnsi" w:hAnsiTheme="minorHAnsi"/>
          <w:sz w:val="22"/>
        </w:rPr>
        <w:t xml:space="preserve">units </w:t>
      </w:r>
      <w:r w:rsidRPr="0033731E">
        <w:rPr>
          <w:rFonts w:asciiTheme="minorHAnsi" w:hAnsiTheme="minorHAnsi"/>
          <w:sz w:val="22"/>
        </w:rPr>
        <w:t>count as part of the SHI)</w:t>
      </w:r>
    </w:p>
    <w:p w14:paraId="3BB4638E" w14:textId="77777777" w:rsidR="00084BC6" w:rsidRPr="0033731E" w:rsidRDefault="00084BC6" w:rsidP="00084BC6">
      <w:pPr>
        <w:pStyle w:val="BodyTextIndent3"/>
        <w:tabs>
          <w:tab w:val="num" w:pos="720"/>
        </w:tabs>
        <w:spacing w:after="0"/>
        <w:ind w:left="720"/>
        <w:jc w:val="both"/>
        <w:rPr>
          <w:rFonts w:asciiTheme="minorHAnsi" w:hAnsiTheme="minorHAnsi"/>
          <w:sz w:val="22"/>
          <w:szCs w:val="22"/>
        </w:rPr>
      </w:pPr>
      <w:r w:rsidRPr="0033731E">
        <w:rPr>
          <w:rFonts w:asciiTheme="minorHAnsi" w:hAnsiTheme="minorHAnsi"/>
          <w:sz w:val="22"/>
        </w:rPr>
        <w:t xml:space="preserve">The Town of Needham entered into an agreement with the developer, Cabot, Cabot &amp; Forbes, to build 350 rental units through a “friendly” Chapter 40B process </w:t>
      </w:r>
      <w:r>
        <w:rPr>
          <w:rFonts w:asciiTheme="minorHAnsi" w:hAnsiTheme="minorHAnsi"/>
          <w:sz w:val="22"/>
        </w:rPr>
        <w:t>as part of</w:t>
      </w:r>
      <w:r w:rsidRPr="0033731E">
        <w:rPr>
          <w:rFonts w:asciiTheme="minorHAnsi" w:hAnsiTheme="minorHAnsi"/>
          <w:sz w:val="22"/>
        </w:rPr>
        <w:t xml:space="preserve"> the state’s Local Initiative Program (LIP).  T</w:t>
      </w:r>
      <w:r w:rsidRPr="0033731E">
        <w:rPr>
          <w:rFonts w:asciiTheme="minorHAnsi" w:hAnsiTheme="minorHAnsi"/>
          <w:sz w:val="22"/>
          <w:szCs w:val="22"/>
        </w:rPr>
        <w:t>he project is located at the outer edge of the New England Business Center, adjacent to a residential neighborhood and overlooking the Charles River.  The parcel contains 7.9 acres and promotes a number of smart growth principles as it is served by existing infrastructure; is located in proximity to Town services, transportation and employment; promotes higher density housing; and includes affordable housing.  About two-thirds of the units have one-bedrooms, the remainder with two-bedrooms</w:t>
      </w:r>
      <w:r>
        <w:rPr>
          <w:rFonts w:asciiTheme="minorHAnsi" w:hAnsiTheme="minorHAnsi"/>
          <w:sz w:val="22"/>
          <w:szCs w:val="22"/>
        </w:rPr>
        <w:t>.</w:t>
      </w:r>
    </w:p>
    <w:p w14:paraId="125C2205" w14:textId="69D1C167" w:rsidR="00084BC6" w:rsidRDefault="00084BC6" w:rsidP="00084BC6">
      <w:pPr>
        <w:pStyle w:val="BodyTextIndent3"/>
        <w:tabs>
          <w:tab w:val="num" w:pos="720"/>
        </w:tabs>
        <w:spacing w:after="0"/>
        <w:jc w:val="both"/>
        <w:rPr>
          <w:rFonts w:asciiTheme="minorHAnsi" w:hAnsiTheme="minorHAnsi"/>
          <w:sz w:val="22"/>
          <w:szCs w:val="22"/>
        </w:rPr>
      </w:pPr>
    </w:p>
    <w:p w14:paraId="7391CEB7" w14:textId="77777777" w:rsidR="00084BC6" w:rsidRPr="000D4873"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sz w:val="22"/>
          <w:szCs w:val="22"/>
        </w:rPr>
      </w:pPr>
      <w:r w:rsidRPr="004E50E7">
        <w:rPr>
          <w:rFonts w:ascii="Calibri" w:hAnsi="Calibri"/>
          <w:i/>
          <w:iCs/>
          <w:sz w:val="22"/>
          <w:szCs w:val="22"/>
        </w:rPr>
        <w:t>Craftsman Village</w:t>
      </w:r>
    </w:p>
    <w:p w14:paraId="3BB42576" w14:textId="77777777" w:rsidR="00084BC6" w:rsidRDefault="00387793"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iCs/>
          <w:sz w:val="22"/>
          <w:szCs w:val="22"/>
        </w:rPr>
        <w:t>17-27</w:t>
      </w:r>
      <w:r w:rsidR="00084BC6" w:rsidRPr="000D4873">
        <w:rPr>
          <w:rFonts w:ascii="Calibri" w:hAnsi="Calibri"/>
          <w:iCs/>
          <w:sz w:val="22"/>
          <w:szCs w:val="22"/>
        </w:rPr>
        <w:t xml:space="preserve"> High Street</w:t>
      </w:r>
      <w:r w:rsidR="00084BC6" w:rsidRPr="0003534D">
        <w:rPr>
          <w:rFonts w:ascii="Calibri" w:hAnsi="Calibri"/>
          <w:sz w:val="22"/>
          <w:szCs w:val="22"/>
        </w:rPr>
        <w:t xml:space="preserve"> </w:t>
      </w:r>
    </w:p>
    <w:p w14:paraId="090DF7C3"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Comprehensive Permit granted initially in 2006 and amended for new developer in 2009</w:t>
      </w:r>
    </w:p>
    <w:p w14:paraId="77E6A9C9"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Total Condominium Units: 6    Affordable Units: 2</w:t>
      </w:r>
    </w:p>
    <w:p w14:paraId="670C7BD4" w14:textId="77777777" w:rsidR="00084BC6" w:rsidRPr="004E50E7" w:rsidRDefault="00084BC6" w:rsidP="00084BC6">
      <w:pPr>
        <w:tabs>
          <w:tab w:val="num" w:pos="720"/>
        </w:tabs>
        <w:overflowPunct w:val="0"/>
        <w:autoSpaceDE w:val="0"/>
        <w:autoSpaceDN w:val="0"/>
        <w:adjustRightInd w:val="0"/>
        <w:ind w:left="720" w:hanging="360"/>
        <w:jc w:val="both"/>
        <w:rPr>
          <w:rFonts w:ascii="Calibri" w:hAnsi="Calibri"/>
          <w:sz w:val="22"/>
          <w:szCs w:val="22"/>
        </w:rPr>
      </w:pPr>
      <w:r>
        <w:rPr>
          <w:rFonts w:ascii="Calibri" w:hAnsi="Calibri"/>
          <w:sz w:val="22"/>
          <w:szCs w:val="22"/>
        </w:rPr>
        <w:tab/>
        <w:t xml:space="preserve">The initial developer </w:t>
      </w:r>
      <w:r w:rsidRPr="004E50E7">
        <w:rPr>
          <w:rFonts w:ascii="Calibri" w:hAnsi="Calibri"/>
          <w:sz w:val="22"/>
          <w:szCs w:val="22"/>
        </w:rPr>
        <w:t xml:space="preserve"> filed the comprehensive permit application in 2003 and proposed building twelve three-bedroom condominium units, three (3) to be affordable, on an about 27,000 square foot lot within walking distance to public transportation.  The ZBA approved six (6) units but the developer was unwilling to go below eight (8) and appealed the decision to the state’s Housing Appeal Committee.  The project finally mov</w:t>
      </w:r>
      <w:r>
        <w:rPr>
          <w:rFonts w:ascii="Calibri" w:hAnsi="Calibri"/>
          <w:sz w:val="22"/>
          <w:szCs w:val="22"/>
        </w:rPr>
        <w:t>ed</w:t>
      </w:r>
      <w:r w:rsidRPr="004E50E7">
        <w:rPr>
          <w:rFonts w:ascii="Calibri" w:hAnsi="Calibri"/>
          <w:sz w:val="22"/>
          <w:szCs w:val="22"/>
        </w:rPr>
        <w:t xml:space="preserve"> forward with a new developer, Craftsman Village LLC, with a total of six (6) units including two (2) affordable ones.  The market units sold for $609,000.  </w:t>
      </w:r>
    </w:p>
    <w:p w14:paraId="64F75EF0" w14:textId="260B55AC" w:rsidR="00084BC6" w:rsidRDefault="00084BC6" w:rsidP="00084BC6">
      <w:pPr>
        <w:pStyle w:val="BodyTextIndent3"/>
        <w:tabs>
          <w:tab w:val="num" w:pos="720"/>
        </w:tabs>
        <w:spacing w:after="0"/>
        <w:jc w:val="both"/>
        <w:rPr>
          <w:sz w:val="22"/>
          <w:szCs w:val="22"/>
        </w:rPr>
      </w:pPr>
    </w:p>
    <w:p w14:paraId="1BE260F5" w14:textId="56AE56B1" w:rsidR="00081AE9" w:rsidRDefault="00081AE9" w:rsidP="00084BC6">
      <w:pPr>
        <w:pStyle w:val="BodyTextIndent3"/>
        <w:tabs>
          <w:tab w:val="num" w:pos="720"/>
        </w:tabs>
        <w:spacing w:after="0"/>
        <w:jc w:val="both"/>
        <w:rPr>
          <w:sz w:val="22"/>
          <w:szCs w:val="22"/>
        </w:rPr>
      </w:pPr>
    </w:p>
    <w:p w14:paraId="7940AD46" w14:textId="77777777" w:rsidR="00081AE9" w:rsidRDefault="00081AE9" w:rsidP="00084BC6">
      <w:pPr>
        <w:pStyle w:val="BodyTextIndent3"/>
        <w:tabs>
          <w:tab w:val="num" w:pos="720"/>
        </w:tabs>
        <w:spacing w:after="0"/>
        <w:jc w:val="both"/>
        <w:rPr>
          <w:sz w:val="22"/>
          <w:szCs w:val="22"/>
        </w:rPr>
      </w:pPr>
    </w:p>
    <w:p w14:paraId="0101FEC0" w14:textId="77777777" w:rsidR="00084BC6" w:rsidRPr="004E50E7"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sz w:val="22"/>
          <w:szCs w:val="22"/>
        </w:rPr>
      </w:pPr>
      <w:r>
        <w:rPr>
          <w:rFonts w:ascii="Calibri" w:hAnsi="Calibri"/>
          <w:i/>
          <w:iCs/>
          <w:sz w:val="22"/>
          <w:szCs w:val="22"/>
        </w:rPr>
        <w:t>The Residences at Wingate/Phase I</w:t>
      </w:r>
    </w:p>
    <w:p w14:paraId="4496ABE5" w14:textId="77777777" w:rsidR="00084BC6" w:rsidRPr="00D61EB7" w:rsidRDefault="00084BC6" w:rsidP="00084BC6">
      <w:pPr>
        <w:tabs>
          <w:tab w:val="num" w:pos="720"/>
        </w:tabs>
        <w:overflowPunct w:val="0"/>
        <w:autoSpaceDE w:val="0"/>
        <w:autoSpaceDN w:val="0"/>
        <w:adjustRightInd w:val="0"/>
        <w:ind w:left="720"/>
        <w:jc w:val="both"/>
        <w:rPr>
          <w:rFonts w:ascii="Calibri" w:hAnsi="Calibri"/>
          <w:sz w:val="22"/>
          <w:szCs w:val="22"/>
        </w:rPr>
      </w:pPr>
      <w:r w:rsidRPr="00D61EB7">
        <w:rPr>
          <w:rFonts w:ascii="Calibri" w:hAnsi="Calibri"/>
          <w:sz w:val="22"/>
          <w:szCs w:val="22"/>
        </w:rPr>
        <w:t>235 Gould Street</w:t>
      </w:r>
    </w:p>
    <w:p w14:paraId="634D471C"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Special Permit Approval in 2011</w:t>
      </w:r>
    </w:p>
    <w:p w14:paraId="26ADD716"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Total Independent Living Rental Units: 12   Affordable Units: 2</w:t>
      </w:r>
    </w:p>
    <w:p w14:paraId="76213FA1" w14:textId="77777777" w:rsidR="00084BC6" w:rsidRPr="004E50E7" w:rsidRDefault="00084BC6" w:rsidP="00084BC6">
      <w:pPr>
        <w:tabs>
          <w:tab w:val="num" w:pos="720"/>
        </w:tabs>
        <w:overflowPunct w:val="0"/>
        <w:autoSpaceDE w:val="0"/>
        <w:autoSpaceDN w:val="0"/>
        <w:adjustRightInd w:val="0"/>
        <w:ind w:left="720"/>
        <w:jc w:val="both"/>
        <w:rPr>
          <w:rFonts w:ascii="Calibri" w:hAnsi="Calibri"/>
          <w:sz w:val="22"/>
          <w:szCs w:val="22"/>
        </w:rPr>
      </w:pPr>
      <w:r w:rsidRPr="004E50E7">
        <w:rPr>
          <w:rFonts w:ascii="Calibri" w:hAnsi="Calibri"/>
          <w:sz w:val="22"/>
          <w:szCs w:val="22"/>
        </w:rPr>
        <w:t xml:space="preserve">Pursuant to a zoning change </w:t>
      </w:r>
      <w:r>
        <w:rPr>
          <w:rFonts w:ascii="Calibri" w:hAnsi="Calibri"/>
          <w:sz w:val="22"/>
          <w:szCs w:val="22"/>
        </w:rPr>
        <w:t xml:space="preserve">to </w:t>
      </w:r>
      <w:r w:rsidRPr="004E50E7">
        <w:rPr>
          <w:rFonts w:ascii="Calibri" w:hAnsi="Calibri"/>
          <w:sz w:val="22"/>
          <w:szCs w:val="22"/>
        </w:rPr>
        <w:t>creat</w:t>
      </w:r>
      <w:r>
        <w:rPr>
          <w:rFonts w:ascii="Calibri" w:hAnsi="Calibri"/>
          <w:sz w:val="22"/>
          <w:szCs w:val="22"/>
        </w:rPr>
        <w:t>e</w:t>
      </w:r>
      <w:r w:rsidRPr="004E50E7">
        <w:rPr>
          <w:rFonts w:ascii="Calibri" w:hAnsi="Calibri"/>
          <w:sz w:val="22"/>
          <w:szCs w:val="22"/>
        </w:rPr>
        <w:t xml:space="preserve"> an Elder Services Zoning District, approved by Town Meeting in 2010, and Special Permit approval of </w:t>
      </w:r>
      <w:r>
        <w:rPr>
          <w:rFonts w:ascii="Calibri" w:hAnsi="Calibri"/>
          <w:sz w:val="22"/>
          <w:szCs w:val="22"/>
        </w:rPr>
        <w:t xml:space="preserve">the Planning Board </w:t>
      </w:r>
      <w:r w:rsidRPr="004E50E7">
        <w:rPr>
          <w:rFonts w:ascii="Calibri" w:hAnsi="Calibri"/>
          <w:sz w:val="22"/>
          <w:szCs w:val="22"/>
        </w:rPr>
        <w:t xml:space="preserve">in 2011, the developer </w:t>
      </w:r>
      <w:r>
        <w:rPr>
          <w:rFonts w:ascii="Calibri" w:hAnsi="Calibri"/>
          <w:sz w:val="22"/>
          <w:szCs w:val="22"/>
        </w:rPr>
        <w:t>built</w:t>
      </w:r>
      <w:r w:rsidRPr="004E50E7">
        <w:rPr>
          <w:rFonts w:ascii="Calibri" w:hAnsi="Calibri"/>
          <w:sz w:val="22"/>
          <w:szCs w:val="22"/>
        </w:rPr>
        <w:t xml:space="preserve"> a senior housing facility on Gould Street next to its Nursing Home at 589 Highland Avenue.  The building include</w:t>
      </w:r>
      <w:r>
        <w:rPr>
          <w:rFonts w:ascii="Calibri" w:hAnsi="Calibri"/>
          <w:sz w:val="22"/>
          <w:szCs w:val="22"/>
        </w:rPr>
        <w:t>s</w:t>
      </w:r>
      <w:r w:rsidRPr="004E50E7">
        <w:rPr>
          <w:rFonts w:ascii="Calibri" w:hAnsi="Calibri"/>
          <w:sz w:val="22"/>
          <w:szCs w:val="22"/>
        </w:rPr>
        <w:t xml:space="preserve"> 91 total units – 12 Independent Living Apartment units, 42 Assisted Living units, and 37 Assisted Living units specializing in Alzheimer’s and other memory loss related conditions.  The project also include</w:t>
      </w:r>
      <w:r>
        <w:rPr>
          <w:rFonts w:ascii="Calibri" w:hAnsi="Calibri"/>
          <w:sz w:val="22"/>
          <w:szCs w:val="22"/>
        </w:rPr>
        <w:t>s</w:t>
      </w:r>
      <w:r w:rsidRPr="004E50E7">
        <w:rPr>
          <w:rFonts w:ascii="Calibri" w:hAnsi="Calibri"/>
          <w:sz w:val="22"/>
          <w:szCs w:val="22"/>
        </w:rPr>
        <w:t xml:space="preserve"> two (2) affordable units, one (1) </w:t>
      </w:r>
      <w:r>
        <w:rPr>
          <w:rFonts w:ascii="Calibri" w:hAnsi="Calibri"/>
          <w:sz w:val="22"/>
          <w:szCs w:val="22"/>
        </w:rPr>
        <w:t xml:space="preserve">that was initially </w:t>
      </w:r>
      <w:r w:rsidRPr="004E50E7">
        <w:rPr>
          <w:rFonts w:ascii="Calibri" w:hAnsi="Calibri"/>
          <w:sz w:val="22"/>
          <w:szCs w:val="22"/>
        </w:rPr>
        <w:t>reserved for those who live</w:t>
      </w:r>
      <w:r>
        <w:rPr>
          <w:rFonts w:ascii="Calibri" w:hAnsi="Calibri"/>
          <w:sz w:val="22"/>
          <w:szCs w:val="22"/>
        </w:rPr>
        <w:t>d</w:t>
      </w:r>
      <w:r w:rsidRPr="004E50E7">
        <w:rPr>
          <w:rFonts w:ascii="Calibri" w:hAnsi="Calibri"/>
          <w:sz w:val="22"/>
          <w:szCs w:val="22"/>
        </w:rPr>
        <w:t xml:space="preserve"> or work</w:t>
      </w:r>
      <w:r>
        <w:rPr>
          <w:rFonts w:ascii="Calibri" w:hAnsi="Calibri"/>
          <w:sz w:val="22"/>
          <w:szCs w:val="22"/>
        </w:rPr>
        <w:t>ed</w:t>
      </w:r>
      <w:r w:rsidRPr="004E50E7">
        <w:rPr>
          <w:rFonts w:ascii="Calibri" w:hAnsi="Calibri"/>
          <w:sz w:val="22"/>
          <w:szCs w:val="22"/>
        </w:rPr>
        <w:t xml:space="preserve"> in Needham. </w:t>
      </w:r>
    </w:p>
    <w:p w14:paraId="7492FF1E" w14:textId="1ED4F3D4" w:rsidR="00084BC6" w:rsidRDefault="00084BC6" w:rsidP="00084BC6">
      <w:pPr>
        <w:tabs>
          <w:tab w:val="num" w:pos="4325"/>
        </w:tabs>
        <w:overflowPunct w:val="0"/>
        <w:autoSpaceDE w:val="0"/>
        <w:autoSpaceDN w:val="0"/>
        <w:adjustRightInd w:val="0"/>
        <w:jc w:val="both"/>
        <w:rPr>
          <w:rFonts w:ascii="Calibri" w:hAnsi="Calibri"/>
          <w:sz w:val="22"/>
          <w:szCs w:val="22"/>
        </w:rPr>
      </w:pPr>
    </w:p>
    <w:p w14:paraId="5649A455" w14:textId="77777777" w:rsidR="00084BC6" w:rsidRPr="00341C04"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sz w:val="22"/>
          <w:szCs w:val="22"/>
        </w:rPr>
      </w:pPr>
      <w:r>
        <w:rPr>
          <w:rFonts w:ascii="Calibri" w:hAnsi="Calibri"/>
          <w:i/>
          <w:iCs/>
          <w:sz w:val="22"/>
          <w:szCs w:val="22"/>
        </w:rPr>
        <w:t xml:space="preserve">Needham Place (previously known as Dedham Avenue) </w:t>
      </w:r>
    </w:p>
    <w:p w14:paraId="62322D57" w14:textId="77777777" w:rsidR="00084BC6" w:rsidRDefault="00387793"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50</w:t>
      </w:r>
      <w:r w:rsidR="00084BC6">
        <w:rPr>
          <w:rFonts w:ascii="Calibri" w:hAnsi="Calibri"/>
          <w:sz w:val="22"/>
          <w:szCs w:val="22"/>
        </w:rPr>
        <w:t xml:space="preserve"> Dedham Avenue</w:t>
      </w:r>
    </w:p>
    <w:p w14:paraId="3A0241FD"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Special Permit Approval in 2012</w:t>
      </w:r>
    </w:p>
    <w:p w14:paraId="03AA6985"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Total Rental Units: 10   Affordable Units: 1</w:t>
      </w:r>
    </w:p>
    <w:p w14:paraId="3B9EC84B" w14:textId="77777777" w:rsidR="00084BC6" w:rsidRPr="004E50E7" w:rsidRDefault="00084BC6" w:rsidP="00084BC6">
      <w:pPr>
        <w:tabs>
          <w:tab w:val="num" w:pos="720"/>
        </w:tabs>
        <w:overflowPunct w:val="0"/>
        <w:autoSpaceDE w:val="0"/>
        <w:autoSpaceDN w:val="0"/>
        <w:adjustRightInd w:val="0"/>
        <w:ind w:left="720"/>
        <w:jc w:val="both"/>
        <w:rPr>
          <w:rFonts w:ascii="Calibri" w:hAnsi="Calibri"/>
          <w:sz w:val="22"/>
          <w:szCs w:val="22"/>
        </w:rPr>
      </w:pPr>
      <w:r w:rsidRPr="004E50E7">
        <w:rPr>
          <w:rFonts w:ascii="Calibri" w:hAnsi="Calibri"/>
          <w:sz w:val="22"/>
          <w:szCs w:val="22"/>
        </w:rPr>
        <w:t xml:space="preserve">Through the rezoning of Needham Center through a Center Business Overlay District approved by Town Meeting in 2009, as well as Special Permit approval by the Planning Board in 2012, the </w:t>
      </w:r>
      <w:r w:rsidRPr="004E50E7">
        <w:rPr>
          <w:rFonts w:ascii="Calibri" w:hAnsi="Calibri"/>
          <w:sz w:val="22"/>
          <w:szCs w:val="22"/>
        </w:rPr>
        <w:lastRenderedPageBreak/>
        <w:t>developer, MMM Property LLC</w:t>
      </w:r>
      <w:r>
        <w:rPr>
          <w:rFonts w:ascii="Calibri" w:hAnsi="Calibri"/>
          <w:sz w:val="22"/>
          <w:szCs w:val="22"/>
        </w:rPr>
        <w:t xml:space="preserve"> (Brookline Development Corp.)</w:t>
      </w:r>
      <w:r w:rsidRPr="004E50E7">
        <w:rPr>
          <w:rFonts w:ascii="Calibri" w:hAnsi="Calibri"/>
          <w:sz w:val="22"/>
          <w:szCs w:val="22"/>
        </w:rPr>
        <w:t xml:space="preserve">, </w:t>
      </w:r>
      <w:r>
        <w:rPr>
          <w:rFonts w:ascii="Calibri" w:hAnsi="Calibri"/>
          <w:sz w:val="22"/>
          <w:szCs w:val="22"/>
        </w:rPr>
        <w:t>built</w:t>
      </w:r>
      <w:r w:rsidRPr="004E50E7">
        <w:rPr>
          <w:rFonts w:ascii="Calibri" w:hAnsi="Calibri"/>
          <w:sz w:val="22"/>
          <w:szCs w:val="22"/>
        </w:rPr>
        <w:t xml:space="preserve"> a new three</w:t>
      </w:r>
      <w:r>
        <w:rPr>
          <w:rFonts w:ascii="Calibri" w:hAnsi="Calibri"/>
          <w:sz w:val="22"/>
          <w:szCs w:val="22"/>
        </w:rPr>
        <w:t xml:space="preserve"> plus</w:t>
      </w:r>
      <w:r w:rsidRPr="004E50E7">
        <w:rPr>
          <w:rFonts w:ascii="Calibri" w:hAnsi="Calibri"/>
          <w:sz w:val="22"/>
          <w:szCs w:val="22"/>
        </w:rPr>
        <w:t xml:space="preserve"> one story mixed-use building on Dedham </w:t>
      </w:r>
      <w:r>
        <w:rPr>
          <w:rFonts w:ascii="Calibri" w:hAnsi="Calibri"/>
          <w:sz w:val="22"/>
          <w:szCs w:val="22"/>
        </w:rPr>
        <w:t>Avenue near Great Plain Avenue</w:t>
      </w:r>
      <w:r w:rsidRPr="004E50E7">
        <w:rPr>
          <w:rFonts w:ascii="Calibri" w:hAnsi="Calibri"/>
          <w:sz w:val="22"/>
          <w:szCs w:val="22"/>
        </w:rPr>
        <w:t>.  The property contain</w:t>
      </w:r>
      <w:r>
        <w:rPr>
          <w:rFonts w:ascii="Calibri" w:hAnsi="Calibri"/>
          <w:sz w:val="22"/>
          <w:szCs w:val="22"/>
        </w:rPr>
        <w:t>s</w:t>
      </w:r>
      <w:r w:rsidRPr="004E50E7">
        <w:rPr>
          <w:rFonts w:ascii="Calibri" w:hAnsi="Calibri"/>
          <w:sz w:val="22"/>
          <w:szCs w:val="22"/>
        </w:rPr>
        <w:t xml:space="preserve"> ten (10) re</w:t>
      </w:r>
      <w:r>
        <w:rPr>
          <w:rFonts w:ascii="Calibri" w:hAnsi="Calibri"/>
          <w:sz w:val="22"/>
          <w:szCs w:val="22"/>
        </w:rPr>
        <w:t>ntal</w:t>
      </w:r>
      <w:r w:rsidRPr="004E50E7">
        <w:rPr>
          <w:rFonts w:ascii="Calibri" w:hAnsi="Calibri"/>
          <w:sz w:val="22"/>
          <w:szCs w:val="22"/>
        </w:rPr>
        <w:t xml:space="preserve"> units, including one (1) affordable unit, as well as two (2) first-floor retail units.</w:t>
      </w:r>
      <w:r>
        <w:rPr>
          <w:rFonts w:ascii="Calibri" w:hAnsi="Calibri"/>
          <w:sz w:val="22"/>
          <w:szCs w:val="22"/>
        </w:rPr>
        <w:t xml:space="preserve"> </w:t>
      </w:r>
    </w:p>
    <w:p w14:paraId="5576A8D5"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p>
    <w:p w14:paraId="4437C713" w14:textId="77777777" w:rsidR="00084BC6" w:rsidRPr="00211FBC" w:rsidRDefault="00084BC6" w:rsidP="005D3FC9">
      <w:pPr>
        <w:pStyle w:val="ListParagraph"/>
        <w:numPr>
          <w:ilvl w:val="0"/>
          <w:numId w:val="8"/>
        </w:numPr>
        <w:tabs>
          <w:tab w:val="num" w:pos="4325"/>
        </w:tabs>
        <w:overflowPunct w:val="0"/>
        <w:autoSpaceDE w:val="0"/>
        <w:autoSpaceDN w:val="0"/>
        <w:adjustRightInd w:val="0"/>
        <w:jc w:val="both"/>
        <w:rPr>
          <w:rFonts w:ascii="Calibri" w:hAnsi="Calibri"/>
          <w:i/>
          <w:sz w:val="22"/>
          <w:szCs w:val="22"/>
        </w:rPr>
      </w:pPr>
      <w:r w:rsidRPr="00211FBC">
        <w:rPr>
          <w:rFonts w:ascii="Calibri" w:hAnsi="Calibri"/>
          <w:i/>
          <w:sz w:val="22"/>
          <w:szCs w:val="22"/>
        </w:rPr>
        <w:t>Greendale Village</w:t>
      </w:r>
    </w:p>
    <w:p w14:paraId="2ADCF99F" w14:textId="77777777" w:rsidR="00084BC6" w:rsidRDefault="00387793" w:rsidP="00084BC6">
      <w:pPr>
        <w:pStyle w:val="ListParagraph"/>
        <w:tabs>
          <w:tab w:val="num" w:pos="4325"/>
        </w:tabs>
        <w:overflowPunct w:val="0"/>
        <w:autoSpaceDE w:val="0"/>
        <w:autoSpaceDN w:val="0"/>
        <w:adjustRightInd w:val="0"/>
        <w:jc w:val="both"/>
        <w:rPr>
          <w:rFonts w:ascii="Calibri" w:hAnsi="Calibri"/>
          <w:sz w:val="22"/>
          <w:szCs w:val="22"/>
        </w:rPr>
      </w:pPr>
      <w:r>
        <w:rPr>
          <w:rFonts w:ascii="Calibri" w:hAnsi="Calibri"/>
          <w:sz w:val="22"/>
          <w:szCs w:val="22"/>
        </w:rPr>
        <w:t>900</w:t>
      </w:r>
      <w:r w:rsidR="00084BC6">
        <w:rPr>
          <w:rFonts w:ascii="Calibri" w:hAnsi="Calibri"/>
          <w:sz w:val="22"/>
          <w:szCs w:val="22"/>
        </w:rPr>
        <w:t xml:space="preserve"> Greendale Avenue</w:t>
      </w:r>
    </w:p>
    <w:p w14:paraId="7A611ACE"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t>Comprehensive</w:t>
      </w:r>
      <w:r>
        <w:rPr>
          <w:rFonts w:asciiTheme="minorHAnsi" w:hAnsiTheme="minorHAnsi"/>
          <w:sz w:val="22"/>
        </w:rPr>
        <w:t xml:space="preserve"> </w:t>
      </w:r>
      <w:r w:rsidRPr="0033731E">
        <w:rPr>
          <w:rFonts w:asciiTheme="minorHAnsi" w:hAnsiTheme="minorHAnsi"/>
          <w:sz w:val="22"/>
        </w:rPr>
        <w:t>Permit gra</w:t>
      </w:r>
      <w:r>
        <w:rPr>
          <w:rFonts w:asciiTheme="minorHAnsi" w:hAnsiTheme="minorHAnsi"/>
          <w:sz w:val="22"/>
        </w:rPr>
        <w:t>n</w:t>
      </w:r>
      <w:r w:rsidRPr="0033731E">
        <w:rPr>
          <w:rFonts w:asciiTheme="minorHAnsi" w:hAnsiTheme="minorHAnsi"/>
          <w:sz w:val="22"/>
        </w:rPr>
        <w:t>ted in 20</w:t>
      </w:r>
      <w:r>
        <w:rPr>
          <w:rFonts w:asciiTheme="minorHAnsi" w:hAnsiTheme="minorHAnsi"/>
          <w:sz w:val="22"/>
        </w:rPr>
        <w:t>13</w:t>
      </w:r>
    </w:p>
    <w:p w14:paraId="7A4E4D10" w14:textId="77777777" w:rsidR="00084BC6" w:rsidRDefault="00084BC6" w:rsidP="00084BC6">
      <w:pPr>
        <w:pStyle w:val="ListParagraph"/>
        <w:tabs>
          <w:tab w:val="num" w:pos="4325"/>
        </w:tabs>
        <w:overflowPunct w:val="0"/>
        <w:autoSpaceDE w:val="0"/>
        <w:autoSpaceDN w:val="0"/>
        <w:adjustRightInd w:val="0"/>
        <w:jc w:val="both"/>
        <w:rPr>
          <w:rFonts w:ascii="Calibri" w:hAnsi="Calibri"/>
          <w:sz w:val="22"/>
          <w:szCs w:val="22"/>
        </w:rPr>
      </w:pPr>
      <w:r>
        <w:rPr>
          <w:rFonts w:ascii="Calibri" w:hAnsi="Calibri"/>
          <w:sz w:val="22"/>
          <w:szCs w:val="22"/>
        </w:rPr>
        <w:t xml:space="preserve">Total Condominium Units: 20    Affordable Units: 4 </w:t>
      </w:r>
    </w:p>
    <w:p w14:paraId="28EF654F" w14:textId="77777777" w:rsidR="00084BC6" w:rsidRDefault="00084BC6" w:rsidP="00084BC6">
      <w:pPr>
        <w:pStyle w:val="ListParagraph"/>
        <w:tabs>
          <w:tab w:val="num" w:pos="4325"/>
        </w:tabs>
        <w:overflowPunct w:val="0"/>
        <w:autoSpaceDE w:val="0"/>
        <w:autoSpaceDN w:val="0"/>
        <w:adjustRightInd w:val="0"/>
        <w:jc w:val="both"/>
        <w:rPr>
          <w:rFonts w:ascii="Calibri" w:hAnsi="Calibri"/>
          <w:sz w:val="22"/>
          <w:szCs w:val="22"/>
        </w:rPr>
      </w:pPr>
      <w:r>
        <w:rPr>
          <w:rFonts w:ascii="Calibri" w:hAnsi="Calibri"/>
          <w:sz w:val="22"/>
          <w:szCs w:val="22"/>
        </w:rPr>
        <w:t xml:space="preserve">The Greendale Village development includes 20 new townhomes, four (4) of which are affordable to those earning at or below 50% of area median income. The lottery was held on July 8, 2014. The 2 two-bedroom affordable units sold for $112,600 and the 2 three-bedrooms sold for $121,400.  The market units ranged in price from $759,000 to $940,000. </w:t>
      </w:r>
    </w:p>
    <w:p w14:paraId="030E6357" w14:textId="77777777" w:rsidR="00084BC6" w:rsidRDefault="00084BC6" w:rsidP="00084BC6">
      <w:pPr>
        <w:pStyle w:val="ListParagraph"/>
        <w:tabs>
          <w:tab w:val="num" w:pos="4325"/>
        </w:tabs>
        <w:overflowPunct w:val="0"/>
        <w:autoSpaceDE w:val="0"/>
        <w:autoSpaceDN w:val="0"/>
        <w:adjustRightInd w:val="0"/>
        <w:jc w:val="both"/>
        <w:rPr>
          <w:rFonts w:ascii="Calibri" w:hAnsi="Calibri"/>
          <w:sz w:val="22"/>
          <w:szCs w:val="22"/>
        </w:rPr>
      </w:pPr>
    </w:p>
    <w:p w14:paraId="5A05B9B3" w14:textId="77777777" w:rsidR="00084BC6" w:rsidRPr="008703EA"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sz w:val="22"/>
          <w:szCs w:val="22"/>
        </w:rPr>
      </w:pPr>
      <w:r w:rsidRPr="008703EA">
        <w:rPr>
          <w:rFonts w:ascii="Calibri" w:hAnsi="Calibri"/>
          <w:i/>
          <w:iCs/>
          <w:sz w:val="22"/>
          <w:szCs w:val="22"/>
        </w:rPr>
        <w:t xml:space="preserve">Webster Street Green </w:t>
      </w:r>
    </w:p>
    <w:p w14:paraId="28B1F19B" w14:textId="77777777" w:rsidR="00084BC6" w:rsidRPr="008703EA" w:rsidRDefault="00084BC6" w:rsidP="00084BC6">
      <w:pPr>
        <w:tabs>
          <w:tab w:val="num" w:pos="720"/>
          <w:tab w:val="num" w:pos="4325"/>
        </w:tabs>
        <w:overflowPunct w:val="0"/>
        <w:autoSpaceDE w:val="0"/>
        <w:autoSpaceDN w:val="0"/>
        <w:adjustRightInd w:val="0"/>
        <w:ind w:left="720"/>
        <w:jc w:val="both"/>
        <w:rPr>
          <w:rFonts w:ascii="Calibri" w:hAnsi="Calibri"/>
          <w:sz w:val="22"/>
          <w:szCs w:val="22"/>
        </w:rPr>
      </w:pPr>
      <w:r w:rsidRPr="008703EA">
        <w:rPr>
          <w:rFonts w:ascii="Calibri" w:hAnsi="Calibri"/>
          <w:sz w:val="22"/>
          <w:szCs w:val="22"/>
        </w:rPr>
        <w:t>28 Webster Street</w:t>
      </w:r>
    </w:p>
    <w:p w14:paraId="4D8E8F2A" w14:textId="77777777" w:rsidR="00084BC6" w:rsidRPr="0033731E" w:rsidRDefault="00084BC6" w:rsidP="00084BC6">
      <w:pPr>
        <w:pStyle w:val="BodyTextIndent3"/>
        <w:tabs>
          <w:tab w:val="num" w:pos="720"/>
        </w:tabs>
        <w:spacing w:after="0"/>
        <w:ind w:left="720"/>
        <w:jc w:val="both"/>
        <w:rPr>
          <w:rFonts w:asciiTheme="minorHAnsi" w:hAnsiTheme="minorHAnsi"/>
          <w:sz w:val="22"/>
        </w:rPr>
      </w:pPr>
      <w:r w:rsidRPr="0033731E">
        <w:rPr>
          <w:rFonts w:asciiTheme="minorHAnsi" w:hAnsiTheme="minorHAnsi"/>
          <w:sz w:val="22"/>
        </w:rPr>
        <w:t>Comprehensive</w:t>
      </w:r>
      <w:r>
        <w:rPr>
          <w:rFonts w:asciiTheme="minorHAnsi" w:hAnsiTheme="minorHAnsi"/>
          <w:sz w:val="22"/>
        </w:rPr>
        <w:t xml:space="preserve"> </w:t>
      </w:r>
      <w:r w:rsidRPr="0033731E">
        <w:rPr>
          <w:rFonts w:asciiTheme="minorHAnsi" w:hAnsiTheme="minorHAnsi"/>
          <w:sz w:val="22"/>
        </w:rPr>
        <w:t xml:space="preserve">Permit </w:t>
      </w:r>
      <w:r>
        <w:rPr>
          <w:rFonts w:asciiTheme="minorHAnsi" w:hAnsiTheme="minorHAnsi"/>
          <w:sz w:val="22"/>
        </w:rPr>
        <w:t xml:space="preserve">initially </w:t>
      </w:r>
      <w:r w:rsidRPr="0033731E">
        <w:rPr>
          <w:rFonts w:asciiTheme="minorHAnsi" w:hAnsiTheme="minorHAnsi"/>
          <w:sz w:val="22"/>
        </w:rPr>
        <w:t>gra</w:t>
      </w:r>
      <w:r>
        <w:rPr>
          <w:rFonts w:asciiTheme="minorHAnsi" w:hAnsiTheme="minorHAnsi"/>
          <w:sz w:val="22"/>
        </w:rPr>
        <w:t>n</w:t>
      </w:r>
      <w:r w:rsidRPr="0033731E">
        <w:rPr>
          <w:rFonts w:asciiTheme="minorHAnsi" w:hAnsiTheme="minorHAnsi"/>
          <w:sz w:val="22"/>
        </w:rPr>
        <w:t>ted in 200</w:t>
      </w:r>
      <w:r>
        <w:rPr>
          <w:rFonts w:asciiTheme="minorHAnsi" w:hAnsiTheme="minorHAnsi"/>
          <w:sz w:val="22"/>
        </w:rPr>
        <w:t>5 and amended in 2013</w:t>
      </w:r>
    </w:p>
    <w:p w14:paraId="71171F83"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Total Condominium Units: 10   Affordable Units: 2</w:t>
      </w:r>
    </w:p>
    <w:p w14:paraId="1F20DBF4"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sidRPr="004E50E7">
        <w:rPr>
          <w:rFonts w:ascii="Calibri" w:hAnsi="Calibri"/>
          <w:sz w:val="22"/>
          <w:szCs w:val="22"/>
        </w:rPr>
        <w:t>The developer, Webster Street Green LLC, was issued a comprehensive permit in November 2005, which was appealed, amended, and exten</w:t>
      </w:r>
      <w:r>
        <w:rPr>
          <w:rFonts w:ascii="Calibri" w:hAnsi="Calibri"/>
          <w:sz w:val="22"/>
          <w:szCs w:val="22"/>
        </w:rPr>
        <w:t>ded</w:t>
      </w:r>
      <w:r w:rsidRPr="004E50E7">
        <w:rPr>
          <w:rFonts w:ascii="Calibri" w:hAnsi="Calibri"/>
          <w:sz w:val="22"/>
          <w:szCs w:val="22"/>
        </w:rPr>
        <w:t xml:space="preserve"> through the</w:t>
      </w:r>
      <w:r>
        <w:rPr>
          <w:rFonts w:ascii="Calibri" w:hAnsi="Calibri"/>
          <w:sz w:val="22"/>
          <w:szCs w:val="22"/>
        </w:rPr>
        <w:t xml:space="preserve"> state’s</w:t>
      </w:r>
      <w:r w:rsidRPr="004E50E7">
        <w:rPr>
          <w:rFonts w:ascii="Calibri" w:hAnsi="Calibri"/>
          <w:sz w:val="22"/>
          <w:szCs w:val="22"/>
        </w:rPr>
        <w:t xml:space="preserve"> Housing Appeals Committee</w:t>
      </w:r>
      <w:r>
        <w:rPr>
          <w:rFonts w:ascii="Calibri" w:hAnsi="Calibri"/>
          <w:sz w:val="22"/>
          <w:szCs w:val="22"/>
        </w:rPr>
        <w:t xml:space="preserve"> (HAC)</w:t>
      </w:r>
      <w:r w:rsidRPr="004E50E7">
        <w:rPr>
          <w:rFonts w:ascii="Calibri" w:hAnsi="Calibri"/>
          <w:sz w:val="22"/>
          <w:szCs w:val="22"/>
        </w:rPr>
        <w:t xml:space="preserve">.  </w:t>
      </w:r>
      <w:r>
        <w:rPr>
          <w:rFonts w:ascii="Calibri" w:hAnsi="Calibri"/>
          <w:sz w:val="22"/>
          <w:szCs w:val="22"/>
        </w:rPr>
        <w:t>The affordable units were targeted to those earning at or below 50% AMI and sold for $121,300 and $136,800 while the market units sold in the $689,000 to $769,000 range.</w:t>
      </w:r>
    </w:p>
    <w:p w14:paraId="4AA2E0C1"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p>
    <w:p w14:paraId="65952008" w14:textId="77777777" w:rsidR="00084BC6" w:rsidRPr="007541F4" w:rsidRDefault="00084BC6" w:rsidP="005D3FC9">
      <w:pPr>
        <w:pStyle w:val="ListParagraph"/>
        <w:numPr>
          <w:ilvl w:val="0"/>
          <w:numId w:val="7"/>
        </w:numPr>
        <w:tabs>
          <w:tab w:val="num" w:pos="0"/>
        </w:tabs>
        <w:jc w:val="both"/>
        <w:rPr>
          <w:rFonts w:ascii="Calibri" w:hAnsi="Calibri"/>
          <w:bCs/>
          <w:sz w:val="22"/>
          <w:szCs w:val="22"/>
        </w:rPr>
      </w:pPr>
      <w:r>
        <w:rPr>
          <w:rFonts w:ascii="Calibri" w:hAnsi="Calibri"/>
          <w:bCs/>
          <w:i/>
          <w:sz w:val="22"/>
          <w:szCs w:val="22"/>
        </w:rPr>
        <w:t>One Wingate Way</w:t>
      </w:r>
      <w:r w:rsidRPr="007541F4">
        <w:rPr>
          <w:rFonts w:ascii="Calibri" w:hAnsi="Calibri"/>
          <w:bCs/>
          <w:i/>
          <w:sz w:val="22"/>
          <w:szCs w:val="22"/>
        </w:rPr>
        <w:t>/ Wingat</w:t>
      </w:r>
      <w:r>
        <w:rPr>
          <w:rFonts w:ascii="Calibri" w:hAnsi="Calibri"/>
          <w:bCs/>
          <w:i/>
          <w:sz w:val="22"/>
          <w:szCs w:val="22"/>
        </w:rPr>
        <w:t>e Phase II</w:t>
      </w:r>
    </w:p>
    <w:p w14:paraId="24FABD88" w14:textId="77777777" w:rsidR="00084BC6" w:rsidRPr="007541F4" w:rsidRDefault="00084BC6" w:rsidP="00084BC6">
      <w:pPr>
        <w:tabs>
          <w:tab w:val="num" w:pos="0"/>
        </w:tabs>
        <w:ind w:left="720"/>
        <w:jc w:val="both"/>
        <w:rPr>
          <w:rFonts w:ascii="Calibri" w:hAnsi="Calibri"/>
          <w:bCs/>
          <w:sz w:val="22"/>
          <w:szCs w:val="22"/>
        </w:rPr>
      </w:pPr>
      <w:r w:rsidRPr="007541F4">
        <w:rPr>
          <w:rFonts w:ascii="Calibri" w:hAnsi="Calibri"/>
          <w:bCs/>
          <w:sz w:val="22"/>
          <w:szCs w:val="22"/>
        </w:rPr>
        <w:t>235 Gould Street</w:t>
      </w:r>
    </w:p>
    <w:p w14:paraId="4245D017" w14:textId="77777777" w:rsidR="00084BC6" w:rsidRDefault="00084BC6" w:rsidP="00084BC6">
      <w:pPr>
        <w:tabs>
          <w:tab w:val="num" w:pos="720"/>
        </w:tabs>
        <w:overflowPunct w:val="0"/>
        <w:autoSpaceDE w:val="0"/>
        <w:autoSpaceDN w:val="0"/>
        <w:adjustRightInd w:val="0"/>
        <w:ind w:left="720"/>
        <w:jc w:val="both"/>
        <w:rPr>
          <w:rFonts w:ascii="Calibri" w:hAnsi="Calibri"/>
          <w:sz w:val="22"/>
          <w:szCs w:val="22"/>
        </w:rPr>
      </w:pPr>
      <w:r>
        <w:rPr>
          <w:rFonts w:ascii="Calibri" w:hAnsi="Calibri"/>
          <w:sz w:val="22"/>
          <w:szCs w:val="22"/>
        </w:rPr>
        <w:t>Special Permit Approval in 2014</w:t>
      </w:r>
    </w:p>
    <w:p w14:paraId="0B4CD95A" w14:textId="77777777" w:rsidR="00084BC6" w:rsidRPr="007541F4" w:rsidRDefault="00084BC6" w:rsidP="00084BC6">
      <w:pPr>
        <w:tabs>
          <w:tab w:val="num" w:pos="0"/>
        </w:tabs>
        <w:ind w:left="720"/>
        <w:jc w:val="both"/>
        <w:rPr>
          <w:rFonts w:ascii="Calibri" w:hAnsi="Calibri"/>
          <w:bCs/>
          <w:sz w:val="22"/>
          <w:szCs w:val="22"/>
        </w:rPr>
      </w:pPr>
      <w:r w:rsidRPr="007541F4">
        <w:rPr>
          <w:rFonts w:ascii="Calibri" w:hAnsi="Calibri"/>
          <w:bCs/>
          <w:sz w:val="22"/>
          <w:szCs w:val="22"/>
        </w:rPr>
        <w:t xml:space="preserve">Total </w:t>
      </w:r>
      <w:r>
        <w:rPr>
          <w:rFonts w:ascii="Calibri" w:hAnsi="Calibri"/>
          <w:bCs/>
          <w:sz w:val="22"/>
          <w:szCs w:val="22"/>
        </w:rPr>
        <w:t xml:space="preserve">Independent Living Rental </w:t>
      </w:r>
      <w:r w:rsidRPr="007541F4">
        <w:rPr>
          <w:rFonts w:ascii="Calibri" w:hAnsi="Calibri"/>
          <w:bCs/>
          <w:sz w:val="22"/>
          <w:szCs w:val="22"/>
        </w:rPr>
        <w:t>Units: 52   Affordable Units: 5</w:t>
      </w:r>
    </w:p>
    <w:p w14:paraId="1E3B00C1" w14:textId="77777777" w:rsidR="00084BC6" w:rsidRPr="00253827" w:rsidRDefault="00084BC6" w:rsidP="00084BC6">
      <w:pPr>
        <w:tabs>
          <w:tab w:val="num" w:pos="0"/>
        </w:tabs>
        <w:ind w:left="720"/>
        <w:jc w:val="both"/>
        <w:rPr>
          <w:rFonts w:ascii="Calibri" w:hAnsi="Calibri"/>
          <w:bCs/>
          <w:sz w:val="22"/>
          <w:szCs w:val="22"/>
        </w:rPr>
      </w:pPr>
      <w:r w:rsidRPr="00253827">
        <w:rPr>
          <w:rFonts w:ascii="Calibri" w:hAnsi="Calibri"/>
          <w:bCs/>
          <w:sz w:val="22"/>
          <w:szCs w:val="22"/>
        </w:rPr>
        <w:t xml:space="preserve">Another 52 Independent Living Units </w:t>
      </w:r>
      <w:r>
        <w:rPr>
          <w:rFonts w:ascii="Calibri" w:hAnsi="Calibri"/>
          <w:bCs/>
          <w:sz w:val="22"/>
          <w:szCs w:val="22"/>
        </w:rPr>
        <w:t>were</w:t>
      </w:r>
      <w:r w:rsidRPr="00253827">
        <w:rPr>
          <w:rFonts w:ascii="Calibri" w:hAnsi="Calibri"/>
          <w:bCs/>
          <w:sz w:val="22"/>
          <w:szCs w:val="22"/>
        </w:rPr>
        <w:t xml:space="preserve"> built next to the existing </w:t>
      </w:r>
      <w:r>
        <w:rPr>
          <w:rFonts w:ascii="Calibri" w:hAnsi="Calibri"/>
          <w:bCs/>
          <w:sz w:val="22"/>
          <w:szCs w:val="22"/>
        </w:rPr>
        <w:t xml:space="preserve">Phase I </w:t>
      </w:r>
      <w:r w:rsidRPr="00253827">
        <w:rPr>
          <w:rFonts w:ascii="Calibri" w:hAnsi="Calibri"/>
          <w:bCs/>
          <w:sz w:val="22"/>
          <w:szCs w:val="22"/>
        </w:rPr>
        <w:t>Residences at Wingate senior living development.  Given that the project is part of the Town’s Elder Services District, at least 10% of the units must be affordable.</w:t>
      </w:r>
      <w:r>
        <w:rPr>
          <w:rFonts w:ascii="Calibri" w:hAnsi="Calibri"/>
          <w:bCs/>
          <w:sz w:val="22"/>
          <w:szCs w:val="22"/>
        </w:rPr>
        <w:t xml:space="preserve">  The project received Special Permit approval by the Planning Board on October 20, 2014 (amendment of Phase I approval in 2011)</w:t>
      </w:r>
      <w:r w:rsidR="00387793">
        <w:rPr>
          <w:rFonts w:ascii="Calibri" w:hAnsi="Calibri"/>
          <w:bCs/>
          <w:sz w:val="22"/>
          <w:szCs w:val="22"/>
        </w:rPr>
        <w:t>.</w:t>
      </w:r>
      <w:r>
        <w:rPr>
          <w:rFonts w:ascii="Calibri" w:hAnsi="Calibri"/>
          <w:bCs/>
          <w:sz w:val="22"/>
          <w:szCs w:val="22"/>
        </w:rPr>
        <w:t xml:space="preserve"> </w:t>
      </w:r>
    </w:p>
    <w:p w14:paraId="5898A249" w14:textId="77777777" w:rsidR="00084BC6" w:rsidRDefault="00084BC6" w:rsidP="00084BC6">
      <w:pPr>
        <w:tabs>
          <w:tab w:val="num" w:pos="0"/>
        </w:tabs>
        <w:ind w:left="720"/>
        <w:jc w:val="both"/>
        <w:rPr>
          <w:rFonts w:ascii="Calibri" w:hAnsi="Calibri"/>
          <w:bCs/>
          <w:sz w:val="22"/>
          <w:szCs w:val="22"/>
        </w:rPr>
      </w:pPr>
    </w:p>
    <w:p w14:paraId="7296B0DE" w14:textId="77777777" w:rsidR="00084BC6" w:rsidRPr="007541F4"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sz w:val="22"/>
          <w:szCs w:val="22"/>
        </w:rPr>
      </w:pPr>
      <w:r>
        <w:rPr>
          <w:rFonts w:ascii="Calibri" w:hAnsi="Calibri"/>
          <w:bCs/>
          <w:i/>
          <w:sz w:val="22"/>
          <w:szCs w:val="22"/>
        </w:rPr>
        <w:t>The Kendrick (previously known as 2</w:t>
      </w:r>
      <w:r w:rsidRPr="009F0AC0">
        <w:rPr>
          <w:rFonts w:ascii="Calibri" w:hAnsi="Calibri"/>
          <w:bCs/>
          <w:i/>
          <w:sz w:val="22"/>
          <w:szCs w:val="22"/>
          <w:vertAlign w:val="superscript"/>
        </w:rPr>
        <w:t>nd</w:t>
      </w:r>
      <w:r>
        <w:rPr>
          <w:rFonts w:ascii="Calibri" w:hAnsi="Calibri"/>
          <w:bCs/>
          <w:i/>
          <w:sz w:val="22"/>
          <w:szCs w:val="22"/>
        </w:rPr>
        <w:t xml:space="preserve"> </w:t>
      </w:r>
      <w:r w:rsidRPr="007541F4">
        <w:rPr>
          <w:rFonts w:ascii="Calibri" w:hAnsi="Calibri"/>
          <w:bCs/>
          <w:i/>
          <w:sz w:val="22"/>
          <w:szCs w:val="22"/>
        </w:rPr>
        <w:t>Avenue Residences</w:t>
      </w:r>
      <w:r>
        <w:rPr>
          <w:rFonts w:ascii="Calibri" w:hAnsi="Calibri"/>
          <w:bCs/>
          <w:i/>
          <w:sz w:val="22"/>
          <w:szCs w:val="22"/>
        </w:rPr>
        <w:t>)</w:t>
      </w:r>
      <w:r w:rsidRPr="007541F4">
        <w:rPr>
          <w:rFonts w:ascii="Calibri" w:hAnsi="Calibri"/>
          <w:bCs/>
          <w:i/>
          <w:sz w:val="22"/>
          <w:szCs w:val="22"/>
        </w:rPr>
        <w:t xml:space="preserve"> </w:t>
      </w:r>
    </w:p>
    <w:p w14:paraId="1A0C3980" w14:textId="77777777" w:rsidR="00084BC6" w:rsidRPr="007541F4" w:rsidRDefault="00084BC6" w:rsidP="00084BC6">
      <w:pPr>
        <w:pStyle w:val="ListParagraph"/>
        <w:tabs>
          <w:tab w:val="num" w:pos="0"/>
        </w:tabs>
        <w:jc w:val="both"/>
        <w:rPr>
          <w:rFonts w:ascii="Calibri" w:hAnsi="Calibri"/>
          <w:bCs/>
          <w:sz w:val="22"/>
          <w:szCs w:val="22"/>
        </w:rPr>
      </w:pPr>
      <w:r>
        <w:rPr>
          <w:rFonts w:ascii="Calibri" w:hAnsi="Calibri"/>
          <w:bCs/>
          <w:sz w:val="22"/>
          <w:szCs w:val="22"/>
        </w:rPr>
        <w:t>275 Second Avenue</w:t>
      </w:r>
    </w:p>
    <w:p w14:paraId="620698EC" w14:textId="77777777" w:rsidR="00084BC6" w:rsidRDefault="00084BC6" w:rsidP="00084BC6">
      <w:pPr>
        <w:pStyle w:val="ListParagraph"/>
        <w:tabs>
          <w:tab w:val="num" w:pos="0"/>
        </w:tabs>
        <w:jc w:val="both"/>
        <w:rPr>
          <w:rFonts w:asciiTheme="minorHAnsi" w:hAnsiTheme="minorHAnsi"/>
          <w:sz w:val="22"/>
        </w:rPr>
      </w:pPr>
      <w:r w:rsidRPr="0033731E">
        <w:rPr>
          <w:rFonts w:asciiTheme="minorHAnsi" w:hAnsiTheme="minorHAnsi"/>
          <w:sz w:val="22"/>
        </w:rPr>
        <w:t>Comprehensive Permit gra</w:t>
      </w:r>
      <w:r>
        <w:rPr>
          <w:rFonts w:asciiTheme="minorHAnsi" w:hAnsiTheme="minorHAnsi"/>
          <w:sz w:val="22"/>
        </w:rPr>
        <w:t>n</w:t>
      </w:r>
      <w:r w:rsidRPr="0033731E">
        <w:rPr>
          <w:rFonts w:asciiTheme="minorHAnsi" w:hAnsiTheme="minorHAnsi"/>
          <w:sz w:val="22"/>
        </w:rPr>
        <w:t xml:space="preserve">ted in </w:t>
      </w:r>
      <w:r>
        <w:rPr>
          <w:rFonts w:asciiTheme="minorHAnsi" w:hAnsiTheme="minorHAnsi"/>
          <w:sz w:val="22"/>
        </w:rPr>
        <w:t>2015</w:t>
      </w:r>
    </w:p>
    <w:p w14:paraId="32258321" w14:textId="77777777" w:rsidR="00084BC6" w:rsidRPr="007541F4" w:rsidRDefault="00084BC6" w:rsidP="00084BC6">
      <w:pPr>
        <w:pStyle w:val="ListParagraph"/>
        <w:tabs>
          <w:tab w:val="num" w:pos="0"/>
        </w:tabs>
        <w:jc w:val="both"/>
        <w:rPr>
          <w:rFonts w:ascii="Calibri" w:hAnsi="Calibri"/>
          <w:bCs/>
          <w:sz w:val="22"/>
          <w:szCs w:val="22"/>
        </w:rPr>
      </w:pPr>
      <w:r w:rsidRPr="007541F4">
        <w:rPr>
          <w:rFonts w:ascii="Calibri" w:hAnsi="Calibri"/>
          <w:bCs/>
          <w:sz w:val="22"/>
          <w:szCs w:val="22"/>
        </w:rPr>
        <w:t xml:space="preserve">Total </w:t>
      </w:r>
      <w:r>
        <w:rPr>
          <w:rFonts w:ascii="Calibri" w:hAnsi="Calibri"/>
          <w:bCs/>
          <w:sz w:val="22"/>
          <w:szCs w:val="22"/>
        </w:rPr>
        <w:t xml:space="preserve">Rental </w:t>
      </w:r>
      <w:r w:rsidRPr="007541F4">
        <w:rPr>
          <w:rFonts w:ascii="Calibri" w:hAnsi="Calibri"/>
          <w:bCs/>
          <w:sz w:val="22"/>
          <w:szCs w:val="22"/>
        </w:rPr>
        <w:t xml:space="preserve">Units: 390 </w:t>
      </w:r>
      <w:r>
        <w:rPr>
          <w:rFonts w:ascii="Calibri" w:hAnsi="Calibri"/>
          <w:bCs/>
          <w:sz w:val="22"/>
          <w:szCs w:val="22"/>
        </w:rPr>
        <w:t xml:space="preserve">  </w:t>
      </w:r>
      <w:r w:rsidRPr="007541F4">
        <w:rPr>
          <w:rFonts w:ascii="Calibri" w:hAnsi="Calibri"/>
          <w:bCs/>
          <w:sz w:val="22"/>
          <w:szCs w:val="22"/>
        </w:rPr>
        <w:t>Affordable Units: 98</w:t>
      </w:r>
      <w:r>
        <w:rPr>
          <w:rFonts w:ascii="Calibri" w:hAnsi="Calibri"/>
          <w:bCs/>
          <w:sz w:val="22"/>
          <w:szCs w:val="22"/>
        </w:rPr>
        <w:t xml:space="preserve"> (all units count as part of the SHI)</w:t>
      </w:r>
    </w:p>
    <w:p w14:paraId="64246A51" w14:textId="77777777" w:rsidR="00084BC6" w:rsidRDefault="00084BC6" w:rsidP="00084BC6">
      <w:pPr>
        <w:ind w:left="720"/>
        <w:jc w:val="both"/>
        <w:rPr>
          <w:rFonts w:asciiTheme="minorHAnsi" w:hAnsiTheme="minorHAnsi"/>
          <w:sz w:val="22"/>
          <w:szCs w:val="22"/>
        </w:rPr>
      </w:pPr>
      <w:r w:rsidRPr="007541F4">
        <w:rPr>
          <w:rFonts w:asciiTheme="minorHAnsi" w:hAnsiTheme="minorHAnsi"/>
          <w:sz w:val="22"/>
          <w:szCs w:val="22"/>
        </w:rPr>
        <w:t xml:space="preserve">The Town of Needham provided its support for the </w:t>
      </w:r>
      <w:r>
        <w:rPr>
          <w:rFonts w:asciiTheme="minorHAnsi" w:hAnsiTheme="minorHAnsi"/>
          <w:sz w:val="22"/>
          <w:szCs w:val="22"/>
        </w:rPr>
        <w:t>2</w:t>
      </w:r>
      <w:r w:rsidRPr="009F0AC0">
        <w:rPr>
          <w:rFonts w:asciiTheme="minorHAnsi" w:hAnsiTheme="minorHAnsi"/>
          <w:sz w:val="22"/>
          <w:szCs w:val="22"/>
          <w:vertAlign w:val="superscript"/>
        </w:rPr>
        <w:t>nd</w:t>
      </w:r>
      <w:r>
        <w:rPr>
          <w:rFonts w:asciiTheme="minorHAnsi" w:hAnsiTheme="minorHAnsi"/>
          <w:sz w:val="22"/>
          <w:szCs w:val="22"/>
        </w:rPr>
        <w:t xml:space="preserve"> </w:t>
      </w:r>
      <w:r w:rsidRPr="007541F4">
        <w:rPr>
          <w:rFonts w:asciiTheme="minorHAnsi" w:hAnsiTheme="minorHAnsi"/>
          <w:sz w:val="22"/>
          <w:szCs w:val="22"/>
        </w:rPr>
        <w:t>Second Avenue Residences development as part of the Local Initiative Program (LIP) Project Eligibility Application that was submitted to DHCD by the developer, A Street Residential LLC, on April 15, 2015. The ZBA subsequently approved the comprehensive permit</w:t>
      </w:r>
      <w:r>
        <w:rPr>
          <w:rFonts w:asciiTheme="minorHAnsi" w:hAnsiTheme="minorHAnsi"/>
          <w:sz w:val="22"/>
          <w:szCs w:val="22"/>
        </w:rPr>
        <w:t xml:space="preserve"> on October 20, 2015</w:t>
      </w:r>
      <w:r w:rsidRPr="007541F4">
        <w:rPr>
          <w:rFonts w:asciiTheme="minorHAnsi" w:hAnsiTheme="minorHAnsi"/>
          <w:sz w:val="22"/>
          <w:szCs w:val="22"/>
        </w:rPr>
        <w:t xml:space="preserve">. </w:t>
      </w:r>
    </w:p>
    <w:p w14:paraId="74129FF6" w14:textId="77777777" w:rsidR="00C8348C" w:rsidRDefault="00C8348C" w:rsidP="00084BC6">
      <w:pPr>
        <w:ind w:left="720"/>
        <w:jc w:val="both"/>
        <w:rPr>
          <w:rFonts w:ascii="Calibri" w:hAnsi="Calibri"/>
          <w:bCs/>
          <w:sz w:val="22"/>
          <w:szCs w:val="22"/>
        </w:rPr>
      </w:pPr>
    </w:p>
    <w:p w14:paraId="470A0665" w14:textId="77777777" w:rsidR="00084BC6" w:rsidRPr="00BD0351" w:rsidRDefault="00084BC6" w:rsidP="005D3FC9">
      <w:pPr>
        <w:numPr>
          <w:ilvl w:val="0"/>
          <w:numId w:val="5"/>
        </w:numPr>
        <w:tabs>
          <w:tab w:val="clear" w:pos="2160"/>
          <w:tab w:val="num" w:pos="720"/>
          <w:tab w:val="num" w:pos="4325"/>
        </w:tabs>
        <w:overflowPunct w:val="0"/>
        <w:autoSpaceDE w:val="0"/>
        <w:autoSpaceDN w:val="0"/>
        <w:adjustRightInd w:val="0"/>
        <w:ind w:left="720"/>
        <w:jc w:val="both"/>
        <w:rPr>
          <w:rFonts w:ascii="Calibri" w:hAnsi="Calibri"/>
          <w:bCs/>
          <w:sz w:val="22"/>
          <w:szCs w:val="22"/>
        </w:rPr>
      </w:pPr>
      <w:r>
        <w:rPr>
          <w:rFonts w:ascii="Calibri" w:hAnsi="Calibri"/>
          <w:bCs/>
          <w:i/>
          <w:sz w:val="22"/>
          <w:szCs w:val="22"/>
        </w:rPr>
        <w:t>Modera Needham (previously known as Greendale Mews)</w:t>
      </w:r>
    </w:p>
    <w:p w14:paraId="66A41E04" w14:textId="77777777" w:rsidR="00084BC6" w:rsidRPr="007541F4" w:rsidRDefault="00387793" w:rsidP="00084BC6">
      <w:pPr>
        <w:tabs>
          <w:tab w:val="num" w:pos="4325"/>
        </w:tabs>
        <w:overflowPunct w:val="0"/>
        <w:autoSpaceDE w:val="0"/>
        <w:autoSpaceDN w:val="0"/>
        <w:adjustRightInd w:val="0"/>
        <w:ind w:left="720"/>
        <w:jc w:val="both"/>
        <w:rPr>
          <w:rFonts w:ascii="Calibri" w:hAnsi="Calibri"/>
          <w:bCs/>
          <w:sz w:val="22"/>
          <w:szCs w:val="22"/>
        </w:rPr>
      </w:pPr>
      <w:r>
        <w:rPr>
          <w:rFonts w:ascii="Calibri" w:hAnsi="Calibri"/>
          <w:bCs/>
          <w:sz w:val="22"/>
          <w:szCs w:val="22"/>
        </w:rPr>
        <w:t>700</w:t>
      </w:r>
      <w:r w:rsidR="00084BC6">
        <w:rPr>
          <w:rFonts w:ascii="Calibri" w:hAnsi="Calibri"/>
          <w:bCs/>
          <w:sz w:val="22"/>
          <w:szCs w:val="22"/>
        </w:rPr>
        <w:t xml:space="preserve"> </w:t>
      </w:r>
      <w:r w:rsidR="00084BC6" w:rsidRPr="007541F4">
        <w:rPr>
          <w:rFonts w:ascii="Calibri" w:hAnsi="Calibri"/>
          <w:bCs/>
          <w:sz w:val="22"/>
          <w:szCs w:val="22"/>
        </w:rPr>
        <w:t>Greendale Avenue</w:t>
      </w:r>
    </w:p>
    <w:p w14:paraId="41206AAD" w14:textId="77777777" w:rsidR="00084BC6" w:rsidRDefault="00084BC6" w:rsidP="00084BC6">
      <w:pPr>
        <w:ind w:right="-720"/>
        <w:jc w:val="both"/>
        <w:rPr>
          <w:rFonts w:asciiTheme="minorHAnsi" w:hAnsiTheme="minorHAnsi"/>
          <w:sz w:val="22"/>
        </w:rPr>
      </w:pPr>
      <w:r w:rsidRPr="007541F4">
        <w:rPr>
          <w:rFonts w:ascii="Calibri" w:hAnsi="Calibri"/>
          <w:b/>
          <w:bCs/>
        </w:rPr>
        <w:tab/>
      </w:r>
      <w:r w:rsidRPr="0033731E">
        <w:rPr>
          <w:rFonts w:asciiTheme="minorHAnsi" w:hAnsiTheme="minorHAnsi"/>
          <w:sz w:val="22"/>
        </w:rPr>
        <w:t>Comprehensive Permit gra</w:t>
      </w:r>
      <w:r>
        <w:rPr>
          <w:rFonts w:asciiTheme="minorHAnsi" w:hAnsiTheme="minorHAnsi"/>
          <w:sz w:val="22"/>
        </w:rPr>
        <w:t>n</w:t>
      </w:r>
      <w:r w:rsidRPr="0033731E">
        <w:rPr>
          <w:rFonts w:asciiTheme="minorHAnsi" w:hAnsiTheme="minorHAnsi"/>
          <w:sz w:val="22"/>
        </w:rPr>
        <w:t>ted in 20</w:t>
      </w:r>
      <w:r>
        <w:rPr>
          <w:rFonts w:asciiTheme="minorHAnsi" w:hAnsiTheme="minorHAnsi"/>
          <w:sz w:val="22"/>
        </w:rPr>
        <w:t>13 for 108 units and approved 136 units in 2015</w:t>
      </w:r>
    </w:p>
    <w:p w14:paraId="13A945EB" w14:textId="77777777" w:rsidR="00084BC6" w:rsidRDefault="00084BC6" w:rsidP="00084BC6">
      <w:pPr>
        <w:ind w:firstLine="720"/>
        <w:jc w:val="both"/>
        <w:rPr>
          <w:rFonts w:ascii="Calibri" w:hAnsi="Calibri"/>
          <w:bCs/>
          <w:sz w:val="22"/>
          <w:szCs w:val="22"/>
        </w:rPr>
      </w:pPr>
      <w:r w:rsidRPr="007541F4">
        <w:rPr>
          <w:rFonts w:ascii="Calibri" w:hAnsi="Calibri"/>
          <w:bCs/>
          <w:sz w:val="22"/>
          <w:szCs w:val="22"/>
        </w:rPr>
        <w:t xml:space="preserve">Total </w:t>
      </w:r>
      <w:r>
        <w:rPr>
          <w:rFonts w:ascii="Calibri" w:hAnsi="Calibri"/>
          <w:bCs/>
          <w:sz w:val="22"/>
          <w:szCs w:val="22"/>
        </w:rPr>
        <w:t xml:space="preserve">Rental </w:t>
      </w:r>
      <w:r w:rsidRPr="007541F4">
        <w:rPr>
          <w:rFonts w:ascii="Calibri" w:hAnsi="Calibri"/>
          <w:bCs/>
          <w:sz w:val="22"/>
          <w:szCs w:val="22"/>
        </w:rPr>
        <w:t xml:space="preserve">Units: 136 </w:t>
      </w:r>
      <w:r>
        <w:rPr>
          <w:rFonts w:ascii="Calibri" w:hAnsi="Calibri"/>
          <w:bCs/>
          <w:sz w:val="22"/>
          <w:szCs w:val="22"/>
        </w:rPr>
        <w:t xml:space="preserve">  </w:t>
      </w:r>
      <w:r w:rsidRPr="007541F4">
        <w:rPr>
          <w:rFonts w:ascii="Calibri" w:hAnsi="Calibri"/>
          <w:bCs/>
          <w:sz w:val="22"/>
          <w:szCs w:val="22"/>
        </w:rPr>
        <w:t xml:space="preserve">Affordable Units: </w:t>
      </w:r>
      <w:r>
        <w:rPr>
          <w:rFonts w:ascii="Calibri" w:hAnsi="Calibri"/>
          <w:bCs/>
          <w:sz w:val="22"/>
          <w:szCs w:val="22"/>
        </w:rPr>
        <w:t>34 (all units count as part of the SHI)</w:t>
      </w:r>
    </w:p>
    <w:p w14:paraId="5FEBFE65" w14:textId="77777777" w:rsidR="00084BC6" w:rsidRDefault="00084BC6" w:rsidP="00084BC6">
      <w:pPr>
        <w:ind w:left="720"/>
        <w:jc w:val="both"/>
        <w:rPr>
          <w:rFonts w:asciiTheme="minorHAnsi" w:hAnsiTheme="minorHAnsi"/>
          <w:sz w:val="22"/>
          <w:szCs w:val="22"/>
        </w:rPr>
      </w:pPr>
      <w:r>
        <w:rPr>
          <w:rFonts w:ascii="Calibri" w:hAnsi="Calibri"/>
          <w:bCs/>
          <w:sz w:val="22"/>
          <w:szCs w:val="22"/>
        </w:rPr>
        <w:t xml:space="preserve">The developer, Mill Creek Residential Trust LLC, proposed 300 and then 268 rental units on the six-acre site through a comprehensive permit application on April 13, 2013, and the ZBA </w:t>
      </w:r>
      <w:r>
        <w:rPr>
          <w:rFonts w:ascii="Calibri" w:hAnsi="Calibri"/>
          <w:bCs/>
          <w:sz w:val="22"/>
          <w:szCs w:val="22"/>
        </w:rPr>
        <w:lastRenderedPageBreak/>
        <w:t xml:space="preserve">approved 108 on December 19, 2013.  The parties subsequently agreed to a total of 136 units, which the ZBA formally approved on October 20, 2015. </w:t>
      </w:r>
    </w:p>
    <w:p w14:paraId="7B8B411A" w14:textId="77777777" w:rsidR="00084BC6" w:rsidRDefault="00084BC6" w:rsidP="00084BC6">
      <w:pPr>
        <w:jc w:val="both"/>
        <w:rPr>
          <w:rFonts w:asciiTheme="minorHAnsi" w:hAnsiTheme="minorHAnsi"/>
          <w:sz w:val="22"/>
          <w:szCs w:val="22"/>
        </w:rPr>
      </w:pPr>
    </w:p>
    <w:p w14:paraId="284D8F89" w14:textId="0499EC98" w:rsidR="00084BC6" w:rsidRDefault="00084BC6" w:rsidP="00084BC6">
      <w:pPr>
        <w:tabs>
          <w:tab w:val="num" w:pos="4325"/>
        </w:tabs>
        <w:overflowPunct w:val="0"/>
        <w:autoSpaceDE w:val="0"/>
        <w:autoSpaceDN w:val="0"/>
        <w:adjustRightInd w:val="0"/>
        <w:jc w:val="both"/>
        <w:rPr>
          <w:rFonts w:ascii="Calibri" w:hAnsi="Calibri"/>
          <w:sz w:val="22"/>
          <w:szCs w:val="22"/>
        </w:rPr>
      </w:pPr>
      <w:r>
        <w:rPr>
          <w:rFonts w:ascii="Calibri" w:hAnsi="Calibri"/>
          <w:sz w:val="22"/>
          <w:szCs w:val="22"/>
        </w:rPr>
        <w:t>The Town also sponsored a H</w:t>
      </w:r>
      <w:r w:rsidRPr="00CB3D43">
        <w:rPr>
          <w:rFonts w:ascii="Calibri" w:hAnsi="Calibri"/>
          <w:iCs/>
          <w:sz w:val="22"/>
          <w:szCs w:val="22"/>
        </w:rPr>
        <w:t xml:space="preserve">abitat for Humanity </w:t>
      </w:r>
      <w:r>
        <w:rPr>
          <w:rFonts w:ascii="Calibri" w:hAnsi="Calibri"/>
          <w:iCs/>
          <w:sz w:val="22"/>
          <w:szCs w:val="22"/>
        </w:rPr>
        <w:t xml:space="preserve">project </w:t>
      </w:r>
      <w:r w:rsidR="008C2696">
        <w:rPr>
          <w:rFonts w:ascii="Calibri" w:hAnsi="Calibri"/>
          <w:iCs/>
          <w:sz w:val="22"/>
          <w:szCs w:val="22"/>
        </w:rPr>
        <w:t xml:space="preserve">on a </w:t>
      </w:r>
      <w:r w:rsidRPr="004E50E7">
        <w:rPr>
          <w:rFonts w:ascii="Calibri" w:hAnsi="Calibri"/>
          <w:sz w:val="22"/>
          <w:szCs w:val="22"/>
        </w:rPr>
        <w:t>parcel owned by the Town of Needham</w:t>
      </w:r>
      <w:r w:rsidR="008C2696">
        <w:rPr>
          <w:rFonts w:ascii="Calibri" w:hAnsi="Calibri"/>
          <w:sz w:val="22"/>
          <w:szCs w:val="22"/>
        </w:rPr>
        <w:t xml:space="preserve">.  The Town </w:t>
      </w:r>
      <w:r w:rsidRPr="004E50E7">
        <w:rPr>
          <w:rFonts w:ascii="Calibri" w:hAnsi="Calibri"/>
          <w:sz w:val="22"/>
          <w:szCs w:val="22"/>
        </w:rPr>
        <w:t xml:space="preserve">issued a Request for Proposals to secure a developer to build an affordable home on the site.  Habitat for Humanity was the winning respondent and built a single-family house on the lot for a first-time homebuyer.  This house is not </w:t>
      </w:r>
      <w:r>
        <w:rPr>
          <w:rFonts w:ascii="Calibri" w:hAnsi="Calibri"/>
          <w:sz w:val="22"/>
          <w:szCs w:val="22"/>
        </w:rPr>
        <w:t xml:space="preserve">eligible for inclusion on the SHI because </w:t>
      </w:r>
      <w:r w:rsidR="008C2696">
        <w:rPr>
          <w:rFonts w:ascii="Calibri" w:hAnsi="Calibri"/>
          <w:sz w:val="22"/>
          <w:szCs w:val="22"/>
        </w:rPr>
        <w:t>the deed rider was not approved by the state</w:t>
      </w:r>
    </w:p>
    <w:p w14:paraId="428855CF" w14:textId="77777777" w:rsidR="00084BC6" w:rsidRDefault="00084BC6" w:rsidP="00084BC6">
      <w:pPr>
        <w:tabs>
          <w:tab w:val="num" w:pos="4325"/>
        </w:tabs>
        <w:overflowPunct w:val="0"/>
        <w:autoSpaceDE w:val="0"/>
        <w:autoSpaceDN w:val="0"/>
        <w:adjustRightInd w:val="0"/>
        <w:jc w:val="both"/>
        <w:rPr>
          <w:rFonts w:ascii="Calibri" w:hAnsi="Calibri"/>
          <w:sz w:val="22"/>
          <w:szCs w:val="22"/>
        </w:rPr>
      </w:pPr>
    </w:p>
    <w:p w14:paraId="0350B447" w14:textId="65D16FAA" w:rsidR="00084BC6" w:rsidRPr="004E50E7" w:rsidRDefault="00084BC6" w:rsidP="00084BC6">
      <w:pPr>
        <w:jc w:val="both"/>
        <w:rPr>
          <w:rFonts w:ascii="Calibri" w:hAnsi="Calibri"/>
          <w:sz w:val="22"/>
          <w:szCs w:val="22"/>
        </w:rPr>
      </w:pPr>
      <w:r w:rsidRPr="004E50E7">
        <w:rPr>
          <w:rFonts w:ascii="Calibri" w:hAnsi="Calibri"/>
          <w:sz w:val="22"/>
        </w:rPr>
        <w:t xml:space="preserve">The </w:t>
      </w:r>
      <w:r w:rsidR="0065314D">
        <w:rPr>
          <w:rFonts w:ascii="Calibri" w:hAnsi="Calibri"/>
          <w:sz w:val="22"/>
        </w:rPr>
        <w:t>Needham</w:t>
      </w:r>
      <w:r w:rsidRPr="004E50E7">
        <w:rPr>
          <w:rFonts w:ascii="Calibri" w:hAnsi="Calibri"/>
          <w:sz w:val="22"/>
        </w:rPr>
        <w:t xml:space="preserve"> Housing Authority </w:t>
      </w:r>
      <w:r w:rsidR="0065314D">
        <w:rPr>
          <w:rFonts w:ascii="Calibri" w:hAnsi="Calibri"/>
          <w:sz w:val="22"/>
        </w:rPr>
        <w:t xml:space="preserve">also </w:t>
      </w:r>
      <w:r w:rsidRPr="004E50E7">
        <w:rPr>
          <w:rFonts w:ascii="Calibri" w:hAnsi="Calibri"/>
          <w:sz w:val="22"/>
        </w:rPr>
        <w:t xml:space="preserve">administers </w:t>
      </w:r>
      <w:r w:rsidRPr="004E50E7">
        <w:rPr>
          <w:rFonts w:ascii="Calibri" w:hAnsi="Calibri"/>
          <w:i/>
          <w:iCs/>
          <w:sz w:val="22"/>
        </w:rPr>
        <w:t>rental subsidies</w:t>
      </w:r>
      <w:r w:rsidRPr="004E50E7">
        <w:rPr>
          <w:rFonts w:ascii="Calibri" w:hAnsi="Calibri"/>
          <w:sz w:val="22"/>
        </w:rPr>
        <w:t xml:space="preserve"> and is </w:t>
      </w:r>
      <w:r w:rsidR="0065314D">
        <w:rPr>
          <w:rFonts w:ascii="Calibri" w:hAnsi="Calibri"/>
          <w:sz w:val="22"/>
        </w:rPr>
        <w:t xml:space="preserve">currently </w:t>
      </w:r>
      <w:r w:rsidRPr="004E50E7">
        <w:rPr>
          <w:rFonts w:ascii="Calibri" w:hAnsi="Calibri"/>
          <w:sz w:val="22"/>
        </w:rPr>
        <w:t xml:space="preserve">assigned 120 Section 8 </w:t>
      </w:r>
      <w:r w:rsidR="0065314D">
        <w:rPr>
          <w:rFonts w:ascii="Calibri" w:hAnsi="Calibri"/>
          <w:sz w:val="22"/>
        </w:rPr>
        <w:t>Housing Choice V</w:t>
      </w:r>
      <w:r w:rsidRPr="004E50E7">
        <w:rPr>
          <w:rFonts w:ascii="Calibri" w:hAnsi="Calibri"/>
          <w:sz w:val="22"/>
        </w:rPr>
        <w:t xml:space="preserve">ouchers.  </w:t>
      </w:r>
      <w:r>
        <w:rPr>
          <w:rFonts w:ascii="Calibri" w:hAnsi="Calibri"/>
          <w:sz w:val="22"/>
        </w:rPr>
        <w:t xml:space="preserve">While these rental subsidies are not eligible for inclusion in the SHI, they nevertheless provide </w:t>
      </w:r>
      <w:r w:rsidR="00135EF7">
        <w:rPr>
          <w:rFonts w:ascii="Calibri" w:hAnsi="Calibri"/>
          <w:sz w:val="22"/>
        </w:rPr>
        <w:t>importan</w:t>
      </w:r>
      <w:r>
        <w:rPr>
          <w:rFonts w:ascii="Calibri" w:hAnsi="Calibri"/>
          <w:sz w:val="22"/>
        </w:rPr>
        <w:t xml:space="preserve">t support for </w:t>
      </w:r>
      <w:r w:rsidRPr="004E50E7">
        <w:rPr>
          <w:rFonts w:ascii="Calibri" w:hAnsi="Calibri"/>
          <w:sz w:val="22"/>
          <w:szCs w:val="22"/>
        </w:rPr>
        <w:t xml:space="preserve">qualifying households renting units in the private housing market, filling the gap between an established market rent – the Fair Market Rent (FMR) – and a portion of the household’s income.  Preference is granted to applicants who reside or are employed in Needham.  Applicants must also have incomes </w:t>
      </w:r>
      <w:r w:rsidR="0065314D">
        <w:rPr>
          <w:rFonts w:ascii="Calibri" w:hAnsi="Calibri"/>
          <w:sz w:val="22"/>
          <w:szCs w:val="22"/>
        </w:rPr>
        <w:t>at or below</w:t>
      </w:r>
      <w:r w:rsidRPr="004E50E7">
        <w:rPr>
          <w:rFonts w:ascii="Calibri" w:hAnsi="Calibri"/>
          <w:sz w:val="22"/>
          <w:szCs w:val="22"/>
        </w:rPr>
        <w:t xml:space="preserve"> 50% of area median income based on </w:t>
      </w:r>
      <w:r>
        <w:rPr>
          <w:rFonts w:ascii="Calibri" w:hAnsi="Calibri"/>
          <w:sz w:val="22"/>
          <w:szCs w:val="22"/>
        </w:rPr>
        <w:t>HUD area</w:t>
      </w:r>
      <w:r w:rsidRPr="004E50E7">
        <w:rPr>
          <w:rFonts w:ascii="Calibri" w:hAnsi="Calibri"/>
          <w:sz w:val="22"/>
          <w:szCs w:val="22"/>
        </w:rPr>
        <w:t xml:space="preserve"> income l</w:t>
      </w:r>
      <w:r>
        <w:rPr>
          <w:rFonts w:ascii="Calibri" w:hAnsi="Calibri"/>
          <w:sz w:val="22"/>
          <w:szCs w:val="22"/>
        </w:rPr>
        <w:t>imits (see Table</w:t>
      </w:r>
      <w:r w:rsidR="00211173">
        <w:rPr>
          <w:rFonts w:ascii="Calibri" w:hAnsi="Calibri"/>
          <w:sz w:val="22"/>
          <w:szCs w:val="22"/>
        </w:rPr>
        <w:t xml:space="preserve"> </w:t>
      </w:r>
      <w:r w:rsidR="00D023D1">
        <w:rPr>
          <w:rFonts w:ascii="Calibri" w:hAnsi="Calibri"/>
          <w:sz w:val="22"/>
          <w:szCs w:val="22"/>
        </w:rPr>
        <w:t>II-</w:t>
      </w:r>
      <w:r>
        <w:rPr>
          <w:rFonts w:ascii="Calibri" w:hAnsi="Calibri"/>
          <w:sz w:val="22"/>
          <w:szCs w:val="22"/>
        </w:rPr>
        <w:t>1), but 75% of an agency’s vouchers are to go to applicants whose incomes do not exceed 30% of area median income</w:t>
      </w:r>
      <w:r w:rsidRPr="004E50E7">
        <w:rPr>
          <w:rFonts w:ascii="Calibri" w:hAnsi="Calibri"/>
          <w:sz w:val="22"/>
          <w:szCs w:val="22"/>
        </w:rPr>
        <w:t xml:space="preserve">. </w:t>
      </w:r>
    </w:p>
    <w:p w14:paraId="4A20C59C" w14:textId="4F877F2C" w:rsidR="00084BC6" w:rsidRDefault="00084BC6" w:rsidP="00084BC6">
      <w:pPr>
        <w:ind w:right="-720"/>
        <w:jc w:val="both"/>
        <w:rPr>
          <w:rFonts w:ascii="Calibri" w:hAnsi="Calibri"/>
          <w:sz w:val="22"/>
          <w:szCs w:val="22"/>
        </w:rPr>
      </w:pPr>
    </w:p>
    <w:p w14:paraId="0E537DE6" w14:textId="25165E10" w:rsidR="00CE0594" w:rsidRPr="00876ECA" w:rsidRDefault="00CE0594" w:rsidP="00CE0594">
      <w:pPr>
        <w:jc w:val="both"/>
        <w:rPr>
          <w:rFonts w:ascii="Calibri" w:hAnsi="Calibri"/>
          <w:b/>
          <w:bCs/>
          <w:color w:val="1F497D" w:themeColor="text2"/>
        </w:rPr>
      </w:pPr>
      <w:r>
        <w:rPr>
          <w:rFonts w:ascii="Calibri" w:hAnsi="Calibri"/>
          <w:b/>
          <w:bCs/>
          <w:color w:val="1F497D" w:themeColor="text2"/>
        </w:rPr>
        <w:t>7</w:t>
      </w:r>
      <w:r w:rsidRPr="00876ECA">
        <w:rPr>
          <w:rFonts w:ascii="Calibri" w:hAnsi="Calibri"/>
          <w:b/>
          <w:bCs/>
          <w:color w:val="1F497D" w:themeColor="text2"/>
        </w:rPr>
        <w:t>.</w:t>
      </w:r>
      <w:r w:rsidRPr="00876ECA">
        <w:rPr>
          <w:rFonts w:ascii="Calibri" w:hAnsi="Calibri"/>
          <w:b/>
          <w:bCs/>
          <w:color w:val="1F497D" w:themeColor="text2"/>
        </w:rPr>
        <w:tab/>
      </w:r>
      <w:r>
        <w:rPr>
          <w:rFonts w:ascii="Calibri" w:hAnsi="Calibri"/>
          <w:b/>
          <w:bCs/>
          <w:color w:val="1F497D" w:themeColor="text2"/>
        </w:rPr>
        <w:t>Priority Housing Needs</w:t>
      </w:r>
      <w:r w:rsidR="00D52AB3">
        <w:rPr>
          <w:rFonts w:ascii="Calibri" w:hAnsi="Calibri"/>
          <w:b/>
          <w:bCs/>
          <w:color w:val="1F497D" w:themeColor="text2"/>
        </w:rPr>
        <w:t xml:space="preserve">  </w:t>
      </w:r>
    </w:p>
    <w:p w14:paraId="506BC51F" w14:textId="1DE0DF18" w:rsidR="00162761" w:rsidRPr="00162761" w:rsidRDefault="00DE29B8" w:rsidP="00162761">
      <w:pPr>
        <w:autoSpaceDE w:val="0"/>
        <w:autoSpaceDN w:val="0"/>
        <w:adjustRightInd w:val="0"/>
        <w:jc w:val="both"/>
        <w:rPr>
          <w:rFonts w:asciiTheme="minorHAnsi" w:eastAsia="Calibri" w:hAnsiTheme="minorHAnsi"/>
          <w:color w:val="000000"/>
          <w:sz w:val="22"/>
          <w:szCs w:val="22"/>
        </w:rPr>
      </w:pPr>
      <w:r w:rsidRPr="00162761">
        <w:rPr>
          <w:rFonts w:ascii="Calibri" w:hAnsi="Calibri"/>
          <w:sz w:val="22"/>
          <w:szCs w:val="22"/>
        </w:rPr>
        <w:t xml:space="preserve">Given the </w:t>
      </w:r>
      <w:r w:rsidR="00CE7798">
        <w:rPr>
          <w:rFonts w:ascii="Calibri" w:hAnsi="Calibri"/>
          <w:sz w:val="22"/>
          <w:szCs w:val="22"/>
        </w:rPr>
        <w:t>high</w:t>
      </w:r>
      <w:r w:rsidRPr="00162761">
        <w:rPr>
          <w:rFonts w:ascii="Calibri" w:hAnsi="Calibri"/>
          <w:sz w:val="22"/>
          <w:szCs w:val="22"/>
        </w:rPr>
        <w:t xml:space="preserve"> numbers of residents who are paying too much for their housing (see Table</w:t>
      </w:r>
      <w:r w:rsidR="007E5CC1" w:rsidRPr="00162761">
        <w:rPr>
          <w:rFonts w:ascii="Calibri" w:hAnsi="Calibri"/>
          <w:sz w:val="22"/>
          <w:szCs w:val="22"/>
        </w:rPr>
        <w:t xml:space="preserve"> </w:t>
      </w:r>
      <w:r w:rsidRPr="00162761">
        <w:rPr>
          <w:rFonts w:ascii="Calibri" w:hAnsi="Calibri"/>
          <w:sz w:val="22"/>
          <w:szCs w:val="22"/>
        </w:rPr>
        <w:t xml:space="preserve">III-41) and </w:t>
      </w:r>
      <w:r w:rsidR="007E5CC1" w:rsidRPr="00162761">
        <w:rPr>
          <w:rFonts w:ascii="Calibri" w:hAnsi="Calibri"/>
          <w:sz w:val="22"/>
          <w:szCs w:val="22"/>
        </w:rPr>
        <w:t>growing</w:t>
      </w:r>
      <w:r w:rsidRPr="00162761">
        <w:rPr>
          <w:rFonts w:ascii="Calibri" w:hAnsi="Calibri"/>
          <w:sz w:val="22"/>
          <w:szCs w:val="22"/>
        </w:rPr>
        <w:t xml:space="preserve"> affordability gaps, there is a pressing need to produce more housing </w:t>
      </w:r>
      <w:r w:rsidR="005A5B70" w:rsidRPr="00162761">
        <w:rPr>
          <w:rFonts w:ascii="Calibri" w:hAnsi="Calibri"/>
          <w:sz w:val="22"/>
          <w:szCs w:val="22"/>
        </w:rPr>
        <w:t xml:space="preserve">that is affordable </w:t>
      </w:r>
      <w:r w:rsidRPr="00162761">
        <w:rPr>
          <w:rFonts w:ascii="Calibri" w:hAnsi="Calibri"/>
          <w:sz w:val="22"/>
          <w:szCs w:val="22"/>
        </w:rPr>
        <w:t>in Needham</w:t>
      </w:r>
      <w:r w:rsidR="00490877" w:rsidRPr="00162761">
        <w:rPr>
          <w:rFonts w:ascii="Calibri" w:hAnsi="Calibri"/>
          <w:sz w:val="22"/>
          <w:szCs w:val="22"/>
        </w:rPr>
        <w:t xml:space="preserve">, </w:t>
      </w:r>
      <w:r w:rsidR="007E5CC1" w:rsidRPr="00162761">
        <w:rPr>
          <w:rFonts w:ascii="Calibri" w:hAnsi="Calibri"/>
          <w:sz w:val="22"/>
          <w:szCs w:val="22"/>
        </w:rPr>
        <w:t>not only the most financially</w:t>
      </w:r>
      <w:r w:rsidR="00490877" w:rsidRPr="00162761">
        <w:rPr>
          <w:rFonts w:ascii="Calibri" w:hAnsi="Calibri"/>
          <w:sz w:val="22"/>
          <w:szCs w:val="22"/>
        </w:rPr>
        <w:t>-</w:t>
      </w:r>
      <w:r w:rsidR="007E5CC1" w:rsidRPr="00162761">
        <w:rPr>
          <w:rFonts w:ascii="Calibri" w:hAnsi="Calibri"/>
          <w:sz w:val="22"/>
          <w:szCs w:val="22"/>
        </w:rPr>
        <w:t xml:space="preserve">vulnerable residents, but also </w:t>
      </w:r>
      <w:r w:rsidR="00490877" w:rsidRPr="00162761">
        <w:rPr>
          <w:rFonts w:ascii="Calibri" w:hAnsi="Calibri"/>
          <w:sz w:val="22"/>
          <w:szCs w:val="22"/>
        </w:rPr>
        <w:t xml:space="preserve">for </w:t>
      </w:r>
      <w:r w:rsidR="007E5CC1" w:rsidRPr="00162761">
        <w:rPr>
          <w:rFonts w:ascii="Calibri" w:hAnsi="Calibri"/>
          <w:sz w:val="22"/>
          <w:szCs w:val="22"/>
        </w:rPr>
        <w:t xml:space="preserve">those who may not meet all affordable housing requirements but are still struggling to remain in the community. </w:t>
      </w:r>
      <w:r w:rsidR="00162761">
        <w:rPr>
          <w:rFonts w:ascii="Calibri" w:hAnsi="Calibri"/>
          <w:sz w:val="22"/>
          <w:szCs w:val="22"/>
        </w:rPr>
        <w:t xml:space="preserve"> </w:t>
      </w:r>
      <w:r w:rsidR="00162761" w:rsidRPr="00162761">
        <w:rPr>
          <w:rFonts w:asciiTheme="minorHAnsi" w:eastAsia="Calibri" w:hAnsiTheme="minorHAnsi"/>
          <w:color w:val="000000"/>
          <w:sz w:val="22"/>
          <w:szCs w:val="22"/>
        </w:rPr>
        <w:t xml:space="preserve">Needham’s Council on Aging and Public Health Department prepared an Assessment of Housing and Transit Options for Needham Seniors in August 2016 that </w:t>
      </w:r>
      <w:r w:rsidR="00162761">
        <w:rPr>
          <w:rFonts w:asciiTheme="minorHAnsi" w:eastAsia="Calibri" w:hAnsiTheme="minorHAnsi"/>
          <w:color w:val="000000"/>
          <w:sz w:val="22"/>
          <w:szCs w:val="22"/>
        </w:rPr>
        <w:t xml:space="preserve">suggested that the affordable housing problem is greatest for moderate-income people who do not qualify for subsidized housing but cannot afford market rate housing.  Nevertheless, it is important to note that even if a household qualifies for subsidized housing, there are not </w:t>
      </w:r>
      <w:r w:rsidR="00D774F5">
        <w:rPr>
          <w:rFonts w:asciiTheme="minorHAnsi" w:eastAsia="Calibri" w:hAnsiTheme="minorHAnsi"/>
          <w:color w:val="000000"/>
          <w:sz w:val="22"/>
          <w:szCs w:val="22"/>
        </w:rPr>
        <w:t xml:space="preserve">nearly </w:t>
      </w:r>
      <w:r w:rsidR="00162761">
        <w:rPr>
          <w:rFonts w:asciiTheme="minorHAnsi" w:eastAsia="Calibri" w:hAnsiTheme="minorHAnsi"/>
          <w:color w:val="000000"/>
          <w:sz w:val="22"/>
          <w:szCs w:val="22"/>
        </w:rPr>
        <w:t xml:space="preserve">enough units to meet all of the need nor demand. </w:t>
      </w:r>
    </w:p>
    <w:p w14:paraId="6872906E" w14:textId="51760AA1" w:rsidR="00162761" w:rsidRDefault="00162761" w:rsidP="00DE29B8">
      <w:pPr>
        <w:pStyle w:val="CommentText"/>
        <w:tabs>
          <w:tab w:val="left" w:pos="0"/>
        </w:tabs>
        <w:spacing w:line="240" w:lineRule="auto"/>
        <w:jc w:val="both"/>
        <w:rPr>
          <w:rFonts w:ascii="Calibri" w:hAnsi="Calibri"/>
        </w:rPr>
      </w:pPr>
    </w:p>
    <w:p w14:paraId="3DC01D46" w14:textId="704B3196" w:rsidR="00DE29B8" w:rsidRDefault="00DE29B8" w:rsidP="00DE29B8">
      <w:pPr>
        <w:pStyle w:val="CommentText"/>
        <w:tabs>
          <w:tab w:val="left" w:pos="0"/>
        </w:tabs>
        <w:spacing w:line="240" w:lineRule="auto"/>
        <w:jc w:val="both"/>
        <w:rPr>
          <w:rFonts w:ascii="Calibri" w:hAnsi="Calibri"/>
        </w:rPr>
      </w:pPr>
      <w:r>
        <w:rPr>
          <w:rFonts w:ascii="Calibri" w:hAnsi="Calibri"/>
        </w:rPr>
        <w:t>The major obstacle to meeting underserved needs is the gap between the</w:t>
      </w:r>
      <w:r w:rsidR="00D774F5">
        <w:rPr>
          <w:rFonts w:ascii="Calibri" w:hAnsi="Calibri"/>
        </w:rPr>
        <w:t>se</w:t>
      </w:r>
      <w:r>
        <w:rPr>
          <w:rFonts w:ascii="Calibri" w:hAnsi="Calibri"/>
        </w:rPr>
        <w:t xml:space="preserve"> need</w:t>
      </w:r>
      <w:r w:rsidR="00D774F5">
        <w:rPr>
          <w:rFonts w:ascii="Calibri" w:hAnsi="Calibri"/>
        </w:rPr>
        <w:t>s</w:t>
      </w:r>
      <w:r>
        <w:rPr>
          <w:rFonts w:ascii="Calibri" w:hAnsi="Calibri"/>
        </w:rPr>
        <w:t xml:space="preserve"> and the resources available, including</w:t>
      </w:r>
      <w:r w:rsidR="00373DE9">
        <w:rPr>
          <w:rFonts w:ascii="Calibri" w:hAnsi="Calibri"/>
        </w:rPr>
        <w:t xml:space="preserve"> real</w:t>
      </w:r>
      <w:r>
        <w:rPr>
          <w:rFonts w:ascii="Calibri" w:hAnsi="Calibri"/>
        </w:rPr>
        <w:t xml:space="preserve"> property</w:t>
      </w:r>
      <w:r w:rsidR="00490877">
        <w:rPr>
          <w:rFonts w:ascii="Calibri" w:hAnsi="Calibri"/>
        </w:rPr>
        <w:t>,</w:t>
      </w:r>
      <w:r w:rsidR="007E5CC1">
        <w:rPr>
          <w:rFonts w:ascii="Calibri" w:hAnsi="Calibri"/>
        </w:rPr>
        <w:t xml:space="preserve"> which has been</w:t>
      </w:r>
      <w:r w:rsidR="005A5B70">
        <w:rPr>
          <w:rFonts w:ascii="Calibri" w:hAnsi="Calibri"/>
        </w:rPr>
        <w:t xml:space="preserve"> </w:t>
      </w:r>
      <w:r>
        <w:rPr>
          <w:rFonts w:ascii="Calibri" w:hAnsi="Calibri"/>
        </w:rPr>
        <w:t>exacerbated by</w:t>
      </w:r>
      <w:r w:rsidR="00747185">
        <w:rPr>
          <w:rFonts w:ascii="Calibri" w:hAnsi="Calibri"/>
        </w:rPr>
        <w:t xml:space="preserve"> unprecedently high</w:t>
      </w:r>
      <w:r>
        <w:rPr>
          <w:rFonts w:ascii="Calibri" w:hAnsi="Calibri"/>
        </w:rPr>
        <w:t xml:space="preserve"> housing prices</w:t>
      </w:r>
      <w:r w:rsidR="00FD255A">
        <w:rPr>
          <w:rFonts w:ascii="Calibri" w:hAnsi="Calibri"/>
        </w:rPr>
        <w:t>.  C</w:t>
      </w:r>
      <w:r>
        <w:rPr>
          <w:rFonts w:ascii="Calibri" w:hAnsi="Calibri"/>
        </w:rPr>
        <w:t>onstraining regulations</w:t>
      </w:r>
      <w:r w:rsidR="005A5B70">
        <w:rPr>
          <w:rFonts w:ascii="Calibri" w:hAnsi="Calibri"/>
        </w:rPr>
        <w:t>, low interest rates, and the pandemic</w:t>
      </w:r>
      <w:r w:rsidR="00FD255A">
        <w:rPr>
          <w:rFonts w:ascii="Calibri" w:hAnsi="Calibri"/>
        </w:rPr>
        <w:t xml:space="preserve"> have also contributed to rising housing prices</w:t>
      </w:r>
      <w:r w:rsidR="005A5B70">
        <w:rPr>
          <w:rFonts w:ascii="Calibri" w:hAnsi="Calibri"/>
        </w:rPr>
        <w:t>.</w:t>
      </w:r>
      <w:r w:rsidR="00FD255A">
        <w:rPr>
          <w:rFonts w:ascii="Calibri" w:hAnsi="Calibri"/>
        </w:rPr>
        <w:t xml:space="preserve">  </w:t>
      </w:r>
    </w:p>
    <w:p w14:paraId="2F265FCB" w14:textId="6EBC1263" w:rsidR="007E5CC1" w:rsidRDefault="007E5CC1" w:rsidP="00DE29B8">
      <w:pPr>
        <w:pStyle w:val="CommentText"/>
        <w:tabs>
          <w:tab w:val="left" w:pos="0"/>
        </w:tabs>
        <w:spacing w:line="240" w:lineRule="auto"/>
        <w:jc w:val="both"/>
        <w:rPr>
          <w:rFonts w:ascii="Calibri" w:hAnsi="Calibri"/>
        </w:rPr>
      </w:pPr>
    </w:p>
    <w:p w14:paraId="4D36225C" w14:textId="12AF64B9" w:rsidR="00747185" w:rsidRPr="00747185" w:rsidRDefault="00747185" w:rsidP="00747185">
      <w:pPr>
        <w:pStyle w:val="CommentText"/>
        <w:pBdr>
          <w:top w:val="single" w:sz="4" w:space="1" w:color="auto"/>
          <w:left w:val="single" w:sz="4" w:space="4" w:color="auto"/>
          <w:bottom w:val="single" w:sz="4" w:space="1" w:color="auto"/>
          <w:right w:val="single" w:sz="4" w:space="4" w:color="auto"/>
        </w:pBdr>
        <w:shd w:val="clear" w:color="auto" w:fill="B6DDE8" w:themeFill="accent5" w:themeFillTint="66"/>
        <w:tabs>
          <w:tab w:val="left" w:pos="0"/>
        </w:tabs>
        <w:spacing w:line="240" w:lineRule="auto"/>
        <w:jc w:val="center"/>
        <w:rPr>
          <w:rFonts w:ascii="Calibri" w:hAnsi="Calibri"/>
          <w:sz w:val="24"/>
        </w:rPr>
      </w:pPr>
      <w:r w:rsidRPr="00747185">
        <w:rPr>
          <w:rFonts w:ascii="Calibri" w:hAnsi="Calibri"/>
          <w:sz w:val="24"/>
        </w:rPr>
        <w:t>Fundamental to the rise in housing prices is the imbalance between housing supply and demand</w:t>
      </w:r>
      <w:r>
        <w:rPr>
          <w:rFonts w:ascii="Calibri" w:hAnsi="Calibri"/>
          <w:sz w:val="24"/>
        </w:rPr>
        <w:t>.  This</w:t>
      </w:r>
      <w:r w:rsidRPr="00747185">
        <w:rPr>
          <w:rFonts w:ascii="Calibri" w:hAnsi="Calibri"/>
          <w:sz w:val="24"/>
        </w:rPr>
        <w:t xml:space="preserve"> is not just a local problem but one that is occurring throughout much of the Commonwealth, the Greater Boston area in particular.</w:t>
      </w:r>
      <w:r w:rsidR="00490877">
        <w:rPr>
          <w:rFonts w:ascii="Calibri" w:hAnsi="Calibri"/>
          <w:sz w:val="24"/>
        </w:rPr>
        <w:t xml:space="preserve">  Regional solutions to boosting housing production are needed, albeit challenging given home rule which </w:t>
      </w:r>
      <w:r w:rsidR="00CE7798">
        <w:rPr>
          <w:rFonts w:ascii="Calibri" w:hAnsi="Calibri"/>
          <w:sz w:val="24"/>
        </w:rPr>
        <w:t>authorizes local bylaw enactment in compliance with state oversight</w:t>
      </w:r>
      <w:r w:rsidR="00490877">
        <w:rPr>
          <w:rFonts w:ascii="Calibri" w:hAnsi="Calibri"/>
          <w:sz w:val="24"/>
        </w:rPr>
        <w:t>.</w:t>
      </w:r>
    </w:p>
    <w:p w14:paraId="401A54DB" w14:textId="77777777" w:rsidR="00747185" w:rsidRDefault="00747185" w:rsidP="00DE29B8">
      <w:pPr>
        <w:pStyle w:val="CommentText"/>
        <w:tabs>
          <w:tab w:val="left" w:pos="0"/>
        </w:tabs>
        <w:spacing w:line="240" w:lineRule="auto"/>
        <w:jc w:val="both"/>
        <w:rPr>
          <w:rFonts w:ascii="Calibri" w:hAnsi="Calibri"/>
        </w:rPr>
      </w:pPr>
    </w:p>
    <w:p w14:paraId="5BF27D4D" w14:textId="253094BF" w:rsidR="00DE29B8" w:rsidRDefault="00490877" w:rsidP="00DE29B8">
      <w:pPr>
        <w:pStyle w:val="CommentText"/>
        <w:tabs>
          <w:tab w:val="left" w:pos="0"/>
        </w:tabs>
        <w:spacing w:line="240" w:lineRule="auto"/>
        <w:jc w:val="both"/>
        <w:rPr>
          <w:rFonts w:ascii="Calibri" w:hAnsi="Calibri"/>
        </w:rPr>
      </w:pPr>
      <w:r>
        <w:rPr>
          <w:rFonts w:ascii="Calibri" w:hAnsi="Calibri"/>
        </w:rPr>
        <w:t xml:space="preserve">This Housing Plan will </w:t>
      </w:r>
      <w:r w:rsidR="002D1326">
        <w:rPr>
          <w:rFonts w:ascii="Calibri" w:hAnsi="Calibri"/>
        </w:rPr>
        <w:t xml:space="preserve">provide a road map for devising and implementing </w:t>
      </w:r>
      <w:r w:rsidR="00DE29B8">
        <w:rPr>
          <w:rFonts w:ascii="Calibri" w:hAnsi="Calibri"/>
        </w:rPr>
        <w:t>strategies t</w:t>
      </w:r>
      <w:r w:rsidR="00E96CEB">
        <w:rPr>
          <w:rFonts w:ascii="Calibri" w:hAnsi="Calibri"/>
        </w:rPr>
        <w:t>o</w:t>
      </w:r>
      <w:r w:rsidR="00DE29B8">
        <w:rPr>
          <w:rFonts w:ascii="Calibri" w:hAnsi="Calibri"/>
        </w:rPr>
        <w:t xml:space="preserve"> preserve and produce additional community housing options, directing development to appropriate locations and target populations.  </w:t>
      </w:r>
    </w:p>
    <w:p w14:paraId="00BDCF70" w14:textId="77777777" w:rsidR="00DE29B8" w:rsidRDefault="00DE29B8" w:rsidP="00DE29B8">
      <w:pPr>
        <w:pStyle w:val="CommentText"/>
        <w:tabs>
          <w:tab w:val="left" w:pos="0"/>
        </w:tabs>
        <w:spacing w:line="240" w:lineRule="auto"/>
        <w:rPr>
          <w:rFonts w:ascii="Calibri" w:hAnsi="Calibri"/>
        </w:rPr>
      </w:pPr>
    </w:p>
    <w:p w14:paraId="5697B162" w14:textId="634A8745" w:rsidR="00D52AB3" w:rsidRDefault="00DE29B8" w:rsidP="005A5B70">
      <w:pPr>
        <w:pStyle w:val="BodyText2"/>
        <w:tabs>
          <w:tab w:val="left" w:pos="0"/>
        </w:tabs>
        <w:spacing w:after="0" w:line="240" w:lineRule="auto"/>
        <w:jc w:val="both"/>
        <w:rPr>
          <w:rStyle w:val="Emphasis"/>
          <w:rFonts w:ascii="Calibri" w:hAnsi="Calibri"/>
          <w:sz w:val="22"/>
          <w:szCs w:val="22"/>
        </w:rPr>
      </w:pPr>
      <w:r w:rsidRPr="00207ABE">
        <w:rPr>
          <w:rStyle w:val="Emphasis"/>
          <w:rFonts w:ascii="Calibri" w:hAnsi="Calibri"/>
          <w:sz w:val="22"/>
          <w:szCs w:val="22"/>
        </w:rPr>
        <w:t xml:space="preserve">Based on input from a wide variety of sources including updated census data, market information, </w:t>
      </w:r>
      <w:r w:rsidR="002D1326">
        <w:rPr>
          <w:rStyle w:val="Emphasis"/>
          <w:rFonts w:ascii="Calibri" w:hAnsi="Calibri"/>
          <w:sz w:val="22"/>
          <w:szCs w:val="22"/>
        </w:rPr>
        <w:t xml:space="preserve">input from local stakeholders, and </w:t>
      </w:r>
      <w:r w:rsidRPr="00207ABE">
        <w:rPr>
          <w:rStyle w:val="Emphasis"/>
          <w:rFonts w:ascii="Calibri" w:hAnsi="Calibri"/>
          <w:sz w:val="22"/>
          <w:szCs w:val="22"/>
        </w:rPr>
        <w:t>community meetings</w:t>
      </w:r>
      <w:r w:rsidR="00D774F5">
        <w:rPr>
          <w:rStyle w:val="Emphasis"/>
          <w:rFonts w:ascii="Calibri" w:hAnsi="Calibri"/>
          <w:sz w:val="22"/>
          <w:szCs w:val="22"/>
        </w:rPr>
        <w:t>;</w:t>
      </w:r>
      <w:r w:rsidRPr="00207ABE">
        <w:rPr>
          <w:rStyle w:val="Emphasis"/>
          <w:rFonts w:ascii="Calibri" w:hAnsi="Calibri"/>
          <w:sz w:val="22"/>
          <w:szCs w:val="22"/>
        </w:rPr>
        <w:t xml:space="preserve"> the following</w:t>
      </w:r>
      <w:r w:rsidR="002D1326">
        <w:rPr>
          <w:rStyle w:val="Emphasis"/>
          <w:rFonts w:ascii="Calibri" w:hAnsi="Calibri"/>
          <w:sz w:val="22"/>
          <w:szCs w:val="22"/>
        </w:rPr>
        <w:t xml:space="preserve"> prio</w:t>
      </w:r>
      <w:r w:rsidR="00997CF1">
        <w:rPr>
          <w:rStyle w:val="Emphasis"/>
          <w:rFonts w:ascii="Calibri" w:hAnsi="Calibri"/>
          <w:sz w:val="22"/>
          <w:szCs w:val="22"/>
        </w:rPr>
        <w:t>r</w:t>
      </w:r>
      <w:r w:rsidR="002D1326">
        <w:rPr>
          <w:rStyle w:val="Emphasis"/>
          <w:rFonts w:ascii="Calibri" w:hAnsi="Calibri"/>
          <w:sz w:val="22"/>
          <w:szCs w:val="22"/>
        </w:rPr>
        <w:t>ity</w:t>
      </w:r>
      <w:r w:rsidRPr="00207ABE">
        <w:rPr>
          <w:rStyle w:val="Emphasis"/>
          <w:rFonts w:ascii="Calibri" w:hAnsi="Calibri"/>
          <w:sz w:val="22"/>
          <w:szCs w:val="22"/>
        </w:rPr>
        <w:t xml:space="preserve"> housing needs have been </w:t>
      </w:r>
      <w:r w:rsidRPr="00207ABE">
        <w:rPr>
          <w:rStyle w:val="Emphasis"/>
          <w:rFonts w:ascii="Calibri" w:hAnsi="Calibri"/>
          <w:sz w:val="22"/>
          <w:szCs w:val="22"/>
        </w:rPr>
        <w:lastRenderedPageBreak/>
        <w:t>identified</w:t>
      </w:r>
      <w:r w:rsidR="00D52AB3">
        <w:rPr>
          <w:rStyle w:val="Emphasis"/>
          <w:rFonts w:ascii="Calibri" w:hAnsi="Calibri"/>
          <w:sz w:val="22"/>
          <w:szCs w:val="22"/>
        </w:rPr>
        <w:t xml:space="preserve">.  It should be noted that this information will be augmented with input from Community Housing Survey </w:t>
      </w:r>
      <w:r w:rsidR="00AF47D0">
        <w:rPr>
          <w:rStyle w:val="Emphasis"/>
          <w:rFonts w:ascii="Calibri" w:hAnsi="Calibri"/>
          <w:sz w:val="22"/>
          <w:szCs w:val="22"/>
        </w:rPr>
        <w:t>to be issued in late April 2022</w:t>
      </w:r>
      <w:r w:rsidR="00D52AB3">
        <w:rPr>
          <w:rStyle w:val="Emphasis"/>
          <w:rFonts w:ascii="Calibri" w:hAnsi="Calibri"/>
          <w:sz w:val="22"/>
          <w:szCs w:val="22"/>
        </w:rPr>
        <w:t xml:space="preserve">. </w:t>
      </w:r>
    </w:p>
    <w:p w14:paraId="0CCBB4B6" w14:textId="147CE401" w:rsidR="00DE29B8" w:rsidRPr="00207ABE" w:rsidRDefault="00DE29B8" w:rsidP="005A5B70">
      <w:pPr>
        <w:pStyle w:val="BodyText2"/>
        <w:tabs>
          <w:tab w:val="left" w:pos="0"/>
        </w:tabs>
        <w:spacing w:after="0" w:line="240" w:lineRule="auto"/>
        <w:jc w:val="both"/>
        <w:rPr>
          <w:rStyle w:val="Emphasis"/>
          <w:rFonts w:ascii="Calibri" w:hAnsi="Calibri"/>
          <w:b/>
          <w:i w:val="0"/>
          <w:sz w:val="22"/>
          <w:szCs w:val="22"/>
        </w:rPr>
      </w:pPr>
    </w:p>
    <w:p w14:paraId="7A134550" w14:textId="635CAC66" w:rsidR="00DE29B8" w:rsidRPr="000563DD" w:rsidRDefault="00DE29B8" w:rsidP="00DE29B8">
      <w:pPr>
        <w:pStyle w:val="BodyTextIndent"/>
        <w:tabs>
          <w:tab w:val="left" w:pos="0"/>
        </w:tabs>
        <w:spacing w:after="0"/>
        <w:ind w:left="0"/>
        <w:rPr>
          <w:rFonts w:asciiTheme="minorHAnsi" w:hAnsiTheme="minorHAnsi"/>
          <w:b/>
          <w:i/>
          <w:sz w:val="22"/>
          <w:szCs w:val="22"/>
        </w:rPr>
      </w:pPr>
      <w:r w:rsidRPr="000563DD">
        <w:rPr>
          <w:rFonts w:asciiTheme="minorHAnsi" w:hAnsiTheme="minorHAnsi"/>
          <w:b/>
          <w:i/>
          <w:sz w:val="22"/>
          <w:szCs w:val="22"/>
        </w:rPr>
        <w:t xml:space="preserve">Rental housing is the </w:t>
      </w:r>
      <w:r w:rsidR="00DE60F9">
        <w:rPr>
          <w:rFonts w:asciiTheme="minorHAnsi" w:hAnsiTheme="minorHAnsi"/>
          <w:b/>
          <w:i/>
          <w:sz w:val="22"/>
          <w:szCs w:val="22"/>
        </w:rPr>
        <w:t>greatest priority</w:t>
      </w:r>
    </w:p>
    <w:p w14:paraId="505703ED" w14:textId="0F8FF3CF" w:rsidR="00DE29B8" w:rsidRDefault="00DE29B8" w:rsidP="00E96CEB">
      <w:pPr>
        <w:pStyle w:val="BodyText2"/>
        <w:tabs>
          <w:tab w:val="left" w:pos="0"/>
        </w:tabs>
        <w:spacing w:after="0" w:line="240" w:lineRule="auto"/>
        <w:ind w:right="86"/>
        <w:jc w:val="both"/>
        <w:rPr>
          <w:rFonts w:ascii="Calibri" w:hAnsi="Calibri"/>
          <w:sz w:val="22"/>
          <w:szCs w:val="22"/>
        </w:rPr>
      </w:pPr>
      <w:r w:rsidRPr="00207ABE">
        <w:rPr>
          <w:rFonts w:ascii="Calibri" w:hAnsi="Calibri"/>
          <w:sz w:val="22"/>
          <w:szCs w:val="22"/>
        </w:rPr>
        <w:t xml:space="preserve">Both rental and ownership housing are </w:t>
      </w:r>
      <w:r w:rsidR="00D774F5">
        <w:rPr>
          <w:rFonts w:ascii="Calibri" w:hAnsi="Calibri"/>
          <w:sz w:val="22"/>
          <w:szCs w:val="22"/>
        </w:rPr>
        <w:t>necessary</w:t>
      </w:r>
      <w:r w:rsidRPr="00207ABE">
        <w:rPr>
          <w:rFonts w:ascii="Calibri" w:hAnsi="Calibri"/>
          <w:sz w:val="22"/>
          <w:szCs w:val="22"/>
        </w:rPr>
        <w:t xml:space="preserve"> to encourage a mix of housing types in response to diverse populations and household needs.  There is, however, a more compelling case for rental unit</w:t>
      </w:r>
      <w:r w:rsidR="00E96CEB">
        <w:rPr>
          <w:rFonts w:ascii="Calibri" w:hAnsi="Calibri"/>
          <w:sz w:val="22"/>
          <w:szCs w:val="22"/>
        </w:rPr>
        <w:t xml:space="preserve"> creation</w:t>
      </w:r>
      <w:r w:rsidRPr="00207ABE">
        <w:rPr>
          <w:rFonts w:ascii="Calibri" w:hAnsi="Calibri"/>
          <w:sz w:val="22"/>
          <w:szCs w:val="22"/>
        </w:rPr>
        <w:t xml:space="preserve"> based on the following considerations:</w:t>
      </w:r>
    </w:p>
    <w:p w14:paraId="507B68B5" w14:textId="77777777" w:rsidR="00E96CEB" w:rsidRDefault="00E96CEB" w:rsidP="00E96CEB">
      <w:pPr>
        <w:pStyle w:val="BodyText2"/>
        <w:tabs>
          <w:tab w:val="left" w:pos="0"/>
        </w:tabs>
        <w:spacing w:after="0" w:line="240" w:lineRule="auto"/>
        <w:ind w:right="86"/>
        <w:jc w:val="both"/>
        <w:rPr>
          <w:rFonts w:ascii="Calibri" w:hAnsi="Calibri"/>
          <w:b/>
          <w:sz w:val="22"/>
          <w:szCs w:val="22"/>
        </w:rPr>
      </w:pPr>
    </w:p>
    <w:p w14:paraId="3680BF39" w14:textId="77777777" w:rsidR="00DE29B8"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sidRPr="00997FF0">
        <w:rPr>
          <w:rFonts w:ascii="Calibri" w:hAnsi="Calibri"/>
          <w:sz w:val="22"/>
        </w:rPr>
        <w:t>Target the needs of the community’s most vulnerable residents with very limited financial means as rental housing is typically more affordable and requires less up-front cash</w:t>
      </w:r>
      <w:r>
        <w:rPr>
          <w:rFonts w:ascii="Calibri" w:hAnsi="Calibri"/>
          <w:sz w:val="22"/>
        </w:rPr>
        <w:t>.</w:t>
      </w:r>
    </w:p>
    <w:p w14:paraId="0434D0D7" w14:textId="70939FCD" w:rsidR="00DE29B8"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Pr>
          <w:rFonts w:ascii="Calibri" w:hAnsi="Calibri"/>
          <w:sz w:val="22"/>
        </w:rPr>
        <w:t xml:space="preserve">Promote greater housing diversity as </w:t>
      </w:r>
      <w:r w:rsidR="00493E75">
        <w:rPr>
          <w:rFonts w:ascii="Calibri" w:hAnsi="Calibri"/>
          <w:sz w:val="22"/>
        </w:rPr>
        <w:t>84</w:t>
      </w:r>
      <w:r w:rsidR="00AF47D0">
        <w:rPr>
          <w:rFonts w:ascii="Calibri" w:hAnsi="Calibri"/>
          <w:sz w:val="22"/>
        </w:rPr>
        <w:t>.5</w:t>
      </w:r>
      <w:r>
        <w:rPr>
          <w:rFonts w:ascii="Calibri" w:hAnsi="Calibri"/>
          <w:sz w:val="22"/>
        </w:rPr>
        <w:t xml:space="preserve">% of </w:t>
      </w:r>
      <w:r w:rsidR="00493E75">
        <w:rPr>
          <w:rFonts w:ascii="Calibri" w:hAnsi="Calibri"/>
          <w:sz w:val="22"/>
        </w:rPr>
        <w:t>Needham</w:t>
      </w:r>
      <w:r>
        <w:rPr>
          <w:rFonts w:ascii="Calibri" w:hAnsi="Calibri"/>
          <w:sz w:val="22"/>
        </w:rPr>
        <w:t>’s housing stock</w:t>
      </w:r>
      <w:r w:rsidR="00493E75">
        <w:rPr>
          <w:rFonts w:ascii="Calibri" w:hAnsi="Calibri"/>
          <w:sz w:val="22"/>
        </w:rPr>
        <w:t xml:space="preserve"> is owner-occupied and 82</w:t>
      </w:r>
      <w:r w:rsidR="00AF47D0">
        <w:rPr>
          <w:rFonts w:ascii="Calibri" w:hAnsi="Calibri"/>
          <w:sz w:val="22"/>
        </w:rPr>
        <w:t>.7</w:t>
      </w:r>
      <w:r w:rsidR="00493E75">
        <w:rPr>
          <w:rFonts w:ascii="Calibri" w:hAnsi="Calibri"/>
          <w:sz w:val="22"/>
        </w:rPr>
        <w:t>%</w:t>
      </w:r>
      <w:r>
        <w:rPr>
          <w:rFonts w:ascii="Calibri" w:hAnsi="Calibri"/>
          <w:sz w:val="22"/>
        </w:rPr>
        <w:t xml:space="preserve"> involves single-family homes.  More housing options are necessary to meet the needs of local workers who are priced out of the housing market, people who grew up in </w:t>
      </w:r>
      <w:r w:rsidR="00493E75">
        <w:rPr>
          <w:rFonts w:ascii="Calibri" w:hAnsi="Calibri"/>
          <w:sz w:val="22"/>
        </w:rPr>
        <w:t>Needham</w:t>
      </w:r>
      <w:r>
        <w:rPr>
          <w:rFonts w:ascii="Calibri" w:hAnsi="Calibri"/>
          <w:sz w:val="22"/>
        </w:rPr>
        <w:t xml:space="preserve"> and want </w:t>
      </w:r>
      <w:r w:rsidR="00C97D6B">
        <w:rPr>
          <w:rFonts w:ascii="Calibri" w:hAnsi="Calibri"/>
          <w:sz w:val="22"/>
        </w:rPr>
        <w:t>to remain in the community</w:t>
      </w:r>
      <w:r>
        <w:rPr>
          <w:rFonts w:ascii="Calibri" w:hAnsi="Calibri"/>
          <w:sz w:val="22"/>
        </w:rPr>
        <w:t>, and empty nesters, for example.</w:t>
      </w:r>
    </w:p>
    <w:p w14:paraId="69DA20BC" w14:textId="77777777" w:rsidR="00D774F5" w:rsidRDefault="00D774F5" w:rsidP="00D774F5">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Pr>
          <w:rFonts w:ascii="Calibri" w:hAnsi="Calibri"/>
          <w:sz w:val="22"/>
        </w:rPr>
        <w:t>Leverage other funds, as state and federal resources are almost exclusively directed to rental housing development, family rentals in particular, unless the municipality has been designated as a Gateway City or has qualified low- and moderate-income census tracts (Needham does not).</w:t>
      </w:r>
    </w:p>
    <w:p w14:paraId="793C877E" w14:textId="2CC74BC0" w:rsidR="00DE29B8"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sidRPr="00E03374">
        <w:rPr>
          <w:rFonts w:ascii="Calibri" w:hAnsi="Calibri"/>
          <w:sz w:val="22"/>
        </w:rPr>
        <w:t xml:space="preserve">Invest </w:t>
      </w:r>
      <w:r w:rsidR="00D774F5">
        <w:rPr>
          <w:rFonts w:ascii="Calibri" w:hAnsi="Calibri"/>
          <w:sz w:val="22"/>
        </w:rPr>
        <w:t>locally-available</w:t>
      </w:r>
      <w:r>
        <w:rPr>
          <w:rFonts w:ascii="Calibri" w:hAnsi="Calibri"/>
          <w:sz w:val="22"/>
        </w:rPr>
        <w:t xml:space="preserve"> </w:t>
      </w:r>
      <w:r w:rsidRPr="00E03374">
        <w:rPr>
          <w:rFonts w:ascii="Calibri" w:hAnsi="Calibri"/>
          <w:sz w:val="22"/>
        </w:rPr>
        <w:t>subsidy funds</w:t>
      </w:r>
      <w:r>
        <w:rPr>
          <w:rFonts w:ascii="Calibri" w:hAnsi="Calibri"/>
          <w:sz w:val="22"/>
        </w:rPr>
        <w:t xml:space="preserve"> (e.g.</w:t>
      </w:r>
      <w:r w:rsidR="002D1326">
        <w:rPr>
          <w:rFonts w:ascii="Calibri" w:hAnsi="Calibri"/>
          <w:sz w:val="22"/>
        </w:rPr>
        <w:t>,</w:t>
      </w:r>
      <w:r>
        <w:rPr>
          <w:rFonts w:ascii="Calibri" w:hAnsi="Calibri"/>
          <w:sz w:val="22"/>
        </w:rPr>
        <w:t xml:space="preserve"> CPA</w:t>
      </w:r>
      <w:r w:rsidR="00D774F5">
        <w:rPr>
          <w:rFonts w:ascii="Calibri" w:hAnsi="Calibri"/>
          <w:sz w:val="22"/>
        </w:rPr>
        <w:t>,</w:t>
      </w:r>
      <w:r>
        <w:rPr>
          <w:rFonts w:ascii="Calibri" w:hAnsi="Calibri"/>
          <w:sz w:val="22"/>
        </w:rPr>
        <w:t xml:space="preserve"> </w:t>
      </w:r>
      <w:r w:rsidR="00493E75">
        <w:rPr>
          <w:rFonts w:ascii="Calibri" w:hAnsi="Calibri"/>
          <w:sz w:val="22"/>
        </w:rPr>
        <w:t>Needham</w:t>
      </w:r>
      <w:r>
        <w:rPr>
          <w:rFonts w:ascii="Calibri" w:hAnsi="Calibri"/>
          <w:sz w:val="22"/>
        </w:rPr>
        <w:t xml:space="preserve"> Affordable Housing </w:t>
      </w:r>
      <w:r w:rsidR="00493E75">
        <w:rPr>
          <w:rFonts w:ascii="Calibri" w:hAnsi="Calibri"/>
          <w:sz w:val="22"/>
        </w:rPr>
        <w:t xml:space="preserve">Trust </w:t>
      </w:r>
      <w:r>
        <w:rPr>
          <w:rFonts w:ascii="Calibri" w:hAnsi="Calibri"/>
          <w:sz w:val="22"/>
        </w:rPr>
        <w:t>Fund</w:t>
      </w:r>
      <w:r w:rsidR="00D774F5">
        <w:rPr>
          <w:rFonts w:ascii="Calibri" w:hAnsi="Calibri"/>
          <w:sz w:val="22"/>
        </w:rPr>
        <w:t>s, HOME Program funds</w:t>
      </w:r>
      <w:r>
        <w:rPr>
          <w:rFonts w:ascii="Calibri" w:hAnsi="Calibri"/>
          <w:sz w:val="22"/>
        </w:rPr>
        <w:t>)</w:t>
      </w:r>
      <w:r w:rsidRPr="00E03374">
        <w:rPr>
          <w:rFonts w:ascii="Calibri" w:hAnsi="Calibri"/>
          <w:sz w:val="22"/>
        </w:rPr>
        <w:t xml:space="preserve"> in support of greater numbers of households/occupants over time as rentals turnover more regularly than ownership</w:t>
      </w:r>
      <w:r>
        <w:rPr>
          <w:rFonts w:ascii="Calibri" w:hAnsi="Calibri"/>
          <w:sz w:val="22"/>
        </w:rPr>
        <w:t xml:space="preserve"> units. </w:t>
      </w:r>
    </w:p>
    <w:p w14:paraId="51078BF0" w14:textId="3D81E623" w:rsidR="007F38F7" w:rsidRDefault="007F38F7"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Pr>
          <w:rFonts w:ascii="Calibri" w:hAnsi="Calibri"/>
          <w:sz w:val="22"/>
        </w:rPr>
        <w:t>Respond to new state guidelines for MBTA communities in creating new transit-oriented zoning districts with by-right permitting for a minimum land area of 50 acres, minimum gross density of 15 units per acre, and minimum multi-family unit count of 20% of the Town’s total housing units or 2,378 units.</w:t>
      </w:r>
    </w:p>
    <w:p w14:paraId="48755A8D" w14:textId="77777777" w:rsidR="00DE29B8" w:rsidRPr="00E03374"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sidRPr="00E03374">
        <w:rPr>
          <w:rFonts w:ascii="Calibri" w:hAnsi="Calibri"/>
          <w:sz w:val="22"/>
        </w:rPr>
        <w:t>Provide opportunities for some seniors who are “over</w:t>
      </w:r>
      <w:r>
        <w:rPr>
          <w:rFonts w:ascii="Calibri" w:hAnsi="Calibri"/>
          <w:sz w:val="22"/>
        </w:rPr>
        <w:t>-</w:t>
      </w:r>
      <w:r w:rsidRPr="00E03374">
        <w:rPr>
          <w:rFonts w:ascii="Calibri" w:hAnsi="Calibri"/>
          <w:sz w:val="22"/>
        </w:rPr>
        <w:t>housed” and spending far too much on their housing to relocate to more affordable and less isolated settings, opening up their homes to families requiring more space.</w:t>
      </w:r>
    </w:p>
    <w:p w14:paraId="31BA53E8" w14:textId="25D5C859" w:rsidR="00DE29B8"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Pr>
          <w:rFonts w:ascii="Calibri" w:hAnsi="Calibri"/>
          <w:sz w:val="22"/>
        </w:rPr>
        <w:t xml:space="preserve">Enhance the ability to qualify occupants for housing subsidies as state requirements for including units on the </w:t>
      </w:r>
      <w:r w:rsidR="00493E75">
        <w:rPr>
          <w:rFonts w:ascii="Calibri" w:hAnsi="Calibri"/>
          <w:sz w:val="22"/>
        </w:rPr>
        <w:t xml:space="preserve">Subsidized Housing </w:t>
      </w:r>
      <w:r w:rsidR="00895C3D">
        <w:rPr>
          <w:rFonts w:ascii="Calibri" w:hAnsi="Calibri"/>
          <w:sz w:val="22"/>
        </w:rPr>
        <w:t>I</w:t>
      </w:r>
      <w:r w:rsidR="00493E75">
        <w:rPr>
          <w:rFonts w:ascii="Calibri" w:hAnsi="Calibri"/>
          <w:sz w:val="22"/>
        </w:rPr>
        <w:t>nventory (</w:t>
      </w:r>
      <w:r>
        <w:rPr>
          <w:rFonts w:ascii="Calibri" w:hAnsi="Calibri"/>
          <w:sz w:val="22"/>
        </w:rPr>
        <w:t>SHI</w:t>
      </w:r>
      <w:r w:rsidR="00895C3D">
        <w:rPr>
          <w:rFonts w:ascii="Calibri" w:hAnsi="Calibri"/>
          <w:sz w:val="22"/>
        </w:rPr>
        <w:t>)</w:t>
      </w:r>
      <w:r>
        <w:rPr>
          <w:rFonts w:ascii="Calibri" w:hAnsi="Calibri"/>
          <w:sz w:val="22"/>
        </w:rPr>
        <w:t xml:space="preserve"> make it very difficult for long-term homeowners to be eligible for subsidized or assisted housing</w:t>
      </w:r>
      <w:r w:rsidR="00895C3D">
        <w:rPr>
          <w:rFonts w:ascii="Calibri" w:hAnsi="Calibri"/>
          <w:sz w:val="22"/>
        </w:rPr>
        <w:t xml:space="preserve"> given asset limits</w:t>
      </w:r>
      <w:r>
        <w:rPr>
          <w:rFonts w:ascii="Calibri" w:hAnsi="Calibri"/>
          <w:sz w:val="22"/>
        </w:rPr>
        <w:t>.</w:t>
      </w:r>
    </w:p>
    <w:p w14:paraId="5431A846" w14:textId="77777777" w:rsidR="00DE29B8" w:rsidRDefault="00DE29B8" w:rsidP="00DE29B8">
      <w:pPr>
        <w:numPr>
          <w:ilvl w:val="0"/>
          <w:numId w:val="5"/>
        </w:numPr>
        <w:tabs>
          <w:tab w:val="clear" w:pos="2160"/>
          <w:tab w:val="num" w:pos="720"/>
          <w:tab w:val="num" w:pos="4325"/>
        </w:tabs>
        <w:overflowPunct w:val="0"/>
        <w:autoSpaceDE w:val="0"/>
        <w:autoSpaceDN w:val="0"/>
        <w:adjustRightInd w:val="0"/>
        <w:ind w:left="720" w:right="90"/>
        <w:jc w:val="both"/>
        <w:rPr>
          <w:rFonts w:ascii="Calibri" w:hAnsi="Calibri"/>
          <w:sz w:val="22"/>
        </w:rPr>
      </w:pPr>
      <w:r>
        <w:rPr>
          <w:rFonts w:ascii="Calibri" w:hAnsi="Calibri"/>
          <w:sz w:val="22"/>
        </w:rPr>
        <w:t xml:space="preserve">Provide opportunities for mixed-income housing where several different income tiers can be accommodated within the same project. </w:t>
      </w:r>
    </w:p>
    <w:p w14:paraId="04ABF550" w14:textId="77777777" w:rsidR="00DE29B8" w:rsidRDefault="00DE29B8" w:rsidP="00DE29B8">
      <w:pPr>
        <w:pStyle w:val="CommentText"/>
        <w:tabs>
          <w:tab w:val="left" w:pos="0"/>
        </w:tabs>
        <w:spacing w:line="240" w:lineRule="auto"/>
        <w:ind w:right="-720"/>
        <w:jc w:val="both"/>
        <w:rPr>
          <w:rFonts w:ascii="Calibri" w:hAnsi="Calibri"/>
          <w:b/>
          <w:i/>
          <w:iCs/>
        </w:rPr>
      </w:pPr>
      <w:r w:rsidRPr="00F87B4C">
        <w:rPr>
          <w:rFonts w:ascii="Calibri" w:hAnsi="Calibri"/>
          <w:b/>
          <w:i/>
          <w:iCs/>
        </w:rPr>
        <w:t>Indicators of Need</w:t>
      </w:r>
      <w:r>
        <w:rPr>
          <w:rFonts w:ascii="Calibri" w:hAnsi="Calibri"/>
          <w:b/>
          <w:i/>
          <w:iCs/>
        </w:rPr>
        <w:t xml:space="preserve"> for Rental Housing</w:t>
      </w:r>
    </w:p>
    <w:p w14:paraId="53EEAF24" w14:textId="32A27573" w:rsidR="00DE29B8" w:rsidRPr="000563DD" w:rsidRDefault="00DE29B8" w:rsidP="00895C3D">
      <w:pPr>
        <w:pStyle w:val="CommentText"/>
        <w:shd w:val="clear" w:color="auto" w:fill="B6DDE8" w:themeFill="accent5" w:themeFillTint="66"/>
        <w:tabs>
          <w:tab w:val="left" w:pos="0"/>
        </w:tabs>
        <w:spacing w:line="240" w:lineRule="auto"/>
        <w:jc w:val="both"/>
        <w:rPr>
          <w:rFonts w:asciiTheme="minorHAnsi" w:hAnsiTheme="minorHAnsi"/>
          <w:iCs/>
          <w:szCs w:val="22"/>
        </w:rPr>
      </w:pPr>
      <w:r w:rsidRPr="000563DD">
        <w:rPr>
          <w:rFonts w:asciiTheme="minorHAnsi" w:hAnsiTheme="minorHAnsi"/>
          <w:iCs/>
        </w:rPr>
        <w:t xml:space="preserve">As detailed throughout this Housing Needs Assessment, the following </w:t>
      </w:r>
      <w:r w:rsidR="00895C3D">
        <w:rPr>
          <w:rFonts w:asciiTheme="minorHAnsi" w:hAnsiTheme="minorHAnsi"/>
          <w:iCs/>
        </w:rPr>
        <w:t>considerations</w:t>
      </w:r>
      <w:r w:rsidRPr="000563DD">
        <w:rPr>
          <w:rFonts w:asciiTheme="minorHAnsi" w:hAnsiTheme="minorHAnsi"/>
          <w:iCs/>
        </w:rPr>
        <w:t xml:space="preserve"> suggest a pressing need for </w:t>
      </w:r>
      <w:r w:rsidRPr="000563DD">
        <w:rPr>
          <w:rFonts w:asciiTheme="minorHAnsi" w:hAnsiTheme="minorHAnsi"/>
          <w:iCs/>
          <w:szCs w:val="22"/>
        </w:rPr>
        <w:t xml:space="preserve">more </w:t>
      </w:r>
      <w:r>
        <w:rPr>
          <w:rFonts w:asciiTheme="minorHAnsi" w:hAnsiTheme="minorHAnsi"/>
          <w:iCs/>
          <w:szCs w:val="22"/>
        </w:rPr>
        <w:t>affordable</w:t>
      </w:r>
      <w:r w:rsidRPr="000563DD">
        <w:rPr>
          <w:rFonts w:asciiTheme="minorHAnsi" w:hAnsiTheme="minorHAnsi"/>
          <w:iCs/>
          <w:szCs w:val="22"/>
        </w:rPr>
        <w:t xml:space="preserve"> rental housing: </w:t>
      </w:r>
    </w:p>
    <w:p w14:paraId="06C1D0F2" w14:textId="77777777" w:rsidR="00DE29B8" w:rsidRPr="000563DD" w:rsidRDefault="00DE29B8" w:rsidP="00DE29B8">
      <w:pPr>
        <w:pStyle w:val="CommentText"/>
        <w:tabs>
          <w:tab w:val="left" w:pos="0"/>
        </w:tabs>
        <w:spacing w:line="240" w:lineRule="auto"/>
        <w:jc w:val="both"/>
        <w:rPr>
          <w:rFonts w:asciiTheme="minorHAnsi" w:hAnsiTheme="minorHAnsi"/>
          <w:iCs/>
          <w:szCs w:val="22"/>
        </w:rPr>
      </w:pPr>
    </w:p>
    <w:p w14:paraId="547997B9" w14:textId="5FD0781D" w:rsidR="00DE29B8" w:rsidRPr="000563DD" w:rsidRDefault="00DE29B8" w:rsidP="00244466">
      <w:pPr>
        <w:pStyle w:val="BodyTextIndent"/>
        <w:numPr>
          <w:ilvl w:val="0"/>
          <w:numId w:val="51"/>
        </w:numPr>
        <w:tabs>
          <w:tab w:val="left" w:pos="0"/>
        </w:tabs>
        <w:spacing w:after="0"/>
        <w:ind w:left="720" w:hanging="360"/>
        <w:jc w:val="both"/>
        <w:rPr>
          <w:rFonts w:asciiTheme="minorHAnsi" w:hAnsiTheme="minorHAnsi"/>
          <w:bCs/>
          <w:sz w:val="22"/>
          <w:szCs w:val="22"/>
        </w:rPr>
      </w:pPr>
      <w:r w:rsidRPr="000563DD">
        <w:rPr>
          <w:rFonts w:asciiTheme="minorHAnsi" w:hAnsiTheme="minorHAnsi"/>
          <w:bCs/>
          <w:i/>
          <w:sz w:val="22"/>
          <w:szCs w:val="22"/>
        </w:rPr>
        <w:t>Limited incomes</w:t>
      </w:r>
      <w:r w:rsidRPr="000563DD">
        <w:rPr>
          <w:rFonts w:asciiTheme="minorHAnsi" w:hAnsiTheme="minorHAnsi"/>
          <w:bCs/>
          <w:sz w:val="22"/>
          <w:szCs w:val="22"/>
        </w:rPr>
        <w:t xml:space="preserve"> – </w:t>
      </w:r>
      <w:r w:rsidR="00F51C52">
        <w:rPr>
          <w:rFonts w:asciiTheme="minorHAnsi" w:hAnsiTheme="minorHAnsi"/>
          <w:bCs/>
          <w:sz w:val="22"/>
          <w:szCs w:val="22"/>
        </w:rPr>
        <w:t>About 2</w:t>
      </w:r>
      <w:r w:rsidR="008D1222">
        <w:rPr>
          <w:rFonts w:asciiTheme="minorHAnsi" w:hAnsiTheme="minorHAnsi"/>
          <w:bCs/>
          <w:sz w:val="22"/>
          <w:szCs w:val="22"/>
        </w:rPr>
        <w:t>1</w:t>
      </w:r>
      <w:r w:rsidRPr="000563DD">
        <w:rPr>
          <w:rFonts w:asciiTheme="minorHAnsi" w:hAnsiTheme="minorHAnsi"/>
          <w:bCs/>
          <w:sz w:val="22"/>
          <w:szCs w:val="22"/>
        </w:rPr>
        <w:t>% of all renter</w:t>
      </w:r>
      <w:r w:rsidR="00C97D6B">
        <w:rPr>
          <w:rFonts w:asciiTheme="minorHAnsi" w:hAnsiTheme="minorHAnsi"/>
          <w:bCs/>
          <w:sz w:val="22"/>
          <w:szCs w:val="22"/>
        </w:rPr>
        <w:t xml:space="preserve"> household</w:t>
      </w:r>
      <w:r w:rsidRPr="000563DD">
        <w:rPr>
          <w:rFonts w:asciiTheme="minorHAnsi" w:hAnsiTheme="minorHAnsi"/>
          <w:bCs/>
          <w:sz w:val="22"/>
          <w:szCs w:val="22"/>
        </w:rPr>
        <w:t>s</w:t>
      </w:r>
      <w:r w:rsidR="00F51C52">
        <w:rPr>
          <w:rFonts w:asciiTheme="minorHAnsi" w:hAnsiTheme="minorHAnsi"/>
          <w:bCs/>
          <w:sz w:val="22"/>
          <w:szCs w:val="22"/>
        </w:rPr>
        <w:t xml:space="preserve"> had incomes of less than $25,000 based on 20</w:t>
      </w:r>
      <w:r w:rsidR="008D1222">
        <w:rPr>
          <w:rFonts w:asciiTheme="minorHAnsi" w:hAnsiTheme="minorHAnsi"/>
          <w:bCs/>
          <w:sz w:val="22"/>
          <w:szCs w:val="22"/>
        </w:rPr>
        <w:t>20</w:t>
      </w:r>
      <w:r w:rsidR="00F51C52">
        <w:rPr>
          <w:rFonts w:asciiTheme="minorHAnsi" w:hAnsiTheme="minorHAnsi"/>
          <w:bCs/>
          <w:sz w:val="22"/>
          <w:szCs w:val="22"/>
        </w:rPr>
        <w:t xml:space="preserve"> census estimates</w:t>
      </w:r>
      <w:r w:rsidRPr="000563DD">
        <w:rPr>
          <w:rFonts w:asciiTheme="minorHAnsi" w:hAnsiTheme="minorHAnsi"/>
          <w:bCs/>
          <w:sz w:val="22"/>
          <w:szCs w:val="22"/>
        </w:rPr>
        <w:t xml:space="preserve">. </w:t>
      </w:r>
      <w:r w:rsidR="005E3904">
        <w:rPr>
          <w:rFonts w:ascii="Calibri" w:hAnsi="Calibri"/>
          <w:sz w:val="22"/>
          <w:szCs w:val="22"/>
        </w:rPr>
        <w:t xml:space="preserve"> Additionally, t</w:t>
      </w:r>
      <w:r w:rsidR="005E3904" w:rsidRPr="005E3904">
        <w:rPr>
          <w:rFonts w:ascii="Calibri" w:hAnsi="Calibri"/>
          <w:sz w:val="22"/>
          <w:szCs w:val="22"/>
        </w:rPr>
        <w:t xml:space="preserve">here was an increase in the number and percentage of renter households with incomes at or below 80% </w:t>
      </w:r>
      <w:r w:rsidR="005E3904">
        <w:rPr>
          <w:rFonts w:ascii="Calibri" w:hAnsi="Calibri"/>
          <w:sz w:val="22"/>
          <w:szCs w:val="22"/>
        </w:rPr>
        <w:t>AMI</w:t>
      </w:r>
      <w:r w:rsidR="005E3904" w:rsidRPr="005E3904">
        <w:rPr>
          <w:rFonts w:ascii="Calibri" w:hAnsi="Calibri"/>
          <w:sz w:val="22"/>
          <w:szCs w:val="22"/>
        </w:rPr>
        <w:t xml:space="preserve"> between 2015 and 2018, from 53% to 57%. </w:t>
      </w:r>
      <w:r w:rsidR="00F51C52" w:rsidRPr="005E3904">
        <w:rPr>
          <w:rFonts w:asciiTheme="minorHAnsi" w:hAnsiTheme="minorHAnsi"/>
          <w:bCs/>
          <w:sz w:val="22"/>
          <w:szCs w:val="22"/>
        </w:rPr>
        <w:t>The median income earning renter, with $</w:t>
      </w:r>
      <w:r w:rsidR="008D1222">
        <w:rPr>
          <w:rFonts w:asciiTheme="minorHAnsi" w:hAnsiTheme="minorHAnsi"/>
          <w:bCs/>
          <w:sz w:val="22"/>
          <w:szCs w:val="22"/>
        </w:rPr>
        <w:t>44,361</w:t>
      </w:r>
      <w:r w:rsidR="00F51C52" w:rsidRPr="005E3904">
        <w:rPr>
          <w:rFonts w:asciiTheme="minorHAnsi" w:hAnsiTheme="minorHAnsi"/>
          <w:bCs/>
          <w:sz w:val="22"/>
          <w:szCs w:val="22"/>
        </w:rPr>
        <w:t xml:space="preserve"> in annual income, could afford a rent of no more than about $</w:t>
      </w:r>
      <w:r w:rsidR="008D1222">
        <w:rPr>
          <w:rFonts w:asciiTheme="minorHAnsi" w:hAnsiTheme="minorHAnsi"/>
          <w:bCs/>
          <w:sz w:val="22"/>
          <w:szCs w:val="22"/>
        </w:rPr>
        <w:t>934</w:t>
      </w:r>
      <w:r w:rsidR="00F51C52" w:rsidRPr="005E3904">
        <w:rPr>
          <w:rFonts w:asciiTheme="minorHAnsi" w:hAnsiTheme="minorHAnsi"/>
          <w:bCs/>
          <w:sz w:val="22"/>
          <w:szCs w:val="22"/>
        </w:rPr>
        <w:t xml:space="preserve"> given spending</w:t>
      </w:r>
      <w:r w:rsidR="00C97D6B">
        <w:rPr>
          <w:rFonts w:asciiTheme="minorHAnsi" w:hAnsiTheme="minorHAnsi"/>
          <w:bCs/>
          <w:sz w:val="22"/>
          <w:szCs w:val="22"/>
        </w:rPr>
        <w:t xml:space="preserve"> of</w:t>
      </w:r>
      <w:r w:rsidR="00F51C52" w:rsidRPr="005E3904">
        <w:rPr>
          <w:rFonts w:asciiTheme="minorHAnsi" w:hAnsiTheme="minorHAnsi"/>
          <w:bCs/>
          <w:sz w:val="22"/>
          <w:szCs w:val="22"/>
        </w:rPr>
        <w:t xml:space="preserve"> no more than 30% of income on housing costs including an estimated $175 in</w:t>
      </w:r>
      <w:r w:rsidR="00F51C52">
        <w:rPr>
          <w:rFonts w:asciiTheme="minorHAnsi" w:hAnsiTheme="minorHAnsi"/>
          <w:bCs/>
          <w:sz w:val="22"/>
          <w:szCs w:val="22"/>
        </w:rPr>
        <w:t xml:space="preserve"> monthly utility bills.  This makes it</w:t>
      </w:r>
      <w:r w:rsidRPr="000563DD">
        <w:rPr>
          <w:rFonts w:asciiTheme="minorHAnsi" w:hAnsiTheme="minorHAnsi"/>
          <w:bCs/>
          <w:sz w:val="22"/>
          <w:szCs w:val="22"/>
        </w:rPr>
        <w:t xml:space="preserve"> extremely difficult </w:t>
      </w:r>
      <w:r w:rsidR="00F51C52">
        <w:rPr>
          <w:rFonts w:asciiTheme="minorHAnsi" w:hAnsiTheme="minorHAnsi"/>
          <w:bCs/>
          <w:sz w:val="22"/>
          <w:szCs w:val="22"/>
        </w:rPr>
        <w:t>for lower income households</w:t>
      </w:r>
      <w:r w:rsidRPr="000563DD">
        <w:rPr>
          <w:rFonts w:asciiTheme="minorHAnsi" w:hAnsiTheme="minorHAnsi"/>
          <w:bCs/>
          <w:sz w:val="22"/>
          <w:szCs w:val="22"/>
        </w:rPr>
        <w:t xml:space="preserve"> to find affordable market rentals without spending far too much on housing.  </w:t>
      </w:r>
    </w:p>
    <w:p w14:paraId="57BE7CCE" w14:textId="0F591EB4" w:rsidR="00DE29B8" w:rsidRDefault="00DE29B8" w:rsidP="00DE29B8">
      <w:pPr>
        <w:pStyle w:val="BodyTextIndent"/>
        <w:tabs>
          <w:tab w:val="left" w:pos="0"/>
        </w:tabs>
        <w:spacing w:after="0"/>
        <w:jc w:val="both"/>
        <w:rPr>
          <w:rFonts w:asciiTheme="minorHAnsi" w:hAnsiTheme="minorHAnsi"/>
          <w:bCs/>
          <w:sz w:val="22"/>
          <w:szCs w:val="22"/>
        </w:rPr>
      </w:pPr>
    </w:p>
    <w:p w14:paraId="2A282FE1" w14:textId="33803C1D" w:rsidR="00C86858" w:rsidRPr="00C86858" w:rsidRDefault="00DE29B8" w:rsidP="000A6E84">
      <w:pPr>
        <w:pStyle w:val="CommentText"/>
        <w:numPr>
          <w:ilvl w:val="0"/>
          <w:numId w:val="6"/>
        </w:numPr>
        <w:tabs>
          <w:tab w:val="clear" w:pos="1440"/>
          <w:tab w:val="num" w:pos="720"/>
        </w:tabs>
        <w:spacing w:line="240" w:lineRule="auto"/>
        <w:ind w:left="720"/>
        <w:jc w:val="both"/>
        <w:rPr>
          <w:rFonts w:ascii="Calibri" w:hAnsi="Calibri"/>
          <w:i/>
          <w:iCs/>
        </w:rPr>
      </w:pPr>
      <w:r w:rsidRPr="00627C2A">
        <w:rPr>
          <w:rFonts w:asciiTheme="minorHAnsi" w:hAnsiTheme="minorHAnsi"/>
          <w:i/>
          <w:szCs w:val="22"/>
        </w:rPr>
        <w:lastRenderedPageBreak/>
        <w:t>High cost burdens</w:t>
      </w:r>
      <w:r w:rsidRPr="00627C2A">
        <w:rPr>
          <w:rFonts w:asciiTheme="minorHAnsi" w:hAnsiTheme="minorHAnsi"/>
          <w:szCs w:val="22"/>
        </w:rPr>
        <w:t xml:space="preserve"> – </w:t>
      </w:r>
      <w:r w:rsidR="005E3904" w:rsidRPr="00627C2A">
        <w:rPr>
          <w:rFonts w:asciiTheme="minorHAnsi" w:hAnsiTheme="minorHAnsi"/>
          <w:szCs w:val="22"/>
        </w:rPr>
        <w:t>Needham</w:t>
      </w:r>
      <w:r w:rsidRPr="00627C2A">
        <w:rPr>
          <w:rFonts w:asciiTheme="minorHAnsi" w:hAnsiTheme="minorHAnsi"/>
          <w:szCs w:val="22"/>
        </w:rPr>
        <w:t xml:space="preserve">’s renters are spending too much for their housing with </w:t>
      </w:r>
      <w:r w:rsidR="005E3904" w:rsidRPr="00627C2A">
        <w:rPr>
          <w:rFonts w:asciiTheme="minorHAnsi" w:hAnsiTheme="minorHAnsi"/>
          <w:szCs w:val="22"/>
        </w:rPr>
        <w:t>41%</w:t>
      </w:r>
      <w:r w:rsidRPr="00627C2A">
        <w:rPr>
          <w:rFonts w:asciiTheme="minorHAnsi" w:hAnsiTheme="minorHAnsi"/>
          <w:szCs w:val="22"/>
        </w:rPr>
        <w:t xml:space="preserve"> of all renter households overspending</w:t>
      </w:r>
      <w:r w:rsidR="005E3904" w:rsidRPr="00627C2A">
        <w:rPr>
          <w:rFonts w:asciiTheme="minorHAnsi" w:hAnsiTheme="minorHAnsi"/>
          <w:szCs w:val="22"/>
        </w:rPr>
        <w:t xml:space="preserve"> </w:t>
      </w:r>
      <w:r w:rsidR="005E3904" w:rsidRPr="00627C2A">
        <w:rPr>
          <w:rFonts w:ascii="Calibri" w:hAnsi="Calibri"/>
        </w:rPr>
        <w:t>including 25% with severe cost burdens</w:t>
      </w:r>
      <w:r w:rsidR="00B17FCC">
        <w:rPr>
          <w:rFonts w:ascii="Calibri" w:hAnsi="Calibri"/>
        </w:rPr>
        <w:t xml:space="preserve"> as they were spending more than half their income on rent and utilities</w:t>
      </w:r>
      <w:r w:rsidR="005E3904" w:rsidRPr="00627C2A">
        <w:rPr>
          <w:rFonts w:ascii="Calibri" w:hAnsi="Calibri"/>
        </w:rPr>
        <w:t xml:space="preserve">.  </w:t>
      </w:r>
    </w:p>
    <w:p w14:paraId="36A0584C" w14:textId="77777777" w:rsidR="00C86858" w:rsidRPr="00C86858" w:rsidRDefault="00C86858" w:rsidP="00C86858">
      <w:pPr>
        <w:pStyle w:val="CommentText"/>
        <w:spacing w:line="240" w:lineRule="auto"/>
        <w:ind w:left="720"/>
        <w:jc w:val="both"/>
        <w:rPr>
          <w:rFonts w:ascii="Calibri" w:hAnsi="Calibri"/>
          <w:i/>
          <w:iCs/>
        </w:rPr>
      </w:pPr>
    </w:p>
    <w:p w14:paraId="76DBCD0B" w14:textId="598EF5FB" w:rsidR="00F51321" w:rsidRDefault="00627C2A" w:rsidP="00F51321">
      <w:pPr>
        <w:pStyle w:val="CommentText"/>
        <w:tabs>
          <w:tab w:val="num" w:pos="720"/>
        </w:tabs>
        <w:spacing w:line="240" w:lineRule="auto"/>
        <w:ind w:left="720"/>
        <w:jc w:val="both"/>
        <w:rPr>
          <w:rFonts w:asciiTheme="minorHAnsi" w:hAnsiTheme="minorHAnsi"/>
          <w:i/>
          <w:szCs w:val="22"/>
        </w:rPr>
      </w:pPr>
      <w:r w:rsidRPr="00627C2A">
        <w:rPr>
          <w:rFonts w:ascii="Calibri" w:hAnsi="Calibri"/>
        </w:rPr>
        <w:t xml:space="preserve">Of the renters with incomes at or below 80% AMI, </w:t>
      </w:r>
      <w:r w:rsidR="00B17FCC">
        <w:rPr>
          <w:rFonts w:ascii="Calibri" w:hAnsi="Calibri"/>
        </w:rPr>
        <w:t>60% were experiencing cost burdens, 38% with severe cost burdens. Of particular concer</w:t>
      </w:r>
      <w:r w:rsidR="00C86858">
        <w:rPr>
          <w:rFonts w:ascii="Calibri" w:hAnsi="Calibri"/>
        </w:rPr>
        <w:t xml:space="preserve">n were the </w:t>
      </w:r>
      <w:r w:rsidR="005E3904">
        <w:rPr>
          <w:rFonts w:ascii="Calibri" w:hAnsi="Calibri"/>
          <w:iCs/>
        </w:rPr>
        <w:t xml:space="preserve">450 renter households with incomes at or below 30% </w:t>
      </w:r>
      <w:r w:rsidR="00C86858">
        <w:rPr>
          <w:rFonts w:ascii="Calibri" w:hAnsi="Calibri"/>
          <w:iCs/>
        </w:rPr>
        <w:t>AMI</w:t>
      </w:r>
      <w:r w:rsidR="005E3904">
        <w:rPr>
          <w:rFonts w:ascii="Calibri" w:hAnsi="Calibri"/>
          <w:iCs/>
        </w:rPr>
        <w:t>, referred to as extremely low-income households by HUD.  Of these, 54% were experiencing cost burdens, 48% with severe cost burdens</w:t>
      </w:r>
      <w:r w:rsidR="00373DE9">
        <w:rPr>
          <w:rFonts w:ascii="Calibri" w:hAnsi="Calibri"/>
          <w:iCs/>
        </w:rPr>
        <w:t>.</w:t>
      </w:r>
      <w:r w:rsidR="00C86858">
        <w:rPr>
          <w:rFonts w:ascii="Calibri" w:hAnsi="Calibri"/>
          <w:iCs/>
        </w:rPr>
        <w:t xml:space="preserve">  Additionally, o</w:t>
      </w:r>
      <w:r w:rsidR="005E3904" w:rsidRPr="00A31111">
        <w:rPr>
          <w:rFonts w:ascii="Calibri" w:hAnsi="Calibri"/>
          <w:iCs/>
        </w:rPr>
        <w:t xml:space="preserve">f the </w:t>
      </w:r>
      <w:r w:rsidR="005E3904">
        <w:rPr>
          <w:rFonts w:ascii="Calibri" w:hAnsi="Calibri"/>
          <w:iCs/>
        </w:rPr>
        <w:t xml:space="preserve">580 </w:t>
      </w:r>
      <w:r w:rsidR="005E3904" w:rsidRPr="00A31111">
        <w:rPr>
          <w:rFonts w:ascii="Calibri" w:hAnsi="Calibri"/>
          <w:iCs/>
        </w:rPr>
        <w:t xml:space="preserve">renter households earning between 30% and 80% </w:t>
      </w:r>
      <w:r w:rsidR="00C86858">
        <w:rPr>
          <w:rFonts w:ascii="Calibri" w:hAnsi="Calibri"/>
          <w:iCs/>
        </w:rPr>
        <w:t>AMI</w:t>
      </w:r>
      <w:r w:rsidR="00C97D6B">
        <w:rPr>
          <w:rFonts w:ascii="Calibri" w:hAnsi="Calibri"/>
          <w:iCs/>
        </w:rPr>
        <w:t>,</w:t>
      </w:r>
      <w:r w:rsidR="005E3904">
        <w:rPr>
          <w:rFonts w:ascii="Calibri" w:hAnsi="Calibri"/>
          <w:iCs/>
        </w:rPr>
        <w:t xml:space="preserve"> about half were overspending including 31% with incomes in the 30% to 50% </w:t>
      </w:r>
      <w:r w:rsidR="00C86858">
        <w:rPr>
          <w:rFonts w:ascii="Calibri" w:hAnsi="Calibri"/>
          <w:iCs/>
        </w:rPr>
        <w:t>AMI</w:t>
      </w:r>
      <w:r w:rsidR="005E3904">
        <w:rPr>
          <w:rFonts w:ascii="Calibri" w:hAnsi="Calibri"/>
          <w:iCs/>
        </w:rPr>
        <w:t xml:space="preserve"> range that had severe cost burdens.  None of the households in the 50% to 80% </w:t>
      </w:r>
      <w:r w:rsidR="006B5A0D">
        <w:rPr>
          <w:rFonts w:ascii="Calibri" w:hAnsi="Calibri"/>
          <w:iCs/>
        </w:rPr>
        <w:t>A</w:t>
      </w:r>
      <w:r w:rsidR="005E3904">
        <w:rPr>
          <w:rFonts w:ascii="Calibri" w:hAnsi="Calibri"/>
          <w:iCs/>
        </w:rPr>
        <w:t xml:space="preserve">MI income category were reported to have had severe cost burdens.  </w:t>
      </w:r>
      <w:r w:rsidR="00DE29B8" w:rsidRPr="00E96CEB">
        <w:rPr>
          <w:rFonts w:asciiTheme="minorHAnsi" w:hAnsiTheme="minorHAnsi"/>
          <w:i/>
          <w:szCs w:val="22"/>
        </w:rPr>
        <w:t xml:space="preserve">The focus of rental housing production should be on those earning at or below 80% </w:t>
      </w:r>
      <w:r w:rsidR="00C86858">
        <w:rPr>
          <w:rFonts w:asciiTheme="minorHAnsi" w:hAnsiTheme="minorHAnsi"/>
          <w:i/>
          <w:szCs w:val="22"/>
        </w:rPr>
        <w:t>AMI</w:t>
      </w:r>
      <w:r w:rsidR="00DE29B8" w:rsidRPr="00E96CEB">
        <w:rPr>
          <w:rFonts w:asciiTheme="minorHAnsi" w:hAnsiTheme="minorHAnsi"/>
          <w:i/>
          <w:szCs w:val="22"/>
        </w:rPr>
        <w:t xml:space="preserve"> to the greatest extent possible</w:t>
      </w:r>
      <w:r w:rsidR="00691E1C">
        <w:rPr>
          <w:rFonts w:asciiTheme="minorHAnsi" w:hAnsiTheme="minorHAnsi"/>
          <w:i/>
          <w:szCs w:val="22"/>
        </w:rPr>
        <w:t>, at lower incomes where feasible</w:t>
      </w:r>
      <w:r w:rsidR="00DE29B8" w:rsidRPr="00E96CEB">
        <w:rPr>
          <w:rFonts w:asciiTheme="minorHAnsi" w:hAnsiTheme="minorHAnsi"/>
          <w:i/>
          <w:szCs w:val="22"/>
        </w:rPr>
        <w:t>.</w:t>
      </w:r>
    </w:p>
    <w:p w14:paraId="2426653F" w14:textId="77777777" w:rsidR="00F51321" w:rsidRDefault="00F51321" w:rsidP="00F51321">
      <w:pPr>
        <w:pStyle w:val="CommentText"/>
        <w:tabs>
          <w:tab w:val="num" w:pos="720"/>
        </w:tabs>
        <w:spacing w:line="240" w:lineRule="auto"/>
        <w:ind w:left="720"/>
        <w:jc w:val="both"/>
        <w:rPr>
          <w:rFonts w:asciiTheme="minorHAnsi" w:hAnsiTheme="minorHAnsi"/>
          <w:i/>
          <w:szCs w:val="22"/>
        </w:rPr>
      </w:pPr>
    </w:p>
    <w:p w14:paraId="5291B0E7" w14:textId="67B5E408" w:rsidR="00E0322E" w:rsidRPr="00F51321" w:rsidRDefault="00DE29B8" w:rsidP="00244466">
      <w:pPr>
        <w:pStyle w:val="CommentText"/>
        <w:numPr>
          <w:ilvl w:val="0"/>
          <w:numId w:val="51"/>
        </w:numPr>
        <w:spacing w:line="240" w:lineRule="auto"/>
        <w:ind w:left="720" w:hanging="360"/>
        <w:jc w:val="both"/>
        <w:rPr>
          <w:rFonts w:asciiTheme="minorHAnsi" w:hAnsiTheme="minorHAnsi"/>
          <w:szCs w:val="22"/>
        </w:rPr>
      </w:pPr>
      <w:r w:rsidRPr="000563DD">
        <w:rPr>
          <w:rFonts w:asciiTheme="minorHAnsi" w:hAnsiTheme="minorHAnsi"/>
          <w:i/>
          <w:szCs w:val="22"/>
        </w:rPr>
        <w:t>High rents</w:t>
      </w:r>
      <w:r w:rsidRPr="000563DD">
        <w:rPr>
          <w:rFonts w:asciiTheme="minorHAnsi" w:hAnsiTheme="minorHAnsi"/>
          <w:szCs w:val="22"/>
        </w:rPr>
        <w:t xml:space="preserve"> </w:t>
      </w:r>
      <w:r w:rsidR="00373DE9">
        <w:rPr>
          <w:rFonts w:asciiTheme="minorHAnsi" w:hAnsiTheme="minorHAnsi"/>
          <w:szCs w:val="22"/>
        </w:rPr>
        <w:t xml:space="preserve">– The </w:t>
      </w:r>
      <w:r w:rsidRPr="000563DD">
        <w:rPr>
          <w:rFonts w:asciiTheme="minorHAnsi" w:hAnsiTheme="minorHAnsi"/>
          <w:szCs w:val="22"/>
        </w:rPr>
        <w:t>20</w:t>
      </w:r>
      <w:r w:rsidR="008D1222">
        <w:rPr>
          <w:rFonts w:asciiTheme="minorHAnsi" w:hAnsiTheme="minorHAnsi"/>
          <w:szCs w:val="22"/>
        </w:rPr>
        <w:t>20</w:t>
      </w:r>
      <w:r w:rsidR="00C86858">
        <w:rPr>
          <w:rFonts w:asciiTheme="minorHAnsi" w:hAnsiTheme="minorHAnsi"/>
          <w:szCs w:val="22"/>
        </w:rPr>
        <w:t xml:space="preserve"> census </w:t>
      </w:r>
      <w:r w:rsidRPr="000563DD">
        <w:rPr>
          <w:rFonts w:asciiTheme="minorHAnsi" w:hAnsiTheme="minorHAnsi"/>
          <w:szCs w:val="22"/>
        </w:rPr>
        <w:t>estimate</w:t>
      </w:r>
      <w:r w:rsidR="00C86858">
        <w:rPr>
          <w:rFonts w:asciiTheme="minorHAnsi" w:hAnsiTheme="minorHAnsi"/>
          <w:szCs w:val="22"/>
        </w:rPr>
        <w:t>s indicated a</w:t>
      </w:r>
      <w:r w:rsidRPr="000563DD">
        <w:rPr>
          <w:rFonts w:asciiTheme="minorHAnsi" w:hAnsiTheme="minorHAnsi"/>
          <w:szCs w:val="22"/>
        </w:rPr>
        <w:t xml:space="preserve"> gross median rent of $1,</w:t>
      </w:r>
      <w:r w:rsidR="008D1222">
        <w:rPr>
          <w:rFonts w:asciiTheme="minorHAnsi" w:hAnsiTheme="minorHAnsi"/>
          <w:szCs w:val="22"/>
        </w:rPr>
        <w:t>604</w:t>
      </w:r>
      <w:r w:rsidR="00691E1C">
        <w:rPr>
          <w:rFonts w:asciiTheme="minorHAnsi" w:hAnsiTheme="minorHAnsi"/>
          <w:szCs w:val="22"/>
        </w:rPr>
        <w:t xml:space="preserve"> which</w:t>
      </w:r>
      <w:r w:rsidRPr="000563DD">
        <w:rPr>
          <w:rFonts w:asciiTheme="minorHAnsi" w:hAnsiTheme="minorHAnsi"/>
          <w:szCs w:val="22"/>
        </w:rPr>
        <w:t xml:space="preserve"> would require an income of </w:t>
      </w:r>
      <w:r w:rsidR="008D1222">
        <w:rPr>
          <w:rFonts w:asciiTheme="minorHAnsi" w:hAnsiTheme="minorHAnsi"/>
          <w:szCs w:val="22"/>
        </w:rPr>
        <w:t>about</w:t>
      </w:r>
      <w:r w:rsidRPr="000563DD">
        <w:rPr>
          <w:rFonts w:asciiTheme="minorHAnsi" w:hAnsiTheme="minorHAnsi"/>
          <w:szCs w:val="22"/>
        </w:rPr>
        <w:t xml:space="preserve"> $</w:t>
      </w:r>
      <w:r w:rsidR="008D1222">
        <w:rPr>
          <w:rFonts w:asciiTheme="minorHAnsi" w:hAnsiTheme="minorHAnsi"/>
          <w:szCs w:val="22"/>
        </w:rPr>
        <w:t>77,160</w:t>
      </w:r>
      <w:r w:rsidRPr="000563DD">
        <w:rPr>
          <w:rFonts w:asciiTheme="minorHAnsi" w:hAnsiTheme="minorHAnsi"/>
          <w:szCs w:val="22"/>
        </w:rPr>
        <w:t>, assuming $175 per month in utility bills and housing expenses of no more than 30% of the household’s income. Not only is the median income of renter households much lower at $</w:t>
      </w:r>
      <w:r w:rsidR="008D1222">
        <w:rPr>
          <w:rFonts w:asciiTheme="minorHAnsi" w:hAnsiTheme="minorHAnsi"/>
          <w:szCs w:val="22"/>
        </w:rPr>
        <w:t>44,361</w:t>
      </w:r>
      <w:r w:rsidRPr="000563DD">
        <w:rPr>
          <w:rFonts w:asciiTheme="minorHAnsi" w:hAnsiTheme="minorHAnsi"/>
          <w:szCs w:val="22"/>
        </w:rPr>
        <w:t xml:space="preserve">, but market rents are typically </w:t>
      </w:r>
      <w:r w:rsidR="00E0322E">
        <w:rPr>
          <w:rFonts w:asciiTheme="minorHAnsi" w:hAnsiTheme="minorHAnsi"/>
          <w:szCs w:val="22"/>
        </w:rPr>
        <w:t xml:space="preserve">much </w:t>
      </w:r>
      <w:r w:rsidRPr="000563DD">
        <w:rPr>
          <w:rFonts w:asciiTheme="minorHAnsi" w:hAnsiTheme="minorHAnsi"/>
          <w:szCs w:val="22"/>
        </w:rPr>
        <w:t xml:space="preserve">higher and tend to be beyond the reach of lower wage earners (see Table </w:t>
      </w:r>
      <w:r w:rsidR="00E0322E">
        <w:rPr>
          <w:rFonts w:asciiTheme="minorHAnsi" w:hAnsiTheme="minorHAnsi"/>
          <w:szCs w:val="22"/>
        </w:rPr>
        <w:t>III-34</w:t>
      </w:r>
      <w:r w:rsidRPr="000563DD">
        <w:rPr>
          <w:rFonts w:asciiTheme="minorHAnsi" w:hAnsiTheme="minorHAnsi"/>
          <w:szCs w:val="22"/>
        </w:rPr>
        <w:t xml:space="preserve">). </w:t>
      </w:r>
      <w:r w:rsidR="00E0322E">
        <w:rPr>
          <w:rFonts w:asciiTheme="minorHAnsi" w:hAnsiTheme="minorHAnsi"/>
          <w:szCs w:val="22"/>
        </w:rPr>
        <w:t xml:space="preserve"> </w:t>
      </w:r>
      <w:r w:rsidR="00E0322E">
        <w:rPr>
          <w:rFonts w:asciiTheme="minorHAnsi" w:hAnsiTheme="minorHAnsi"/>
          <w:i/>
          <w:iCs/>
          <w:szCs w:val="22"/>
        </w:rPr>
        <w:t xml:space="preserve">Moreover, </w:t>
      </w:r>
      <w:r w:rsidR="003E7670">
        <w:rPr>
          <w:rFonts w:asciiTheme="minorHAnsi" w:hAnsiTheme="minorHAnsi"/>
          <w:i/>
          <w:iCs/>
          <w:szCs w:val="22"/>
        </w:rPr>
        <w:t>i</w:t>
      </w:r>
      <w:r w:rsidR="00E0322E">
        <w:rPr>
          <w:rFonts w:asciiTheme="minorHAnsi" w:hAnsiTheme="minorHAnsi"/>
          <w:i/>
          <w:iCs/>
          <w:szCs w:val="22"/>
        </w:rPr>
        <w:t>t</w:t>
      </w:r>
      <w:r w:rsidR="00E0322E" w:rsidRPr="008B375C">
        <w:rPr>
          <w:rFonts w:ascii="Calibri" w:hAnsi="Calibri"/>
          <w:i/>
          <w:szCs w:val="22"/>
        </w:rPr>
        <w:t xml:space="preserve"> is also important to note that the census figures include subsidized units, which represents </w:t>
      </w:r>
      <w:r w:rsidR="00E0322E">
        <w:rPr>
          <w:rFonts w:ascii="Calibri" w:hAnsi="Calibri"/>
          <w:i/>
          <w:szCs w:val="22"/>
        </w:rPr>
        <w:t>about 37%</w:t>
      </w:r>
      <w:r w:rsidR="00E0322E" w:rsidRPr="008B375C">
        <w:rPr>
          <w:rFonts w:ascii="Calibri" w:hAnsi="Calibri"/>
          <w:i/>
          <w:szCs w:val="22"/>
        </w:rPr>
        <w:t xml:space="preserve"> of all rental units in Needham, and thus </w:t>
      </w:r>
      <w:r w:rsidR="00E0322E">
        <w:rPr>
          <w:rFonts w:ascii="Calibri" w:hAnsi="Calibri"/>
          <w:i/>
          <w:szCs w:val="22"/>
        </w:rPr>
        <w:t xml:space="preserve">the </w:t>
      </w:r>
      <w:r w:rsidR="001B0056">
        <w:rPr>
          <w:rFonts w:ascii="Calibri" w:hAnsi="Calibri"/>
          <w:i/>
          <w:szCs w:val="22"/>
        </w:rPr>
        <w:t>median</w:t>
      </w:r>
      <w:r w:rsidR="00E0322E">
        <w:rPr>
          <w:rFonts w:ascii="Calibri" w:hAnsi="Calibri"/>
          <w:i/>
          <w:szCs w:val="22"/>
        </w:rPr>
        <w:t xml:space="preserve"> makes the</w:t>
      </w:r>
      <w:r w:rsidR="00E0322E" w:rsidRPr="008B375C">
        <w:rPr>
          <w:rFonts w:ascii="Calibri" w:hAnsi="Calibri"/>
          <w:i/>
          <w:szCs w:val="22"/>
        </w:rPr>
        <w:t xml:space="preserve"> rental market look more affordable than it </w:t>
      </w:r>
      <w:r w:rsidR="00E0322E">
        <w:rPr>
          <w:rFonts w:ascii="Calibri" w:hAnsi="Calibri"/>
          <w:i/>
          <w:szCs w:val="22"/>
        </w:rPr>
        <w:t xml:space="preserve">actually </w:t>
      </w:r>
      <w:r w:rsidR="00E0322E" w:rsidRPr="008B375C">
        <w:rPr>
          <w:rFonts w:ascii="Calibri" w:hAnsi="Calibri"/>
          <w:i/>
          <w:szCs w:val="22"/>
        </w:rPr>
        <w:t xml:space="preserve">is. </w:t>
      </w:r>
    </w:p>
    <w:p w14:paraId="6258B62F" w14:textId="4FC2DE63" w:rsidR="00DE29B8" w:rsidRDefault="00DE29B8" w:rsidP="00DE29B8">
      <w:pPr>
        <w:pStyle w:val="CommentText"/>
        <w:tabs>
          <w:tab w:val="left" w:pos="0"/>
        </w:tabs>
        <w:spacing w:line="240" w:lineRule="auto"/>
        <w:jc w:val="both"/>
        <w:rPr>
          <w:rFonts w:asciiTheme="minorHAnsi" w:hAnsiTheme="minorHAnsi"/>
          <w:szCs w:val="22"/>
        </w:rPr>
      </w:pPr>
    </w:p>
    <w:p w14:paraId="3D418AE7" w14:textId="58D50C71" w:rsidR="00E0322E" w:rsidRDefault="00E0322E" w:rsidP="003E7670">
      <w:pPr>
        <w:pStyle w:val="BodyTextIndent"/>
        <w:spacing w:after="0"/>
        <w:ind w:left="720"/>
        <w:jc w:val="both"/>
        <w:rPr>
          <w:rFonts w:ascii="Calibri" w:hAnsi="Calibri"/>
          <w:sz w:val="22"/>
          <w:szCs w:val="22"/>
        </w:rPr>
      </w:pPr>
      <w:r>
        <w:rPr>
          <w:rFonts w:ascii="Calibri" w:hAnsi="Calibri"/>
          <w:sz w:val="22"/>
          <w:szCs w:val="22"/>
        </w:rPr>
        <w:t>Market rents are typically much higher and a relatively</w:t>
      </w:r>
      <w:r w:rsidRPr="00876ECA">
        <w:rPr>
          <w:rFonts w:ascii="Calibri" w:hAnsi="Calibri"/>
          <w:sz w:val="22"/>
          <w:szCs w:val="22"/>
        </w:rPr>
        <w:t xml:space="preserve"> low</w:t>
      </w:r>
      <w:r>
        <w:rPr>
          <w:rFonts w:ascii="Calibri" w:hAnsi="Calibri"/>
          <w:sz w:val="22"/>
          <w:szCs w:val="22"/>
        </w:rPr>
        <w:t>-</w:t>
      </w:r>
      <w:r w:rsidRPr="00876ECA">
        <w:rPr>
          <w:rFonts w:ascii="Calibri" w:hAnsi="Calibri"/>
          <w:sz w:val="22"/>
          <w:szCs w:val="22"/>
        </w:rPr>
        <w:t>priced listing for a two-bedroom unit</w:t>
      </w:r>
      <w:r>
        <w:rPr>
          <w:rFonts w:ascii="Calibri" w:hAnsi="Calibri"/>
          <w:sz w:val="22"/>
          <w:szCs w:val="22"/>
        </w:rPr>
        <w:t xml:space="preserve"> of about $2,500</w:t>
      </w:r>
      <w:r w:rsidRPr="00876ECA">
        <w:rPr>
          <w:rFonts w:ascii="Calibri" w:hAnsi="Calibri"/>
          <w:sz w:val="22"/>
          <w:szCs w:val="22"/>
        </w:rPr>
        <w:t xml:space="preserve"> would require an income of </w:t>
      </w:r>
      <w:r>
        <w:rPr>
          <w:rFonts w:ascii="Calibri" w:hAnsi="Calibri"/>
          <w:sz w:val="22"/>
          <w:szCs w:val="22"/>
        </w:rPr>
        <w:t xml:space="preserve">about </w:t>
      </w:r>
      <w:r w:rsidRPr="00876ECA">
        <w:rPr>
          <w:rFonts w:ascii="Calibri" w:hAnsi="Calibri"/>
          <w:sz w:val="22"/>
          <w:szCs w:val="22"/>
        </w:rPr>
        <w:t>$</w:t>
      </w:r>
      <w:r>
        <w:rPr>
          <w:rFonts w:ascii="Calibri" w:hAnsi="Calibri"/>
          <w:sz w:val="22"/>
          <w:szCs w:val="22"/>
        </w:rPr>
        <w:t>107,000 based on $175 in  average monthly utilities costs</w:t>
      </w:r>
      <w:r w:rsidR="003E7670">
        <w:rPr>
          <w:rFonts w:ascii="Calibri" w:hAnsi="Calibri"/>
          <w:sz w:val="22"/>
          <w:szCs w:val="22"/>
        </w:rPr>
        <w:t xml:space="preserve"> without cost burdens</w:t>
      </w:r>
      <w:r w:rsidRPr="00876ECA">
        <w:rPr>
          <w:rFonts w:ascii="Calibri" w:hAnsi="Calibri"/>
          <w:sz w:val="22"/>
          <w:szCs w:val="22"/>
        </w:rPr>
        <w:t>.</w:t>
      </w:r>
      <w:r>
        <w:rPr>
          <w:rFonts w:ascii="Calibri" w:hAnsi="Calibri"/>
          <w:sz w:val="22"/>
          <w:szCs w:val="22"/>
        </w:rPr>
        <w:t xml:space="preserve"> </w:t>
      </w:r>
      <w:r w:rsidRPr="00876ECA">
        <w:rPr>
          <w:rFonts w:ascii="Calibri" w:hAnsi="Calibri"/>
          <w:sz w:val="22"/>
          <w:szCs w:val="22"/>
        </w:rPr>
        <w:t xml:space="preserve"> </w:t>
      </w:r>
    </w:p>
    <w:p w14:paraId="01DA5D27" w14:textId="77777777" w:rsidR="00E0322E" w:rsidRPr="000563DD" w:rsidRDefault="00E0322E" w:rsidP="003E7670">
      <w:pPr>
        <w:pStyle w:val="CommentText"/>
        <w:tabs>
          <w:tab w:val="left" w:pos="0"/>
        </w:tabs>
        <w:spacing w:line="240" w:lineRule="auto"/>
        <w:ind w:left="720"/>
        <w:jc w:val="both"/>
        <w:rPr>
          <w:rFonts w:asciiTheme="minorHAnsi" w:hAnsiTheme="minorHAnsi"/>
          <w:szCs w:val="22"/>
        </w:rPr>
      </w:pPr>
    </w:p>
    <w:p w14:paraId="5D69DE17" w14:textId="75CD7870" w:rsidR="00366140" w:rsidRPr="00366140" w:rsidRDefault="00DE29B8" w:rsidP="00244466">
      <w:pPr>
        <w:pStyle w:val="BodyTextIndent"/>
        <w:numPr>
          <w:ilvl w:val="0"/>
          <w:numId w:val="51"/>
        </w:numPr>
        <w:tabs>
          <w:tab w:val="left" w:pos="0"/>
        </w:tabs>
        <w:spacing w:after="0"/>
        <w:ind w:left="720" w:hanging="360"/>
        <w:jc w:val="both"/>
        <w:rPr>
          <w:rFonts w:ascii="Calibri" w:hAnsi="Calibri"/>
          <w:sz w:val="22"/>
        </w:rPr>
      </w:pPr>
      <w:r w:rsidRPr="00366140">
        <w:rPr>
          <w:rFonts w:asciiTheme="minorHAnsi" w:hAnsiTheme="minorHAnsi"/>
          <w:i/>
          <w:sz w:val="22"/>
          <w:szCs w:val="22"/>
        </w:rPr>
        <w:t>High up-front</w:t>
      </w:r>
      <w:r w:rsidR="00FA6F4E">
        <w:rPr>
          <w:rFonts w:asciiTheme="minorHAnsi" w:hAnsiTheme="minorHAnsi"/>
          <w:i/>
          <w:sz w:val="22"/>
          <w:szCs w:val="22"/>
        </w:rPr>
        <w:t xml:space="preserve"> move-in</w:t>
      </w:r>
      <w:r w:rsidRPr="00366140">
        <w:rPr>
          <w:rFonts w:asciiTheme="minorHAnsi" w:hAnsiTheme="minorHAnsi"/>
          <w:i/>
          <w:sz w:val="22"/>
          <w:szCs w:val="22"/>
        </w:rPr>
        <w:t xml:space="preserve"> </w:t>
      </w:r>
      <w:r w:rsidR="00FA6F4E">
        <w:rPr>
          <w:rFonts w:asciiTheme="minorHAnsi" w:hAnsiTheme="minorHAnsi"/>
          <w:i/>
          <w:sz w:val="22"/>
          <w:szCs w:val="22"/>
        </w:rPr>
        <w:t>expenses</w:t>
      </w:r>
      <w:r w:rsidRPr="00366140">
        <w:rPr>
          <w:rFonts w:asciiTheme="minorHAnsi" w:hAnsiTheme="minorHAnsi"/>
          <w:i/>
          <w:sz w:val="22"/>
          <w:szCs w:val="22"/>
        </w:rPr>
        <w:t xml:space="preserve"> </w:t>
      </w:r>
      <w:r w:rsidR="00373DE9">
        <w:rPr>
          <w:rFonts w:asciiTheme="minorHAnsi" w:hAnsiTheme="minorHAnsi"/>
          <w:iCs/>
          <w:sz w:val="22"/>
          <w:szCs w:val="22"/>
        </w:rPr>
        <w:t xml:space="preserve">– Many </w:t>
      </w:r>
      <w:r w:rsidRPr="00366140">
        <w:rPr>
          <w:rFonts w:asciiTheme="minorHAnsi" w:hAnsiTheme="minorHAnsi"/>
          <w:sz w:val="22"/>
          <w:szCs w:val="22"/>
        </w:rPr>
        <w:t>apartments require first and last months</w:t>
      </w:r>
      <w:r w:rsidR="00373DE9">
        <w:rPr>
          <w:rFonts w:asciiTheme="minorHAnsi" w:hAnsiTheme="minorHAnsi"/>
          <w:sz w:val="22"/>
          <w:szCs w:val="22"/>
        </w:rPr>
        <w:t>’</w:t>
      </w:r>
      <w:r w:rsidRPr="00366140">
        <w:rPr>
          <w:rFonts w:asciiTheme="minorHAnsi" w:hAnsiTheme="minorHAnsi"/>
          <w:sz w:val="22"/>
          <w:szCs w:val="22"/>
        </w:rPr>
        <w:t xml:space="preserve"> rent plus a security deposit.  For a $</w:t>
      </w:r>
      <w:r w:rsidR="00C86858" w:rsidRPr="00366140">
        <w:rPr>
          <w:rFonts w:asciiTheme="minorHAnsi" w:hAnsiTheme="minorHAnsi"/>
          <w:sz w:val="22"/>
          <w:szCs w:val="22"/>
        </w:rPr>
        <w:t>2,</w:t>
      </w:r>
      <w:r w:rsidR="003E7670" w:rsidRPr="00366140">
        <w:rPr>
          <w:rFonts w:asciiTheme="minorHAnsi" w:hAnsiTheme="minorHAnsi"/>
          <w:sz w:val="22"/>
          <w:szCs w:val="22"/>
        </w:rPr>
        <w:t>5</w:t>
      </w:r>
      <w:r w:rsidR="00C86858" w:rsidRPr="00366140">
        <w:rPr>
          <w:rFonts w:asciiTheme="minorHAnsi" w:hAnsiTheme="minorHAnsi"/>
          <w:sz w:val="22"/>
          <w:szCs w:val="22"/>
        </w:rPr>
        <w:t>00</w:t>
      </w:r>
      <w:r w:rsidRPr="00366140">
        <w:rPr>
          <w:rFonts w:asciiTheme="minorHAnsi" w:hAnsiTheme="minorHAnsi"/>
          <w:sz w:val="22"/>
          <w:szCs w:val="22"/>
        </w:rPr>
        <w:t xml:space="preserve"> apartment, that totals as much as $</w:t>
      </w:r>
      <w:r w:rsidR="003E7670" w:rsidRPr="00366140">
        <w:rPr>
          <w:rFonts w:asciiTheme="minorHAnsi" w:hAnsiTheme="minorHAnsi"/>
          <w:sz w:val="22"/>
          <w:szCs w:val="22"/>
        </w:rPr>
        <w:t>7,500</w:t>
      </w:r>
      <w:r w:rsidRPr="00366140">
        <w:rPr>
          <w:rFonts w:asciiTheme="minorHAnsi" w:hAnsiTheme="minorHAnsi"/>
          <w:sz w:val="22"/>
          <w:szCs w:val="22"/>
        </w:rPr>
        <w:t>, an amount that many prospective tenants do not have available. Additionally, because m</w:t>
      </w:r>
      <w:r w:rsidR="003E7670" w:rsidRPr="00366140">
        <w:rPr>
          <w:rFonts w:asciiTheme="minorHAnsi" w:hAnsiTheme="minorHAnsi"/>
          <w:sz w:val="22"/>
          <w:szCs w:val="22"/>
        </w:rPr>
        <w:t>any</w:t>
      </w:r>
      <w:r w:rsidRPr="00366140">
        <w:rPr>
          <w:rFonts w:asciiTheme="minorHAnsi" w:hAnsiTheme="minorHAnsi"/>
          <w:sz w:val="22"/>
          <w:szCs w:val="22"/>
        </w:rPr>
        <w:t xml:space="preserve"> of </w:t>
      </w:r>
      <w:r w:rsidR="00C86858" w:rsidRPr="00366140">
        <w:rPr>
          <w:rFonts w:asciiTheme="minorHAnsi" w:hAnsiTheme="minorHAnsi"/>
          <w:sz w:val="22"/>
          <w:szCs w:val="22"/>
        </w:rPr>
        <w:t>Needham</w:t>
      </w:r>
      <w:r w:rsidRPr="00366140">
        <w:rPr>
          <w:rFonts w:asciiTheme="minorHAnsi" w:hAnsiTheme="minorHAnsi"/>
          <w:sz w:val="22"/>
          <w:szCs w:val="22"/>
        </w:rPr>
        <w:t xml:space="preserve">’s rental opportunities </w:t>
      </w:r>
      <w:r w:rsidR="003E7670" w:rsidRPr="00366140">
        <w:rPr>
          <w:rFonts w:asciiTheme="minorHAnsi" w:hAnsiTheme="minorHAnsi"/>
          <w:sz w:val="22"/>
          <w:szCs w:val="22"/>
        </w:rPr>
        <w:t xml:space="preserve">in smaller properties </w:t>
      </w:r>
      <w:r w:rsidRPr="00366140">
        <w:rPr>
          <w:rFonts w:asciiTheme="minorHAnsi" w:hAnsiTheme="minorHAnsi"/>
          <w:sz w:val="22"/>
          <w:szCs w:val="22"/>
        </w:rPr>
        <w:t>are not advertised, those who do not have a special connection to the community are often out of luck.</w:t>
      </w:r>
    </w:p>
    <w:p w14:paraId="01F08FF0" w14:textId="77777777" w:rsidR="00366140" w:rsidRPr="00366140" w:rsidRDefault="00366140" w:rsidP="00366140">
      <w:pPr>
        <w:pStyle w:val="BodyTextIndent"/>
        <w:tabs>
          <w:tab w:val="left" w:pos="0"/>
        </w:tabs>
        <w:spacing w:after="0"/>
        <w:ind w:left="630"/>
        <w:jc w:val="both"/>
        <w:rPr>
          <w:rFonts w:ascii="Calibri" w:hAnsi="Calibri"/>
          <w:sz w:val="22"/>
        </w:rPr>
      </w:pPr>
    </w:p>
    <w:p w14:paraId="5C161EA7" w14:textId="1515D552" w:rsidR="00A9234D" w:rsidRPr="00A9234D" w:rsidRDefault="00DE29B8" w:rsidP="00244466">
      <w:pPr>
        <w:pStyle w:val="BodyTextIndent"/>
        <w:numPr>
          <w:ilvl w:val="0"/>
          <w:numId w:val="51"/>
        </w:numPr>
        <w:tabs>
          <w:tab w:val="left" w:pos="720"/>
        </w:tabs>
        <w:spacing w:after="0"/>
        <w:ind w:left="720" w:hanging="360"/>
        <w:jc w:val="both"/>
        <w:rPr>
          <w:rFonts w:ascii="Calibri" w:hAnsi="Calibri"/>
          <w:sz w:val="22"/>
          <w:szCs w:val="22"/>
        </w:rPr>
      </w:pPr>
      <w:r w:rsidRPr="00A9234D">
        <w:rPr>
          <w:rFonts w:asciiTheme="minorHAnsi" w:hAnsiTheme="minorHAnsi"/>
          <w:i/>
          <w:sz w:val="22"/>
          <w:szCs w:val="22"/>
        </w:rPr>
        <w:t>Deficit of affordable rentals –</w:t>
      </w:r>
      <w:r w:rsidR="003E7670" w:rsidRPr="00A9234D">
        <w:rPr>
          <w:rFonts w:asciiTheme="minorHAnsi" w:hAnsiTheme="minorHAnsi"/>
          <w:i/>
          <w:sz w:val="22"/>
          <w:szCs w:val="22"/>
        </w:rPr>
        <w:t xml:space="preserve"> </w:t>
      </w:r>
      <w:r w:rsidR="003E7670" w:rsidRPr="00A9234D">
        <w:rPr>
          <w:rFonts w:asciiTheme="minorHAnsi" w:hAnsiTheme="minorHAnsi"/>
          <w:iCs/>
          <w:sz w:val="22"/>
          <w:szCs w:val="22"/>
        </w:rPr>
        <w:t>Calculations in Table III-40 suggest</w:t>
      </w:r>
      <w:r w:rsidR="003E7670" w:rsidRPr="00A9234D">
        <w:rPr>
          <w:rFonts w:ascii="Calibri" w:hAnsi="Calibri"/>
          <w:sz w:val="22"/>
        </w:rPr>
        <w:t xml:space="preserve"> that there is a shortage of 620 rental units for those with incomes at or below 80% </w:t>
      </w:r>
      <w:r w:rsidR="001D01EF" w:rsidRPr="00A9234D">
        <w:rPr>
          <w:rFonts w:ascii="Calibri" w:hAnsi="Calibri"/>
          <w:sz w:val="22"/>
        </w:rPr>
        <w:t>AMI</w:t>
      </w:r>
      <w:r w:rsidR="003E7670" w:rsidRPr="00A9234D">
        <w:rPr>
          <w:rFonts w:ascii="Calibri" w:hAnsi="Calibri"/>
          <w:sz w:val="22"/>
        </w:rPr>
        <w:t xml:space="preserve">.  Since this data was reported in 2018, it is likely that some of this need was subsequently addressed by The Kendrick or Modera Needham Chapter 40B developments for those in the 50% to 80% AMI range but not for those with incomes below which comprise the greatest need of 500 units.  Given rising housing costs, it is likely that the deficits have grown </w:t>
      </w:r>
      <w:r w:rsidR="00691E1C">
        <w:rPr>
          <w:rFonts w:ascii="Calibri" w:hAnsi="Calibri"/>
          <w:sz w:val="22"/>
        </w:rPr>
        <w:t>and</w:t>
      </w:r>
      <w:r w:rsidR="003E7670" w:rsidRPr="00A9234D">
        <w:rPr>
          <w:rFonts w:ascii="Calibri" w:hAnsi="Calibri"/>
          <w:sz w:val="22"/>
        </w:rPr>
        <w:t xml:space="preserve"> more units will be out of the range of low-income households.</w:t>
      </w:r>
    </w:p>
    <w:p w14:paraId="1BF3ABE6" w14:textId="77777777" w:rsidR="00A9234D" w:rsidRPr="00A9234D" w:rsidRDefault="00A9234D" w:rsidP="00A9234D">
      <w:pPr>
        <w:pStyle w:val="BodyTextIndent"/>
        <w:tabs>
          <w:tab w:val="left" w:pos="0"/>
        </w:tabs>
        <w:spacing w:after="0"/>
        <w:ind w:left="720"/>
        <w:jc w:val="both"/>
        <w:rPr>
          <w:rFonts w:ascii="Calibri" w:hAnsi="Calibri"/>
          <w:sz w:val="22"/>
          <w:szCs w:val="22"/>
        </w:rPr>
      </w:pPr>
    </w:p>
    <w:p w14:paraId="743711E3" w14:textId="24C50A5A" w:rsidR="00A9234D" w:rsidRPr="00A9234D" w:rsidRDefault="00DE29B8" w:rsidP="00244466">
      <w:pPr>
        <w:pStyle w:val="BodyTextIndent"/>
        <w:numPr>
          <w:ilvl w:val="0"/>
          <w:numId w:val="51"/>
        </w:numPr>
        <w:tabs>
          <w:tab w:val="left" w:pos="0"/>
        </w:tabs>
        <w:spacing w:after="0"/>
        <w:ind w:left="720" w:hanging="360"/>
        <w:jc w:val="both"/>
        <w:rPr>
          <w:rFonts w:ascii="Calibri" w:hAnsi="Calibri"/>
          <w:sz w:val="22"/>
          <w:szCs w:val="22"/>
        </w:rPr>
      </w:pPr>
      <w:r w:rsidRPr="00A9234D">
        <w:rPr>
          <w:rFonts w:asciiTheme="minorHAnsi" w:hAnsiTheme="minorHAnsi"/>
          <w:i/>
          <w:sz w:val="22"/>
          <w:szCs w:val="22"/>
        </w:rPr>
        <w:t xml:space="preserve">Low vacancy rate </w:t>
      </w:r>
      <w:r w:rsidR="00A9234D" w:rsidRPr="00A9234D">
        <w:rPr>
          <w:rFonts w:asciiTheme="minorHAnsi" w:hAnsiTheme="minorHAnsi"/>
          <w:sz w:val="22"/>
          <w:szCs w:val="22"/>
        </w:rPr>
        <w:t>–</w:t>
      </w:r>
      <w:r w:rsidRPr="00A9234D">
        <w:rPr>
          <w:rFonts w:asciiTheme="minorHAnsi" w:hAnsiTheme="minorHAnsi"/>
          <w:sz w:val="22"/>
          <w:szCs w:val="22"/>
        </w:rPr>
        <w:t xml:space="preserve"> </w:t>
      </w:r>
      <w:r w:rsidR="00A9234D" w:rsidRPr="00A9234D">
        <w:rPr>
          <w:rFonts w:ascii="Calibri" w:hAnsi="Calibri"/>
          <w:sz w:val="22"/>
          <w:szCs w:val="22"/>
        </w:rPr>
        <w:t>The 20</w:t>
      </w:r>
      <w:r w:rsidR="008D1222">
        <w:rPr>
          <w:rFonts w:ascii="Calibri" w:hAnsi="Calibri"/>
          <w:sz w:val="22"/>
          <w:szCs w:val="22"/>
        </w:rPr>
        <w:t>20</w:t>
      </w:r>
      <w:r w:rsidR="00A9234D" w:rsidRPr="00A9234D">
        <w:rPr>
          <w:rFonts w:ascii="Calibri" w:hAnsi="Calibri"/>
          <w:sz w:val="22"/>
          <w:szCs w:val="22"/>
        </w:rPr>
        <w:t xml:space="preserve"> census estimates identify the rental vacancy rate as </w:t>
      </w:r>
      <w:r w:rsidR="008D1222">
        <w:rPr>
          <w:rFonts w:ascii="Calibri" w:hAnsi="Calibri"/>
          <w:sz w:val="22"/>
          <w:szCs w:val="22"/>
        </w:rPr>
        <w:t>2.6</w:t>
      </w:r>
      <w:r w:rsidR="00A9234D" w:rsidRPr="00A9234D">
        <w:rPr>
          <w:rFonts w:ascii="Calibri" w:hAnsi="Calibri"/>
          <w:sz w:val="22"/>
          <w:szCs w:val="22"/>
        </w:rPr>
        <w:t xml:space="preserve">%, lower than county and state levels of </w:t>
      </w:r>
      <w:r w:rsidR="008D1222">
        <w:rPr>
          <w:rFonts w:ascii="Calibri" w:hAnsi="Calibri"/>
          <w:sz w:val="22"/>
          <w:szCs w:val="22"/>
        </w:rPr>
        <w:t>3.1</w:t>
      </w:r>
      <w:r w:rsidR="00A9234D" w:rsidRPr="00A9234D">
        <w:rPr>
          <w:rFonts w:ascii="Calibri" w:hAnsi="Calibri"/>
          <w:sz w:val="22"/>
          <w:szCs w:val="22"/>
        </w:rPr>
        <w:t>% and 3.</w:t>
      </w:r>
      <w:r w:rsidR="008D1222">
        <w:rPr>
          <w:rFonts w:ascii="Calibri" w:hAnsi="Calibri"/>
          <w:sz w:val="22"/>
          <w:szCs w:val="22"/>
        </w:rPr>
        <w:t>3</w:t>
      </w:r>
      <w:r w:rsidR="00A9234D" w:rsidRPr="00A9234D">
        <w:rPr>
          <w:rFonts w:ascii="Calibri" w:hAnsi="Calibri"/>
          <w:sz w:val="22"/>
          <w:szCs w:val="22"/>
        </w:rPr>
        <w:t xml:space="preserve">%, respectively. As any rate below 5% </w:t>
      </w:r>
      <w:r w:rsidR="008F27F6">
        <w:rPr>
          <w:rFonts w:ascii="Calibri" w:hAnsi="Calibri"/>
          <w:sz w:val="22"/>
          <w:szCs w:val="22"/>
        </w:rPr>
        <w:t xml:space="preserve">is largely recognized to </w:t>
      </w:r>
      <w:r w:rsidR="00A9234D" w:rsidRPr="00A9234D">
        <w:rPr>
          <w:rFonts w:ascii="Calibri" w:hAnsi="Calibri"/>
          <w:sz w:val="22"/>
          <w:szCs w:val="22"/>
        </w:rPr>
        <w:t xml:space="preserve">reflect extremely tight housing market conditions, this information confirms a very robust rental market.  </w:t>
      </w:r>
    </w:p>
    <w:p w14:paraId="21C783A7" w14:textId="77777777" w:rsidR="00DE29B8" w:rsidRPr="000563DD" w:rsidRDefault="00DE29B8" w:rsidP="00DE29B8">
      <w:pPr>
        <w:pStyle w:val="BodyTextIndent"/>
        <w:tabs>
          <w:tab w:val="left" w:pos="0"/>
        </w:tabs>
        <w:spacing w:after="0"/>
        <w:ind w:left="0"/>
        <w:rPr>
          <w:bCs/>
          <w:sz w:val="22"/>
          <w:szCs w:val="22"/>
        </w:rPr>
      </w:pPr>
    </w:p>
    <w:p w14:paraId="7E12655F" w14:textId="2D7690EE" w:rsidR="00DE29B8" w:rsidRPr="000563DD" w:rsidRDefault="00DE29B8" w:rsidP="00DE29B8">
      <w:pPr>
        <w:pStyle w:val="BodyTextIndent"/>
        <w:tabs>
          <w:tab w:val="left" w:pos="360"/>
        </w:tabs>
        <w:spacing w:after="0"/>
        <w:rPr>
          <w:rFonts w:asciiTheme="minorHAnsi" w:hAnsiTheme="minorHAnsi"/>
          <w:bCs/>
          <w:i/>
          <w:sz w:val="22"/>
          <w:szCs w:val="22"/>
        </w:rPr>
      </w:pPr>
      <w:r w:rsidRPr="000563DD">
        <w:rPr>
          <w:rFonts w:asciiTheme="minorHAnsi" w:hAnsiTheme="minorHAnsi"/>
          <w:bCs/>
          <w:i/>
          <w:sz w:val="22"/>
          <w:szCs w:val="22"/>
        </w:rPr>
        <w:t xml:space="preserve">Rental Needs of </w:t>
      </w:r>
      <w:r w:rsidR="00FA6F4E">
        <w:rPr>
          <w:rFonts w:asciiTheme="minorHAnsi" w:hAnsiTheme="minorHAnsi"/>
          <w:bCs/>
          <w:i/>
          <w:sz w:val="22"/>
          <w:szCs w:val="22"/>
        </w:rPr>
        <w:t>Older Adult</w:t>
      </w:r>
      <w:r w:rsidRPr="000563DD">
        <w:rPr>
          <w:rFonts w:asciiTheme="minorHAnsi" w:hAnsiTheme="minorHAnsi"/>
          <w:bCs/>
          <w:i/>
          <w:sz w:val="22"/>
          <w:szCs w:val="22"/>
        </w:rPr>
        <w:t>s</w:t>
      </w:r>
    </w:p>
    <w:p w14:paraId="22C7F595" w14:textId="36A5AFED" w:rsidR="00DE29B8" w:rsidRPr="000563DD" w:rsidRDefault="00DE29B8" w:rsidP="00E810F9">
      <w:pPr>
        <w:pStyle w:val="BodyText3"/>
        <w:shd w:val="clear" w:color="auto" w:fill="B6DDE8" w:themeFill="accent5" w:themeFillTint="66"/>
        <w:tabs>
          <w:tab w:val="left" w:pos="0"/>
        </w:tabs>
        <w:spacing w:after="0"/>
        <w:ind w:left="360"/>
        <w:jc w:val="both"/>
        <w:rPr>
          <w:rFonts w:asciiTheme="minorHAnsi" w:hAnsiTheme="minorHAnsi" w:cs="Lucida Sans Unicode"/>
          <w:i/>
          <w:sz w:val="22"/>
          <w:szCs w:val="22"/>
        </w:rPr>
      </w:pPr>
      <w:r w:rsidRPr="000563DD">
        <w:rPr>
          <w:rFonts w:asciiTheme="minorHAnsi" w:hAnsiTheme="minorHAnsi"/>
          <w:bCs/>
          <w:i/>
          <w:sz w:val="22"/>
          <w:szCs w:val="22"/>
        </w:rPr>
        <w:lastRenderedPageBreak/>
        <w:t xml:space="preserve">Rental housing needs of </w:t>
      </w:r>
      <w:r w:rsidR="00FA6F4E">
        <w:rPr>
          <w:rFonts w:asciiTheme="minorHAnsi" w:hAnsiTheme="minorHAnsi"/>
          <w:bCs/>
          <w:i/>
          <w:sz w:val="22"/>
          <w:szCs w:val="22"/>
        </w:rPr>
        <w:t>older adult</w:t>
      </w:r>
      <w:r w:rsidRPr="000563DD">
        <w:rPr>
          <w:rFonts w:asciiTheme="minorHAnsi" w:hAnsiTheme="minorHAnsi"/>
          <w:bCs/>
          <w:i/>
          <w:sz w:val="22"/>
          <w:szCs w:val="22"/>
        </w:rPr>
        <w:t xml:space="preserve">s are growing and cost burdens remain </w:t>
      </w:r>
      <w:r w:rsidR="008F27F6">
        <w:rPr>
          <w:rFonts w:asciiTheme="minorHAnsi" w:hAnsiTheme="minorHAnsi"/>
          <w:bCs/>
          <w:i/>
          <w:sz w:val="22"/>
          <w:szCs w:val="22"/>
        </w:rPr>
        <w:t>high</w:t>
      </w:r>
      <w:r w:rsidRPr="000563DD">
        <w:rPr>
          <w:rFonts w:asciiTheme="minorHAnsi" w:hAnsiTheme="minorHAnsi"/>
          <w:bCs/>
          <w:i/>
          <w:sz w:val="22"/>
          <w:szCs w:val="22"/>
        </w:rPr>
        <w:t xml:space="preserve"> as noted below. </w:t>
      </w:r>
      <w:r w:rsidRPr="000563DD">
        <w:rPr>
          <w:rFonts w:asciiTheme="minorHAnsi" w:hAnsiTheme="minorHAnsi" w:cs="Lucida Sans Unicode"/>
          <w:i/>
          <w:sz w:val="22"/>
          <w:szCs w:val="22"/>
        </w:rPr>
        <w:t>Clearly housing alternatives to accommodate th</w:t>
      </w:r>
      <w:r w:rsidR="00691E1C">
        <w:rPr>
          <w:rFonts w:asciiTheme="minorHAnsi" w:hAnsiTheme="minorHAnsi" w:cs="Lucida Sans Unicode"/>
          <w:i/>
          <w:sz w:val="22"/>
          <w:szCs w:val="22"/>
        </w:rPr>
        <w:t>e</w:t>
      </w:r>
      <w:r w:rsidRPr="000563DD">
        <w:rPr>
          <w:rFonts w:asciiTheme="minorHAnsi" w:hAnsiTheme="minorHAnsi" w:cs="Lucida Sans Unicode"/>
          <w:i/>
          <w:sz w:val="22"/>
          <w:szCs w:val="22"/>
        </w:rPr>
        <w:t xml:space="preserve"> increasing population of </w:t>
      </w:r>
      <w:r w:rsidR="00FA6F4E">
        <w:rPr>
          <w:rFonts w:asciiTheme="minorHAnsi" w:hAnsiTheme="minorHAnsi" w:cs="Lucida Sans Unicode"/>
          <w:i/>
          <w:sz w:val="22"/>
          <w:szCs w:val="22"/>
        </w:rPr>
        <w:t>older resident</w:t>
      </w:r>
      <w:r w:rsidRPr="000563DD">
        <w:rPr>
          <w:rFonts w:asciiTheme="minorHAnsi" w:hAnsiTheme="minorHAnsi" w:cs="Lucida Sans Unicode"/>
          <w:i/>
          <w:sz w:val="22"/>
          <w:szCs w:val="22"/>
        </w:rPr>
        <w:t>s</w:t>
      </w:r>
      <w:r w:rsidR="00691E1C">
        <w:rPr>
          <w:rFonts w:asciiTheme="minorHAnsi" w:hAnsiTheme="minorHAnsi" w:cs="Lucida Sans Unicode"/>
          <w:i/>
          <w:sz w:val="22"/>
          <w:szCs w:val="22"/>
        </w:rPr>
        <w:t xml:space="preserve"> </w:t>
      </w:r>
      <w:r w:rsidRPr="000563DD">
        <w:rPr>
          <w:rFonts w:asciiTheme="minorHAnsi" w:hAnsiTheme="minorHAnsi" w:cs="Lucida Sans Unicode"/>
          <w:i/>
          <w:sz w:val="22"/>
          <w:szCs w:val="22"/>
        </w:rPr>
        <w:t>such as more handicapped accessibility, housing with supportive services, and units without subs</w:t>
      </w:r>
      <w:r>
        <w:rPr>
          <w:rFonts w:asciiTheme="minorHAnsi" w:hAnsiTheme="minorHAnsi" w:cs="Lucida Sans Unicode"/>
          <w:i/>
          <w:sz w:val="22"/>
          <w:szCs w:val="22"/>
        </w:rPr>
        <w:t xml:space="preserve">tantial maintenance demands </w:t>
      </w:r>
      <w:r w:rsidRPr="000563DD">
        <w:rPr>
          <w:rFonts w:asciiTheme="minorHAnsi" w:hAnsiTheme="minorHAnsi" w:cs="Lucida Sans Unicode"/>
          <w:i/>
          <w:sz w:val="22"/>
          <w:szCs w:val="22"/>
        </w:rPr>
        <w:t xml:space="preserve">should be considered in housing planning efforts.  </w:t>
      </w:r>
    </w:p>
    <w:p w14:paraId="6C252992" w14:textId="77777777" w:rsidR="00DE29B8" w:rsidRPr="000563DD" w:rsidRDefault="00DE29B8" w:rsidP="00DE29B8">
      <w:pPr>
        <w:pStyle w:val="BodyTextIndent"/>
        <w:tabs>
          <w:tab w:val="left" w:pos="360"/>
        </w:tabs>
        <w:spacing w:after="0"/>
        <w:rPr>
          <w:rFonts w:asciiTheme="minorHAnsi" w:hAnsiTheme="minorHAnsi"/>
          <w:bCs/>
          <w:sz w:val="22"/>
          <w:szCs w:val="22"/>
        </w:rPr>
      </w:pPr>
    </w:p>
    <w:p w14:paraId="7FE4219F" w14:textId="09CA0C50" w:rsidR="00F40D37" w:rsidRPr="00F40D37" w:rsidRDefault="00DE29B8" w:rsidP="00244466">
      <w:pPr>
        <w:pStyle w:val="ListParagraph"/>
        <w:numPr>
          <w:ilvl w:val="0"/>
          <w:numId w:val="55"/>
        </w:numPr>
        <w:ind w:left="720"/>
        <w:jc w:val="both"/>
        <w:rPr>
          <w:rFonts w:ascii="Calibri" w:hAnsi="Calibri" w:cs="Lucida Sans Unicode"/>
          <w:sz w:val="22"/>
          <w:szCs w:val="22"/>
        </w:rPr>
      </w:pPr>
      <w:r w:rsidRPr="00F40D37">
        <w:rPr>
          <w:rFonts w:asciiTheme="minorHAnsi" w:hAnsiTheme="minorHAnsi" w:cs="Lucida Sans Unicode"/>
          <w:i/>
          <w:sz w:val="22"/>
          <w:szCs w:val="22"/>
        </w:rPr>
        <w:t>Recent population growth –</w:t>
      </w:r>
      <w:r w:rsidR="00F40D37" w:rsidRPr="00F40D37">
        <w:rPr>
          <w:rFonts w:asciiTheme="minorHAnsi" w:hAnsiTheme="minorHAnsi" w:cs="Lucida Sans Unicode"/>
          <w:i/>
          <w:sz w:val="22"/>
          <w:szCs w:val="22"/>
        </w:rPr>
        <w:t xml:space="preserve"> </w:t>
      </w:r>
      <w:r w:rsidR="00F40D37" w:rsidRPr="00F40D37">
        <w:rPr>
          <w:rFonts w:asciiTheme="minorHAnsi" w:hAnsiTheme="minorHAnsi" w:cs="Lucida Sans Unicode"/>
          <w:sz w:val="22"/>
          <w:szCs w:val="22"/>
        </w:rPr>
        <w:t xml:space="preserve">The number of those 65 years of age and older increased to </w:t>
      </w:r>
      <w:r w:rsidR="008D1222">
        <w:rPr>
          <w:rFonts w:asciiTheme="minorHAnsi" w:hAnsiTheme="minorHAnsi" w:cs="Lucida Sans Unicode"/>
          <w:sz w:val="22"/>
          <w:szCs w:val="22"/>
        </w:rPr>
        <w:t>6,068</w:t>
      </w:r>
      <w:r w:rsidR="00F40D37" w:rsidRPr="00F40D37">
        <w:rPr>
          <w:rFonts w:asciiTheme="minorHAnsi" w:hAnsiTheme="minorHAnsi" w:cs="Lucida Sans Unicode"/>
          <w:sz w:val="22"/>
          <w:szCs w:val="22"/>
        </w:rPr>
        <w:t xml:space="preserve"> residents and 19</w:t>
      </w:r>
      <w:r w:rsidR="008D1222">
        <w:rPr>
          <w:rFonts w:asciiTheme="minorHAnsi" w:hAnsiTheme="minorHAnsi" w:cs="Lucida Sans Unicode"/>
          <w:sz w:val="22"/>
          <w:szCs w:val="22"/>
        </w:rPr>
        <w:t>.5</w:t>
      </w:r>
      <w:r w:rsidR="00F40D37" w:rsidRPr="00F40D37">
        <w:rPr>
          <w:rFonts w:asciiTheme="minorHAnsi" w:hAnsiTheme="minorHAnsi" w:cs="Lucida Sans Unicode"/>
          <w:sz w:val="22"/>
          <w:szCs w:val="22"/>
        </w:rPr>
        <w:t>% of the population according to 20</w:t>
      </w:r>
      <w:r w:rsidR="008D1222">
        <w:rPr>
          <w:rFonts w:asciiTheme="minorHAnsi" w:hAnsiTheme="minorHAnsi" w:cs="Lucida Sans Unicode"/>
          <w:sz w:val="22"/>
          <w:szCs w:val="22"/>
        </w:rPr>
        <w:t xml:space="preserve">20 </w:t>
      </w:r>
      <w:r w:rsidR="00F40D37" w:rsidRPr="00F40D37">
        <w:rPr>
          <w:rFonts w:asciiTheme="minorHAnsi" w:hAnsiTheme="minorHAnsi" w:cs="Lucida Sans Unicode"/>
          <w:sz w:val="22"/>
          <w:szCs w:val="22"/>
        </w:rPr>
        <w:t xml:space="preserve">census estimates, </w:t>
      </w:r>
      <w:r w:rsidR="00691E1C">
        <w:rPr>
          <w:rFonts w:asciiTheme="minorHAnsi" w:hAnsiTheme="minorHAnsi" w:cs="Lucida Sans Unicode"/>
          <w:sz w:val="22"/>
          <w:szCs w:val="22"/>
        </w:rPr>
        <w:t xml:space="preserve">from </w:t>
      </w:r>
      <w:r w:rsidR="006E3FE4">
        <w:rPr>
          <w:rFonts w:asciiTheme="minorHAnsi" w:hAnsiTheme="minorHAnsi" w:cs="Lucida Sans Unicode"/>
          <w:sz w:val="22"/>
          <w:szCs w:val="22"/>
        </w:rPr>
        <w:t xml:space="preserve">4,700 </w:t>
      </w:r>
      <w:r w:rsidR="001B0056">
        <w:rPr>
          <w:rFonts w:asciiTheme="minorHAnsi" w:hAnsiTheme="minorHAnsi" w:cs="Lucida Sans Unicode"/>
          <w:sz w:val="22"/>
          <w:szCs w:val="22"/>
        </w:rPr>
        <w:t xml:space="preserve">residents </w:t>
      </w:r>
      <w:r w:rsidR="006E3FE4">
        <w:rPr>
          <w:rFonts w:asciiTheme="minorHAnsi" w:hAnsiTheme="minorHAnsi" w:cs="Lucida Sans Unicode"/>
          <w:sz w:val="22"/>
          <w:szCs w:val="22"/>
        </w:rPr>
        <w:t xml:space="preserve">and 16.3% in 2010.  This increase was </w:t>
      </w:r>
      <w:r w:rsidR="00F40D37" w:rsidRPr="00F40D37">
        <w:rPr>
          <w:rFonts w:asciiTheme="minorHAnsi" w:hAnsiTheme="minorHAnsi" w:cs="Lucida Sans Unicode"/>
          <w:sz w:val="22"/>
          <w:szCs w:val="22"/>
        </w:rPr>
        <w:t xml:space="preserve">largely driven by those age 65 to 74.  </w:t>
      </w:r>
    </w:p>
    <w:p w14:paraId="11EDBD9E" w14:textId="77777777" w:rsidR="00DE29B8" w:rsidRPr="000563DD" w:rsidRDefault="00DE29B8" w:rsidP="00DE29B8">
      <w:pPr>
        <w:ind w:left="720"/>
        <w:jc w:val="both"/>
        <w:rPr>
          <w:rFonts w:asciiTheme="minorHAnsi" w:hAnsiTheme="minorHAnsi"/>
          <w:b/>
          <w:color w:val="002060"/>
          <w:sz w:val="22"/>
          <w:szCs w:val="22"/>
        </w:rPr>
      </w:pPr>
    </w:p>
    <w:p w14:paraId="68901795" w14:textId="5231DA4A" w:rsidR="00DE29B8" w:rsidRPr="000563DD" w:rsidRDefault="004626D4" w:rsidP="00244466">
      <w:pPr>
        <w:numPr>
          <w:ilvl w:val="0"/>
          <w:numId w:val="51"/>
        </w:numPr>
        <w:ind w:left="720" w:hanging="360"/>
        <w:jc w:val="both"/>
        <w:rPr>
          <w:rFonts w:asciiTheme="minorHAnsi" w:hAnsiTheme="minorHAnsi"/>
          <w:color w:val="002060"/>
          <w:sz w:val="22"/>
          <w:szCs w:val="22"/>
        </w:rPr>
      </w:pPr>
      <w:r>
        <w:rPr>
          <w:rFonts w:asciiTheme="minorHAnsi" w:hAnsiTheme="minorHAnsi"/>
          <w:i/>
          <w:sz w:val="22"/>
          <w:szCs w:val="22"/>
        </w:rPr>
        <w:t>Significant</w:t>
      </w:r>
      <w:r w:rsidR="00DE29B8" w:rsidRPr="000563DD">
        <w:rPr>
          <w:rFonts w:asciiTheme="minorHAnsi" w:hAnsiTheme="minorHAnsi"/>
          <w:i/>
          <w:sz w:val="22"/>
          <w:szCs w:val="22"/>
        </w:rPr>
        <w:t xml:space="preserve"> projected growth – </w:t>
      </w:r>
      <w:r w:rsidR="00AF58DF" w:rsidRPr="00F40D37">
        <w:rPr>
          <w:rFonts w:asciiTheme="minorHAnsi" w:hAnsiTheme="minorHAnsi" w:cs="Lucida Sans Unicode"/>
          <w:sz w:val="22"/>
          <w:szCs w:val="22"/>
        </w:rPr>
        <w:t xml:space="preserve">As the community’s Baby Boomers continue to enter </w:t>
      </w:r>
      <w:r w:rsidR="00AF58DF">
        <w:rPr>
          <w:rFonts w:asciiTheme="minorHAnsi" w:hAnsiTheme="minorHAnsi" w:cs="Lucida Sans Unicode"/>
          <w:sz w:val="22"/>
          <w:szCs w:val="22"/>
        </w:rPr>
        <w:t>the 65 years and over age range</w:t>
      </w:r>
      <w:r w:rsidR="00AF58DF" w:rsidRPr="00F40D37">
        <w:rPr>
          <w:rFonts w:asciiTheme="minorHAnsi" w:hAnsiTheme="minorHAnsi" w:cs="Lucida Sans Unicode"/>
          <w:sz w:val="22"/>
          <w:szCs w:val="22"/>
        </w:rPr>
        <w:t xml:space="preserve">, the numbers of </w:t>
      </w:r>
      <w:r w:rsidR="00867C9E">
        <w:rPr>
          <w:rFonts w:asciiTheme="minorHAnsi" w:hAnsiTheme="minorHAnsi" w:cs="Lucida Sans Unicode"/>
          <w:sz w:val="22"/>
          <w:szCs w:val="22"/>
        </w:rPr>
        <w:t>older adult</w:t>
      </w:r>
      <w:r w:rsidR="00AF58DF" w:rsidRPr="00F40D37">
        <w:rPr>
          <w:rFonts w:asciiTheme="minorHAnsi" w:hAnsiTheme="minorHAnsi" w:cs="Lucida Sans Unicode"/>
          <w:sz w:val="22"/>
          <w:szCs w:val="22"/>
        </w:rPr>
        <w:t xml:space="preserve">s </w:t>
      </w:r>
      <w:r w:rsidR="00AF58DF">
        <w:rPr>
          <w:rFonts w:asciiTheme="minorHAnsi" w:hAnsiTheme="minorHAnsi" w:cs="Lucida Sans Unicode"/>
          <w:sz w:val="22"/>
          <w:szCs w:val="22"/>
        </w:rPr>
        <w:t>is forecasted</w:t>
      </w:r>
      <w:r w:rsidR="00AF58DF" w:rsidRPr="00F40D37">
        <w:rPr>
          <w:rFonts w:asciiTheme="minorHAnsi" w:hAnsiTheme="minorHAnsi" w:cs="Lucida Sans Unicode"/>
          <w:sz w:val="22"/>
          <w:szCs w:val="22"/>
        </w:rPr>
        <w:t xml:space="preserve"> to increase over the next</w:t>
      </w:r>
      <w:r w:rsidR="00AF58DF" w:rsidRPr="00F40D37">
        <w:rPr>
          <w:rFonts w:ascii="Calibri" w:hAnsi="Calibri" w:cs="Lucida Sans Unicode"/>
          <w:sz w:val="22"/>
          <w:szCs w:val="22"/>
        </w:rPr>
        <w:t xml:space="preserve"> decade or so</w:t>
      </w:r>
      <w:r w:rsidR="00AF58DF">
        <w:rPr>
          <w:rFonts w:ascii="Calibri" w:hAnsi="Calibri" w:cs="Lucida Sans Unicode"/>
          <w:sz w:val="22"/>
          <w:szCs w:val="22"/>
        </w:rPr>
        <w:t xml:space="preserve"> to about one-quarter of all residents. </w:t>
      </w:r>
      <w:r w:rsidR="00DE29B8" w:rsidRPr="000563DD">
        <w:rPr>
          <w:rFonts w:asciiTheme="minorHAnsi" w:hAnsiTheme="minorHAnsi"/>
          <w:sz w:val="22"/>
          <w:szCs w:val="22"/>
        </w:rPr>
        <w:t xml:space="preserve"> The housing </w:t>
      </w:r>
      <w:r w:rsidR="006E3FE4">
        <w:rPr>
          <w:rFonts w:asciiTheme="minorHAnsi" w:hAnsiTheme="minorHAnsi"/>
          <w:sz w:val="22"/>
          <w:szCs w:val="22"/>
        </w:rPr>
        <w:t>challenges</w:t>
      </w:r>
      <w:r w:rsidR="00DE29B8" w:rsidRPr="000563DD">
        <w:rPr>
          <w:rFonts w:asciiTheme="minorHAnsi" w:hAnsiTheme="minorHAnsi"/>
          <w:sz w:val="22"/>
          <w:szCs w:val="22"/>
        </w:rPr>
        <w:t xml:space="preserve"> of this expanding population of seniors will need to be addressed in the Town’s housing agenda.</w:t>
      </w:r>
    </w:p>
    <w:p w14:paraId="7AE5B060" w14:textId="77777777" w:rsidR="00DE29B8" w:rsidRPr="000563DD" w:rsidRDefault="00DE29B8" w:rsidP="00DE29B8">
      <w:pPr>
        <w:pStyle w:val="BodyText3"/>
        <w:tabs>
          <w:tab w:val="left" w:pos="0"/>
        </w:tabs>
        <w:spacing w:after="0"/>
        <w:ind w:left="720"/>
        <w:jc w:val="both"/>
        <w:rPr>
          <w:rFonts w:asciiTheme="minorHAnsi" w:hAnsiTheme="minorHAnsi"/>
          <w:sz w:val="22"/>
          <w:szCs w:val="22"/>
        </w:rPr>
      </w:pPr>
    </w:p>
    <w:p w14:paraId="1F7A792C" w14:textId="2521A17F" w:rsidR="00530B11" w:rsidRPr="00530B11" w:rsidRDefault="00530B11" w:rsidP="000A6E84">
      <w:pPr>
        <w:pStyle w:val="CommentText"/>
        <w:numPr>
          <w:ilvl w:val="0"/>
          <w:numId w:val="2"/>
        </w:numPr>
        <w:tabs>
          <w:tab w:val="clear" w:pos="1440"/>
          <w:tab w:val="num" w:pos="720"/>
        </w:tabs>
        <w:spacing w:line="240" w:lineRule="auto"/>
        <w:ind w:left="720"/>
        <w:jc w:val="both"/>
        <w:rPr>
          <w:rFonts w:asciiTheme="minorHAnsi" w:hAnsiTheme="minorHAnsi"/>
          <w:szCs w:val="22"/>
        </w:rPr>
      </w:pPr>
      <w:r>
        <w:rPr>
          <w:rFonts w:ascii="Calibri" w:hAnsi="Calibri"/>
          <w:i/>
        </w:rPr>
        <w:t xml:space="preserve">Significant population of renters – </w:t>
      </w:r>
      <w:r>
        <w:rPr>
          <w:rFonts w:ascii="Calibri" w:hAnsi="Calibri"/>
          <w:iCs/>
        </w:rPr>
        <w:t>The highest number and proportion of renters included those 62 years of age or older, representing 895 households or about half of all renter</w:t>
      </w:r>
      <w:r w:rsidR="001B0056">
        <w:rPr>
          <w:rFonts w:ascii="Calibri" w:hAnsi="Calibri"/>
          <w:iCs/>
        </w:rPr>
        <w:t xml:space="preserve"> household</w:t>
      </w:r>
      <w:r>
        <w:rPr>
          <w:rFonts w:ascii="Calibri" w:hAnsi="Calibri"/>
          <w:iCs/>
        </w:rPr>
        <w:t xml:space="preserve">s.  </w:t>
      </w:r>
    </w:p>
    <w:p w14:paraId="3A1F4541" w14:textId="77777777" w:rsidR="00530B11" w:rsidRPr="00530B11" w:rsidRDefault="00530B11" w:rsidP="00530B11">
      <w:pPr>
        <w:pStyle w:val="CommentText"/>
        <w:spacing w:line="240" w:lineRule="auto"/>
        <w:ind w:left="720"/>
        <w:jc w:val="both"/>
        <w:rPr>
          <w:rFonts w:asciiTheme="minorHAnsi" w:hAnsiTheme="minorHAnsi"/>
          <w:szCs w:val="22"/>
        </w:rPr>
      </w:pPr>
    </w:p>
    <w:p w14:paraId="67E1C214" w14:textId="1E2BC5BA" w:rsidR="00DE29B8" w:rsidRPr="00B42A76" w:rsidRDefault="00DE29B8" w:rsidP="000A6E84">
      <w:pPr>
        <w:pStyle w:val="CommentText"/>
        <w:numPr>
          <w:ilvl w:val="0"/>
          <w:numId w:val="2"/>
        </w:numPr>
        <w:tabs>
          <w:tab w:val="clear" w:pos="1440"/>
          <w:tab w:val="num" w:pos="720"/>
        </w:tabs>
        <w:spacing w:line="240" w:lineRule="auto"/>
        <w:ind w:left="720"/>
        <w:jc w:val="both"/>
        <w:rPr>
          <w:rFonts w:asciiTheme="minorHAnsi" w:hAnsiTheme="minorHAnsi"/>
          <w:szCs w:val="22"/>
        </w:rPr>
      </w:pPr>
      <w:r w:rsidRPr="00B42A76">
        <w:rPr>
          <w:rFonts w:asciiTheme="minorHAnsi" w:hAnsiTheme="minorHAnsi"/>
          <w:i/>
          <w:szCs w:val="22"/>
        </w:rPr>
        <w:t>High cost burdens –</w:t>
      </w:r>
      <w:r w:rsidR="00B42A76" w:rsidRPr="00B42A76">
        <w:rPr>
          <w:rFonts w:asciiTheme="minorHAnsi" w:hAnsiTheme="minorHAnsi"/>
          <w:i/>
          <w:szCs w:val="22"/>
        </w:rPr>
        <w:t xml:space="preserve"> </w:t>
      </w:r>
      <w:r w:rsidR="00B42A76" w:rsidRPr="00B42A76">
        <w:rPr>
          <w:rFonts w:ascii="Calibri" w:hAnsi="Calibri"/>
          <w:iCs/>
        </w:rPr>
        <w:t xml:space="preserve">About 60% of the 570 elderly renter households with incomes at or below 80% AMI were overspending on their housing, including 255 or about 45% with severe cost burdens.  Those remaining 230 </w:t>
      </w:r>
      <w:r w:rsidR="00867C9E">
        <w:rPr>
          <w:rFonts w:ascii="Calibri" w:hAnsi="Calibri"/>
          <w:iCs/>
        </w:rPr>
        <w:t>older adult</w:t>
      </w:r>
      <w:r w:rsidR="00B42A76" w:rsidRPr="00B42A76">
        <w:rPr>
          <w:rFonts w:ascii="Calibri" w:hAnsi="Calibri"/>
          <w:iCs/>
        </w:rPr>
        <w:t xml:space="preserve">s earning below 80% AMI and not overspending were likely living in Needham’s subsidized housing reserved for seniors (265 units) or other subsidized or 40B developments.  </w:t>
      </w:r>
    </w:p>
    <w:p w14:paraId="25D74B8F" w14:textId="77777777" w:rsidR="00B42A76" w:rsidRPr="00B42A76" w:rsidRDefault="00B42A76" w:rsidP="00B42A76">
      <w:pPr>
        <w:pStyle w:val="CommentText"/>
        <w:spacing w:line="240" w:lineRule="auto"/>
        <w:ind w:left="720"/>
        <w:jc w:val="both"/>
        <w:rPr>
          <w:rFonts w:asciiTheme="minorHAnsi" w:hAnsiTheme="minorHAnsi"/>
          <w:szCs w:val="22"/>
        </w:rPr>
      </w:pPr>
    </w:p>
    <w:p w14:paraId="5ADF7319" w14:textId="7A3A8498" w:rsidR="00DE29B8" w:rsidRPr="000563DD" w:rsidRDefault="00DE29B8" w:rsidP="00244466">
      <w:pPr>
        <w:pStyle w:val="CommentText"/>
        <w:numPr>
          <w:ilvl w:val="0"/>
          <w:numId w:val="51"/>
        </w:numPr>
        <w:tabs>
          <w:tab w:val="left" w:pos="720"/>
        </w:tabs>
        <w:suppressAutoHyphens/>
        <w:spacing w:line="240" w:lineRule="auto"/>
        <w:ind w:left="720" w:hanging="360"/>
        <w:jc w:val="both"/>
        <w:rPr>
          <w:rFonts w:asciiTheme="minorHAnsi" w:hAnsiTheme="minorHAnsi"/>
          <w:szCs w:val="22"/>
        </w:rPr>
      </w:pPr>
      <w:r w:rsidRPr="000563DD">
        <w:rPr>
          <w:rFonts w:asciiTheme="minorHAnsi" w:hAnsiTheme="minorHAnsi"/>
          <w:i/>
          <w:szCs w:val="22"/>
        </w:rPr>
        <w:t xml:space="preserve">Insufficient income </w:t>
      </w:r>
      <w:r w:rsidR="00373DE9">
        <w:rPr>
          <w:rFonts w:asciiTheme="minorHAnsi" w:hAnsiTheme="minorHAnsi"/>
          <w:iCs/>
          <w:szCs w:val="22"/>
        </w:rPr>
        <w:t xml:space="preserve">– Most </w:t>
      </w:r>
      <w:r w:rsidR="00867C9E">
        <w:rPr>
          <w:rFonts w:asciiTheme="minorHAnsi" w:hAnsiTheme="minorHAnsi"/>
          <w:iCs/>
          <w:szCs w:val="22"/>
        </w:rPr>
        <w:t>older adults</w:t>
      </w:r>
      <w:r w:rsidRPr="000563DD">
        <w:rPr>
          <w:rFonts w:asciiTheme="minorHAnsi" w:hAnsiTheme="minorHAnsi"/>
          <w:szCs w:val="22"/>
        </w:rPr>
        <w:t xml:space="preserve"> living on fixed incomes and relying substantially on Social Security find that their income may not be sufficient to afford their current housing and other expenses, particularly when they lose their spouse.</w:t>
      </w:r>
      <w:r w:rsidR="00B42A76">
        <w:rPr>
          <w:rFonts w:asciiTheme="minorHAnsi" w:hAnsiTheme="minorHAnsi"/>
          <w:szCs w:val="22"/>
        </w:rPr>
        <w:t xml:space="preserve">  As their homes increase in value, so does their property taxes unless they qualify for special tax exemption or deferral programs.</w:t>
      </w:r>
      <w:r w:rsidRPr="000563DD">
        <w:rPr>
          <w:rFonts w:asciiTheme="minorHAnsi" w:hAnsiTheme="minorHAnsi"/>
          <w:szCs w:val="22"/>
        </w:rPr>
        <w:t xml:space="preserve">  </w:t>
      </w:r>
    </w:p>
    <w:p w14:paraId="494F6D42" w14:textId="45878494" w:rsidR="00DE29B8" w:rsidRDefault="00DE29B8" w:rsidP="00DE29B8">
      <w:pPr>
        <w:pStyle w:val="CommentText"/>
        <w:tabs>
          <w:tab w:val="left" w:pos="720"/>
        </w:tabs>
        <w:suppressAutoHyphens/>
        <w:spacing w:line="240" w:lineRule="auto"/>
        <w:ind w:left="720"/>
        <w:jc w:val="both"/>
        <w:rPr>
          <w:rFonts w:asciiTheme="minorHAnsi" w:hAnsiTheme="minorHAnsi"/>
          <w:szCs w:val="22"/>
        </w:rPr>
      </w:pPr>
    </w:p>
    <w:p w14:paraId="49F038E9" w14:textId="7510F0E0" w:rsidR="00A9234D" w:rsidRPr="00D64DF4" w:rsidRDefault="00867C9E" w:rsidP="00487412">
      <w:pPr>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libri" w:hAnsi="Calibri"/>
          <w:bCs/>
        </w:rPr>
      </w:pPr>
      <w:r>
        <w:rPr>
          <w:rFonts w:ascii="Calibri" w:hAnsi="Calibri"/>
          <w:bCs/>
        </w:rPr>
        <w:t>Older adults</w:t>
      </w:r>
      <w:r w:rsidR="00A9234D" w:rsidRPr="00D64DF4">
        <w:rPr>
          <w:rFonts w:ascii="Calibri" w:hAnsi="Calibri"/>
          <w:bCs/>
        </w:rPr>
        <w:t xml:space="preserve"> relying primarily on Social Security are likely to have monthly incomes that fall far below what is needed to afford market rents.  </w:t>
      </w:r>
    </w:p>
    <w:p w14:paraId="6B2B03A8" w14:textId="77777777" w:rsidR="00A9234D" w:rsidRPr="000563DD" w:rsidRDefault="00A9234D" w:rsidP="00DE29B8">
      <w:pPr>
        <w:pStyle w:val="CommentText"/>
        <w:tabs>
          <w:tab w:val="left" w:pos="720"/>
        </w:tabs>
        <w:suppressAutoHyphens/>
        <w:spacing w:line="240" w:lineRule="auto"/>
        <w:ind w:left="720"/>
        <w:jc w:val="both"/>
        <w:rPr>
          <w:rFonts w:asciiTheme="minorHAnsi" w:hAnsiTheme="minorHAnsi"/>
          <w:szCs w:val="22"/>
        </w:rPr>
      </w:pPr>
    </w:p>
    <w:p w14:paraId="646DBBDB" w14:textId="1C071D7B" w:rsidR="00F51321" w:rsidRDefault="00DE29B8" w:rsidP="00244466">
      <w:pPr>
        <w:pStyle w:val="BodyText"/>
        <w:numPr>
          <w:ilvl w:val="0"/>
          <w:numId w:val="51"/>
        </w:numPr>
        <w:tabs>
          <w:tab w:val="left" w:pos="720"/>
        </w:tabs>
        <w:spacing w:after="0"/>
        <w:ind w:left="720" w:hanging="360"/>
        <w:jc w:val="both"/>
        <w:rPr>
          <w:rFonts w:ascii="Calibri" w:hAnsi="Calibri"/>
          <w:sz w:val="22"/>
          <w:szCs w:val="22"/>
        </w:rPr>
      </w:pPr>
      <w:r w:rsidRPr="00F51321">
        <w:rPr>
          <w:rFonts w:asciiTheme="minorHAnsi" w:hAnsiTheme="minorHAnsi"/>
          <w:i/>
          <w:sz w:val="22"/>
          <w:szCs w:val="22"/>
        </w:rPr>
        <w:t>Long waits for subsidized housing</w:t>
      </w:r>
      <w:r w:rsidRPr="00F51321">
        <w:rPr>
          <w:rFonts w:asciiTheme="minorHAnsi" w:hAnsiTheme="minorHAnsi"/>
          <w:sz w:val="22"/>
          <w:szCs w:val="22"/>
        </w:rPr>
        <w:t xml:space="preserve"> </w:t>
      </w:r>
      <w:r w:rsidR="000042E1">
        <w:rPr>
          <w:rFonts w:asciiTheme="minorHAnsi" w:hAnsiTheme="minorHAnsi"/>
          <w:sz w:val="22"/>
          <w:szCs w:val="22"/>
        </w:rPr>
        <w:t xml:space="preserve">– The </w:t>
      </w:r>
      <w:r w:rsidR="00F51321">
        <w:rPr>
          <w:rFonts w:ascii="Calibri" w:hAnsi="Calibri"/>
          <w:sz w:val="22"/>
          <w:szCs w:val="22"/>
        </w:rPr>
        <w:t xml:space="preserve">Needham </w:t>
      </w:r>
      <w:r w:rsidR="00F51321" w:rsidRPr="00F51321">
        <w:rPr>
          <w:rFonts w:ascii="Calibri" w:hAnsi="Calibri"/>
          <w:sz w:val="22"/>
          <w:szCs w:val="22"/>
        </w:rPr>
        <w:t>Housing Authority focuses on “deeply” affordable housing for those with incomes at or below 50% AMI and no tenant pays more than 30% of annual income for rent.  Waitlists are very long.  In regard to the NHA’s elderly/disabled units, there were 227 on the waitlist with waits of approximately six months to a year.</w:t>
      </w:r>
    </w:p>
    <w:p w14:paraId="13E8DD4E" w14:textId="677EB5F3" w:rsidR="00DB5B87" w:rsidRDefault="00DB5B87" w:rsidP="00DB5B87">
      <w:pPr>
        <w:pStyle w:val="BodyText"/>
        <w:tabs>
          <w:tab w:val="left" w:pos="720"/>
        </w:tabs>
        <w:spacing w:after="0"/>
        <w:jc w:val="both"/>
        <w:rPr>
          <w:rFonts w:ascii="Calibri" w:hAnsi="Calibri"/>
          <w:sz w:val="22"/>
          <w:szCs w:val="22"/>
        </w:rPr>
      </w:pPr>
    </w:p>
    <w:p w14:paraId="03172976" w14:textId="4531D704" w:rsidR="00DB5B87" w:rsidRDefault="00DB5B87" w:rsidP="00DB5B87">
      <w:pPr>
        <w:pStyle w:val="BodyText"/>
        <w:tabs>
          <w:tab w:val="left" w:pos="720"/>
        </w:tabs>
        <w:spacing w:after="0"/>
        <w:ind w:left="720"/>
        <w:jc w:val="both"/>
        <w:rPr>
          <w:rFonts w:ascii="Calibri" w:hAnsi="Calibri"/>
          <w:sz w:val="22"/>
          <w:szCs w:val="22"/>
        </w:rPr>
      </w:pPr>
      <w:r>
        <w:rPr>
          <w:rFonts w:ascii="Calibri" w:hAnsi="Calibri"/>
          <w:sz w:val="22"/>
          <w:szCs w:val="22"/>
        </w:rPr>
        <w:t>Moreover,</w:t>
      </w:r>
      <w:r w:rsidR="002C649B">
        <w:rPr>
          <w:rFonts w:ascii="Calibri" w:hAnsi="Calibri"/>
          <w:sz w:val="22"/>
          <w:szCs w:val="22"/>
        </w:rPr>
        <w:t xml:space="preserve"> the Needham Department of Health and Human Services conducted an Assessment of Needham Housing Authority Residents in 2019 in an effort to understand the needs of these residents</w:t>
      </w:r>
      <w:r w:rsidR="005855A7">
        <w:rPr>
          <w:rFonts w:ascii="Calibri" w:hAnsi="Calibri"/>
          <w:sz w:val="22"/>
          <w:szCs w:val="22"/>
        </w:rPr>
        <w:t xml:space="preserve"> and to increase their access to a range of Town services.  Through interviews, focus groups, and a survey</w:t>
      </w:r>
      <w:r w:rsidR="006E3FE4">
        <w:rPr>
          <w:rFonts w:ascii="Calibri" w:hAnsi="Calibri"/>
          <w:sz w:val="22"/>
          <w:szCs w:val="22"/>
        </w:rPr>
        <w:t>;</w:t>
      </w:r>
      <w:r w:rsidR="005855A7">
        <w:rPr>
          <w:rFonts w:ascii="Calibri" w:hAnsi="Calibri"/>
          <w:sz w:val="22"/>
          <w:szCs w:val="22"/>
        </w:rPr>
        <w:t xml:space="preserve"> assets and challenges emerged from the study </w:t>
      </w:r>
      <w:r w:rsidR="00974328">
        <w:rPr>
          <w:rFonts w:ascii="Calibri" w:hAnsi="Calibri"/>
          <w:sz w:val="22"/>
          <w:szCs w:val="22"/>
        </w:rPr>
        <w:t xml:space="preserve">that suggested the need for strong partnerships among the Needham Housing Authority, Town of Needham, community organizations, and residents </w:t>
      </w:r>
      <w:r w:rsidR="006E3FE4">
        <w:rPr>
          <w:rFonts w:ascii="Calibri" w:hAnsi="Calibri"/>
          <w:sz w:val="22"/>
          <w:szCs w:val="22"/>
        </w:rPr>
        <w:t xml:space="preserve">to </w:t>
      </w:r>
      <w:r w:rsidR="00974328">
        <w:rPr>
          <w:rFonts w:ascii="Calibri" w:hAnsi="Calibri"/>
          <w:sz w:val="22"/>
          <w:szCs w:val="22"/>
        </w:rPr>
        <w:t>address unmet tenant needs including:</w:t>
      </w:r>
    </w:p>
    <w:p w14:paraId="503CD12C" w14:textId="0EF5FFA8" w:rsidR="00974328" w:rsidRDefault="00974328" w:rsidP="00DB5B87">
      <w:pPr>
        <w:pStyle w:val="BodyText"/>
        <w:tabs>
          <w:tab w:val="left" w:pos="720"/>
        </w:tabs>
        <w:spacing w:after="0"/>
        <w:ind w:left="720"/>
        <w:jc w:val="both"/>
        <w:rPr>
          <w:rFonts w:ascii="Calibri" w:hAnsi="Calibri"/>
          <w:sz w:val="22"/>
          <w:szCs w:val="22"/>
        </w:rPr>
      </w:pPr>
    </w:p>
    <w:p w14:paraId="0E5D8742" w14:textId="3DA3F926" w:rsidR="00974328" w:rsidRDefault="00974328" w:rsidP="00244466">
      <w:pPr>
        <w:pStyle w:val="BodyText"/>
        <w:numPr>
          <w:ilvl w:val="1"/>
          <w:numId w:val="51"/>
        </w:numPr>
        <w:tabs>
          <w:tab w:val="left" w:pos="720"/>
        </w:tabs>
        <w:spacing w:after="0"/>
        <w:jc w:val="both"/>
        <w:rPr>
          <w:rFonts w:ascii="Calibri" w:hAnsi="Calibri"/>
          <w:sz w:val="22"/>
          <w:szCs w:val="22"/>
        </w:rPr>
      </w:pPr>
      <w:r>
        <w:rPr>
          <w:rFonts w:ascii="Calibri" w:hAnsi="Calibri"/>
          <w:sz w:val="22"/>
          <w:szCs w:val="22"/>
        </w:rPr>
        <w:t xml:space="preserve">Improvement of </w:t>
      </w:r>
      <w:r w:rsidR="006E3FE4">
        <w:rPr>
          <w:rFonts w:ascii="Calibri" w:hAnsi="Calibri"/>
          <w:sz w:val="22"/>
          <w:szCs w:val="22"/>
        </w:rPr>
        <w:t xml:space="preserve">the </w:t>
      </w:r>
      <w:r>
        <w:rPr>
          <w:rFonts w:ascii="Calibri" w:hAnsi="Calibri"/>
          <w:sz w:val="22"/>
          <w:szCs w:val="22"/>
        </w:rPr>
        <w:t>physical environment</w:t>
      </w:r>
      <w:r w:rsidR="00D71DBE">
        <w:rPr>
          <w:rFonts w:ascii="Calibri" w:hAnsi="Calibri"/>
          <w:sz w:val="22"/>
          <w:szCs w:val="22"/>
        </w:rPr>
        <w:t xml:space="preserve"> including greater handicapped accessibility.</w:t>
      </w:r>
    </w:p>
    <w:p w14:paraId="03B53529" w14:textId="32EEB214" w:rsidR="00D71DBE" w:rsidRDefault="00D71DBE" w:rsidP="00244466">
      <w:pPr>
        <w:pStyle w:val="BodyText"/>
        <w:numPr>
          <w:ilvl w:val="1"/>
          <w:numId w:val="51"/>
        </w:numPr>
        <w:tabs>
          <w:tab w:val="left" w:pos="720"/>
        </w:tabs>
        <w:spacing w:after="0"/>
        <w:jc w:val="both"/>
        <w:rPr>
          <w:rFonts w:ascii="Calibri" w:hAnsi="Calibri"/>
          <w:sz w:val="22"/>
          <w:szCs w:val="22"/>
        </w:rPr>
      </w:pPr>
      <w:r>
        <w:rPr>
          <w:rFonts w:ascii="Calibri" w:hAnsi="Calibri"/>
          <w:sz w:val="22"/>
          <w:szCs w:val="22"/>
        </w:rPr>
        <w:t>Greater connections to other residents and the community.</w:t>
      </w:r>
    </w:p>
    <w:p w14:paraId="0A328249" w14:textId="1ECFE523" w:rsidR="00D71DBE" w:rsidRDefault="00D71DBE" w:rsidP="00244466">
      <w:pPr>
        <w:pStyle w:val="BodyText"/>
        <w:numPr>
          <w:ilvl w:val="1"/>
          <w:numId w:val="51"/>
        </w:numPr>
        <w:tabs>
          <w:tab w:val="left" w:pos="720"/>
        </w:tabs>
        <w:spacing w:after="0"/>
        <w:jc w:val="both"/>
        <w:rPr>
          <w:rFonts w:ascii="Calibri" w:hAnsi="Calibri"/>
          <w:sz w:val="22"/>
          <w:szCs w:val="22"/>
        </w:rPr>
      </w:pPr>
      <w:r>
        <w:rPr>
          <w:rFonts w:ascii="Calibri" w:hAnsi="Calibri"/>
          <w:sz w:val="22"/>
          <w:szCs w:val="22"/>
        </w:rPr>
        <w:t>Better access to services including mental health and transportation.</w:t>
      </w:r>
    </w:p>
    <w:p w14:paraId="2CA76CF1" w14:textId="7AF551F0" w:rsidR="00974328" w:rsidRPr="00F51321" w:rsidRDefault="00974328" w:rsidP="00DB5B87">
      <w:pPr>
        <w:pStyle w:val="BodyText"/>
        <w:tabs>
          <w:tab w:val="left" w:pos="720"/>
        </w:tabs>
        <w:spacing w:after="0"/>
        <w:ind w:left="720"/>
        <w:jc w:val="both"/>
        <w:rPr>
          <w:rFonts w:ascii="Calibri" w:hAnsi="Calibri"/>
          <w:sz w:val="22"/>
          <w:szCs w:val="22"/>
        </w:rPr>
      </w:pPr>
      <w:r>
        <w:rPr>
          <w:rFonts w:ascii="Calibri" w:hAnsi="Calibri"/>
          <w:sz w:val="22"/>
          <w:szCs w:val="22"/>
        </w:rPr>
        <w:tab/>
      </w:r>
    </w:p>
    <w:p w14:paraId="4EF31C27" w14:textId="77777777" w:rsidR="00DE29B8" w:rsidRPr="000563DD" w:rsidRDefault="00DE29B8" w:rsidP="00DE29B8">
      <w:pPr>
        <w:pStyle w:val="BodyTextIndent2"/>
        <w:tabs>
          <w:tab w:val="left" w:pos="360"/>
        </w:tabs>
        <w:suppressAutoHyphens/>
        <w:spacing w:after="0" w:line="240" w:lineRule="auto"/>
        <w:ind w:hanging="360"/>
        <w:rPr>
          <w:rFonts w:asciiTheme="minorHAnsi" w:hAnsiTheme="minorHAnsi"/>
          <w:i/>
          <w:sz w:val="22"/>
          <w:szCs w:val="22"/>
        </w:rPr>
      </w:pPr>
      <w:r w:rsidRPr="000563DD">
        <w:rPr>
          <w:rFonts w:asciiTheme="minorHAnsi" w:hAnsiTheme="minorHAnsi"/>
          <w:i/>
          <w:sz w:val="22"/>
          <w:szCs w:val="22"/>
        </w:rPr>
        <w:lastRenderedPageBreak/>
        <w:t>Rental Needs of Families</w:t>
      </w:r>
    </w:p>
    <w:p w14:paraId="5F8BDFBB" w14:textId="69E83635" w:rsidR="00DE29B8" w:rsidRPr="000563DD" w:rsidRDefault="000A11F2" w:rsidP="00E810F9">
      <w:pPr>
        <w:pStyle w:val="BodyTextIndent2"/>
        <w:shd w:val="clear" w:color="auto" w:fill="B6DDE8" w:themeFill="accent5" w:themeFillTint="66"/>
        <w:tabs>
          <w:tab w:val="left" w:pos="0"/>
        </w:tabs>
        <w:suppressAutoHyphens/>
        <w:spacing w:after="0" w:line="240" w:lineRule="auto"/>
        <w:ind w:left="0"/>
        <w:jc w:val="both"/>
        <w:rPr>
          <w:rFonts w:asciiTheme="minorHAnsi" w:hAnsiTheme="minorHAnsi"/>
          <w:sz w:val="22"/>
          <w:szCs w:val="22"/>
        </w:rPr>
      </w:pPr>
      <w:r>
        <w:rPr>
          <w:rFonts w:asciiTheme="minorHAnsi" w:hAnsiTheme="minorHAnsi"/>
          <w:sz w:val="22"/>
          <w:szCs w:val="22"/>
          <w:shd w:val="clear" w:color="auto" w:fill="B6DDE8" w:themeFill="accent5" w:themeFillTint="66"/>
        </w:rPr>
        <w:t>Given the level of cost burdens, t</w:t>
      </w:r>
      <w:r w:rsidR="00DE29B8" w:rsidRPr="00E810F9">
        <w:rPr>
          <w:rFonts w:asciiTheme="minorHAnsi" w:hAnsiTheme="minorHAnsi"/>
          <w:sz w:val="22"/>
          <w:szCs w:val="22"/>
          <w:shd w:val="clear" w:color="auto" w:fill="B6DDE8" w:themeFill="accent5" w:themeFillTint="66"/>
        </w:rPr>
        <w:t xml:space="preserve">here are many low- and moderate-income </w:t>
      </w:r>
      <w:r>
        <w:rPr>
          <w:rFonts w:asciiTheme="minorHAnsi" w:hAnsiTheme="minorHAnsi"/>
          <w:sz w:val="22"/>
          <w:szCs w:val="22"/>
          <w:shd w:val="clear" w:color="auto" w:fill="B6DDE8" w:themeFill="accent5" w:themeFillTint="66"/>
        </w:rPr>
        <w:t>families</w:t>
      </w:r>
      <w:r w:rsidR="00DE29B8" w:rsidRPr="00E810F9">
        <w:rPr>
          <w:rFonts w:asciiTheme="minorHAnsi" w:hAnsiTheme="minorHAnsi"/>
          <w:sz w:val="22"/>
          <w:szCs w:val="22"/>
          <w:shd w:val="clear" w:color="auto" w:fill="B6DDE8" w:themeFill="accent5" w:themeFillTint="66"/>
        </w:rPr>
        <w:t xml:space="preserve"> in </w:t>
      </w:r>
      <w:r w:rsidR="00487412">
        <w:rPr>
          <w:rFonts w:asciiTheme="minorHAnsi" w:hAnsiTheme="minorHAnsi"/>
          <w:sz w:val="22"/>
          <w:szCs w:val="22"/>
          <w:shd w:val="clear" w:color="auto" w:fill="B6DDE8" w:themeFill="accent5" w:themeFillTint="66"/>
        </w:rPr>
        <w:t>Needham</w:t>
      </w:r>
      <w:r w:rsidR="00DE29B8" w:rsidRPr="00E810F9">
        <w:rPr>
          <w:rFonts w:asciiTheme="minorHAnsi" w:hAnsiTheme="minorHAnsi"/>
          <w:sz w:val="22"/>
          <w:szCs w:val="22"/>
          <w:shd w:val="clear" w:color="auto" w:fill="B6DDE8" w:themeFill="accent5" w:themeFillTint="66"/>
        </w:rPr>
        <w:t xml:space="preserve"> that </w:t>
      </w:r>
      <w:r>
        <w:rPr>
          <w:rFonts w:asciiTheme="minorHAnsi" w:hAnsiTheme="minorHAnsi"/>
          <w:sz w:val="22"/>
          <w:szCs w:val="22"/>
          <w:shd w:val="clear" w:color="auto" w:fill="B6DDE8" w:themeFill="accent5" w:themeFillTint="66"/>
        </w:rPr>
        <w:t>have been</w:t>
      </w:r>
      <w:r w:rsidR="00DE29B8" w:rsidRPr="00E810F9">
        <w:rPr>
          <w:rFonts w:asciiTheme="minorHAnsi" w:hAnsiTheme="minorHAnsi"/>
          <w:sz w:val="22"/>
          <w:szCs w:val="22"/>
          <w:shd w:val="clear" w:color="auto" w:fill="B6DDE8" w:themeFill="accent5" w:themeFillTint="66"/>
        </w:rPr>
        <w:t xml:space="preserve"> struggling to pay their bills, with housing expenses</w:t>
      </w:r>
      <w:r w:rsidR="000C7CDE">
        <w:rPr>
          <w:rFonts w:asciiTheme="minorHAnsi" w:hAnsiTheme="minorHAnsi"/>
          <w:sz w:val="22"/>
          <w:szCs w:val="22"/>
          <w:shd w:val="clear" w:color="auto" w:fill="B6DDE8" w:themeFill="accent5" w:themeFillTint="66"/>
        </w:rPr>
        <w:t xml:space="preserve"> likely</w:t>
      </w:r>
      <w:r w:rsidR="00DE29B8" w:rsidRPr="00E810F9">
        <w:rPr>
          <w:rFonts w:asciiTheme="minorHAnsi" w:hAnsiTheme="minorHAnsi"/>
          <w:sz w:val="22"/>
          <w:szCs w:val="22"/>
          <w:shd w:val="clear" w:color="auto" w:fill="B6DDE8" w:themeFill="accent5" w:themeFillTint="66"/>
        </w:rPr>
        <w:t xml:space="preserve"> chief among them.  Given an impending crisis, a family may become at risk of homelessness, some forced to double-up with friends or family and/or live in</w:t>
      </w:r>
      <w:r w:rsidR="00DE29B8" w:rsidRPr="000563DD">
        <w:rPr>
          <w:rFonts w:asciiTheme="minorHAnsi" w:hAnsiTheme="minorHAnsi"/>
          <w:sz w:val="22"/>
          <w:szCs w:val="22"/>
        </w:rPr>
        <w:t xml:space="preserve"> substandard conditions while waiting for subsidized housing or a Section 8 Housing Choice Voucher. </w:t>
      </w:r>
      <w:r>
        <w:rPr>
          <w:rFonts w:asciiTheme="minorHAnsi" w:hAnsiTheme="minorHAnsi"/>
          <w:sz w:val="22"/>
          <w:szCs w:val="22"/>
        </w:rPr>
        <w:t>The pandemic exacerbated the housing instability of some of these families.</w:t>
      </w:r>
    </w:p>
    <w:p w14:paraId="1412E16D" w14:textId="77777777" w:rsidR="00DE29B8" w:rsidRPr="00CD5460" w:rsidRDefault="00DE29B8" w:rsidP="00DE29B8">
      <w:pPr>
        <w:pStyle w:val="BodyTextIndent2"/>
        <w:tabs>
          <w:tab w:val="left" w:pos="360"/>
        </w:tabs>
        <w:suppressAutoHyphens/>
        <w:spacing w:after="0" w:line="240" w:lineRule="auto"/>
      </w:pPr>
    </w:p>
    <w:p w14:paraId="61B28F60" w14:textId="0C747011" w:rsidR="000A11F2" w:rsidRDefault="00DE29B8" w:rsidP="000A11F2">
      <w:pPr>
        <w:pStyle w:val="CommentText"/>
        <w:numPr>
          <w:ilvl w:val="0"/>
          <w:numId w:val="6"/>
        </w:numPr>
        <w:tabs>
          <w:tab w:val="clear" w:pos="1440"/>
          <w:tab w:val="num" w:pos="720"/>
        </w:tabs>
        <w:spacing w:line="240" w:lineRule="auto"/>
        <w:ind w:left="720"/>
        <w:jc w:val="both"/>
        <w:rPr>
          <w:rFonts w:ascii="Calibri" w:hAnsi="Calibri"/>
          <w:iCs/>
        </w:rPr>
      </w:pPr>
      <w:r w:rsidRPr="000472FC">
        <w:rPr>
          <w:rFonts w:ascii="Calibri" w:hAnsi="Calibri"/>
          <w:i/>
          <w:iCs/>
          <w:szCs w:val="22"/>
        </w:rPr>
        <w:t>High cost burdens</w:t>
      </w:r>
      <w:r w:rsidRPr="000472FC">
        <w:rPr>
          <w:rFonts w:ascii="Calibri" w:hAnsi="Calibri"/>
          <w:iCs/>
          <w:szCs w:val="22"/>
        </w:rPr>
        <w:t xml:space="preserve"> </w:t>
      </w:r>
      <w:r w:rsidR="00530B11">
        <w:rPr>
          <w:rFonts w:ascii="Calibri" w:hAnsi="Calibri"/>
          <w:iCs/>
          <w:szCs w:val="22"/>
        </w:rPr>
        <w:t>–</w:t>
      </w:r>
      <w:r w:rsidRPr="000472FC">
        <w:rPr>
          <w:rFonts w:ascii="Calibri" w:hAnsi="Calibri"/>
          <w:iCs/>
          <w:szCs w:val="22"/>
        </w:rPr>
        <w:t xml:space="preserve"> </w:t>
      </w:r>
      <w:r w:rsidR="003B65F3">
        <w:rPr>
          <w:rFonts w:ascii="Calibri" w:hAnsi="Calibri"/>
          <w:iCs/>
          <w:szCs w:val="22"/>
        </w:rPr>
        <w:t xml:space="preserve">A total of 80 or 37% </w:t>
      </w:r>
      <w:r w:rsidR="000A11F2" w:rsidRPr="008928F5">
        <w:rPr>
          <w:rFonts w:ascii="Calibri" w:hAnsi="Calibri"/>
          <w:iCs/>
        </w:rPr>
        <w:t xml:space="preserve">of the </w:t>
      </w:r>
      <w:r w:rsidR="000A11F2">
        <w:rPr>
          <w:rFonts w:ascii="Calibri" w:hAnsi="Calibri"/>
          <w:iCs/>
        </w:rPr>
        <w:t>215</w:t>
      </w:r>
      <w:r w:rsidR="000A11F2" w:rsidRPr="008928F5">
        <w:rPr>
          <w:rFonts w:ascii="Calibri" w:hAnsi="Calibri"/>
          <w:iCs/>
        </w:rPr>
        <w:t xml:space="preserve"> small families (2 to 4 household members)</w:t>
      </w:r>
      <w:r w:rsidR="000A11F2" w:rsidRPr="008928F5">
        <w:rPr>
          <w:rFonts w:ascii="Calibri" w:hAnsi="Calibri"/>
        </w:rPr>
        <w:t xml:space="preserve"> </w:t>
      </w:r>
      <w:r w:rsidR="00F96AD6">
        <w:rPr>
          <w:rFonts w:ascii="Calibri" w:hAnsi="Calibri"/>
        </w:rPr>
        <w:t>with incomes at or below</w:t>
      </w:r>
      <w:r w:rsidR="000A11F2" w:rsidRPr="008928F5">
        <w:rPr>
          <w:rFonts w:ascii="Calibri" w:hAnsi="Calibri"/>
          <w:iCs/>
        </w:rPr>
        <w:t xml:space="preserve"> 80% </w:t>
      </w:r>
      <w:r w:rsidR="006B5A0D">
        <w:rPr>
          <w:rFonts w:ascii="Calibri" w:hAnsi="Calibri"/>
          <w:iCs/>
        </w:rPr>
        <w:t>A</w:t>
      </w:r>
      <w:r w:rsidR="000A11F2" w:rsidRPr="008928F5">
        <w:rPr>
          <w:rFonts w:ascii="Calibri" w:hAnsi="Calibri"/>
          <w:iCs/>
        </w:rPr>
        <w:t>MI were paying too much for their housing</w:t>
      </w:r>
      <w:r w:rsidR="000A11F2">
        <w:rPr>
          <w:rFonts w:ascii="Calibri" w:hAnsi="Calibri"/>
          <w:iCs/>
        </w:rPr>
        <w:t xml:space="preserve">. It is likely that </w:t>
      </w:r>
      <w:r w:rsidR="00F96AD6">
        <w:rPr>
          <w:rFonts w:ascii="Calibri" w:hAnsi="Calibri"/>
          <w:iCs/>
        </w:rPr>
        <w:t xml:space="preserve">many of </w:t>
      </w:r>
      <w:r w:rsidR="000A11F2">
        <w:rPr>
          <w:rFonts w:ascii="Calibri" w:hAnsi="Calibri"/>
          <w:iCs/>
        </w:rPr>
        <w:t xml:space="preserve">those without cost burdens were living in affordable housing. </w:t>
      </w:r>
      <w:r w:rsidR="00F96AD6">
        <w:rPr>
          <w:rFonts w:ascii="Calibri" w:hAnsi="Calibri"/>
          <w:iCs/>
        </w:rPr>
        <w:t xml:space="preserve"> </w:t>
      </w:r>
      <w:r w:rsidR="00530B11">
        <w:rPr>
          <w:rFonts w:ascii="Calibri" w:hAnsi="Calibri"/>
          <w:iCs/>
        </w:rPr>
        <w:t>Additionally, th</w:t>
      </w:r>
      <w:r w:rsidR="000A11F2">
        <w:rPr>
          <w:rFonts w:ascii="Calibri" w:hAnsi="Calibri"/>
          <w:iCs/>
        </w:rPr>
        <w:t>e number of small family renter households has grown from 109 in 2011</w:t>
      </w:r>
      <w:r w:rsidR="00530B11">
        <w:rPr>
          <w:rFonts w:ascii="Calibri" w:hAnsi="Calibri"/>
          <w:iCs/>
        </w:rPr>
        <w:t>, which may be a result of the opportunities offered as part of the</w:t>
      </w:r>
      <w:r w:rsidR="000A11F2">
        <w:rPr>
          <w:rFonts w:ascii="Calibri" w:hAnsi="Calibri"/>
          <w:iCs/>
        </w:rPr>
        <w:t xml:space="preserve"> larger Chapter 40B developments. </w:t>
      </w:r>
    </w:p>
    <w:p w14:paraId="54848A48" w14:textId="77777777" w:rsidR="002F0512" w:rsidRDefault="002F0512" w:rsidP="002F0512">
      <w:pPr>
        <w:pStyle w:val="CommentText"/>
        <w:spacing w:line="240" w:lineRule="auto"/>
        <w:ind w:left="720"/>
        <w:jc w:val="both"/>
        <w:rPr>
          <w:rFonts w:ascii="Calibri" w:hAnsi="Calibri"/>
          <w:iCs/>
        </w:rPr>
      </w:pPr>
    </w:p>
    <w:p w14:paraId="1A333BDB" w14:textId="780F2BEC" w:rsidR="000A11F2" w:rsidRPr="00C4374E" w:rsidRDefault="000A11F2" w:rsidP="002F0512">
      <w:pPr>
        <w:pStyle w:val="CommentText"/>
        <w:spacing w:line="240" w:lineRule="auto"/>
        <w:ind w:left="720"/>
        <w:jc w:val="both"/>
      </w:pPr>
      <w:r>
        <w:rPr>
          <w:rFonts w:ascii="Calibri" w:hAnsi="Calibri"/>
          <w:iCs/>
        </w:rPr>
        <w:t xml:space="preserve">The data identifies only 25 large families </w:t>
      </w:r>
      <w:r w:rsidRPr="00C4374E">
        <w:rPr>
          <w:rFonts w:ascii="Calibri" w:hAnsi="Calibri"/>
          <w:iCs/>
        </w:rPr>
        <w:t xml:space="preserve">(5 or more members) </w:t>
      </w:r>
      <w:r>
        <w:rPr>
          <w:rFonts w:ascii="Calibri" w:hAnsi="Calibri"/>
          <w:iCs/>
        </w:rPr>
        <w:t xml:space="preserve">that were renting in Needham, 10 with cost burdens.  The number of such households is down from 65 in 2011, all of which were experiencing severe cost burdens. This reduction of large family renters likely reflects some erosion of relatively affordable larger units for rent in the private market. </w:t>
      </w:r>
    </w:p>
    <w:p w14:paraId="58DB564D" w14:textId="77777777" w:rsidR="00DE29B8" w:rsidRDefault="00DE29B8" w:rsidP="00DE29B8">
      <w:pPr>
        <w:tabs>
          <w:tab w:val="left" w:pos="0"/>
        </w:tabs>
        <w:jc w:val="both"/>
        <w:rPr>
          <w:rFonts w:ascii="Calibri" w:hAnsi="Calibri"/>
          <w:sz w:val="22"/>
          <w:szCs w:val="22"/>
        </w:rPr>
      </w:pPr>
    </w:p>
    <w:p w14:paraId="716DF7B4" w14:textId="791500AE" w:rsidR="00DE29B8" w:rsidRPr="00A40004" w:rsidRDefault="00DE29B8" w:rsidP="00244466">
      <w:pPr>
        <w:pStyle w:val="xmsonormal"/>
        <w:numPr>
          <w:ilvl w:val="0"/>
          <w:numId w:val="54"/>
        </w:numPr>
        <w:spacing w:before="0" w:beforeAutospacing="0" w:after="0" w:afterAutospacing="0"/>
        <w:jc w:val="both"/>
        <w:rPr>
          <w:rFonts w:ascii="Calibri" w:hAnsi="Calibri"/>
          <w:i/>
        </w:rPr>
      </w:pPr>
      <w:r w:rsidRPr="00A40004">
        <w:rPr>
          <w:rFonts w:ascii="Calibri" w:hAnsi="Calibri"/>
          <w:i/>
          <w:sz w:val="22"/>
          <w:szCs w:val="22"/>
        </w:rPr>
        <w:t xml:space="preserve">Fewer subsidized housing opportunities and long waits </w:t>
      </w:r>
      <w:r w:rsidR="001A2EB3">
        <w:rPr>
          <w:rFonts w:ascii="Calibri" w:hAnsi="Calibri"/>
          <w:i/>
          <w:sz w:val="22"/>
          <w:szCs w:val="22"/>
        </w:rPr>
        <w:t>–</w:t>
      </w:r>
      <w:r w:rsidR="00156FE0">
        <w:rPr>
          <w:rFonts w:ascii="Calibri" w:hAnsi="Calibri"/>
          <w:i/>
          <w:sz w:val="22"/>
          <w:szCs w:val="22"/>
        </w:rPr>
        <w:t xml:space="preserve"> </w:t>
      </w:r>
      <w:r w:rsidR="001A2EB3">
        <w:rPr>
          <w:rFonts w:ascii="Calibri" w:hAnsi="Calibri"/>
          <w:sz w:val="22"/>
          <w:szCs w:val="22"/>
        </w:rPr>
        <w:t xml:space="preserve">NHA </w:t>
      </w:r>
      <w:r w:rsidR="001A2EB3" w:rsidRPr="0057727F">
        <w:rPr>
          <w:rFonts w:ascii="Calibri" w:hAnsi="Calibri"/>
          <w:sz w:val="22"/>
          <w:szCs w:val="22"/>
        </w:rPr>
        <w:t>has 559 applicants on its wait list for the</w:t>
      </w:r>
      <w:r w:rsidR="001A2EB3">
        <w:rPr>
          <w:rFonts w:ascii="Calibri" w:hAnsi="Calibri"/>
          <w:sz w:val="22"/>
          <w:szCs w:val="22"/>
        </w:rPr>
        <w:t xml:space="preserve">ir </w:t>
      </w:r>
      <w:r w:rsidR="00F777D1">
        <w:rPr>
          <w:rFonts w:ascii="Calibri" w:hAnsi="Calibri"/>
          <w:sz w:val="22"/>
          <w:szCs w:val="22"/>
        </w:rPr>
        <w:t>90</w:t>
      </w:r>
      <w:r w:rsidR="001A2EB3" w:rsidRPr="0057727F">
        <w:rPr>
          <w:rFonts w:ascii="Calibri" w:hAnsi="Calibri"/>
          <w:sz w:val="22"/>
          <w:szCs w:val="22"/>
        </w:rPr>
        <w:t xml:space="preserve"> family units</w:t>
      </w:r>
      <w:r w:rsidR="00F777D1">
        <w:rPr>
          <w:rFonts w:ascii="Calibri" w:hAnsi="Calibri"/>
          <w:sz w:val="22"/>
          <w:szCs w:val="22"/>
        </w:rPr>
        <w:t xml:space="preserve"> (30 at Captain Robert Cook Drive and 60 at High Rock)</w:t>
      </w:r>
      <w:r w:rsidR="001A2EB3" w:rsidRPr="0057727F">
        <w:rPr>
          <w:rFonts w:ascii="Calibri" w:hAnsi="Calibri"/>
          <w:sz w:val="22"/>
          <w:szCs w:val="22"/>
        </w:rPr>
        <w:t xml:space="preserve"> including 359 applicants for two-bedroom units, 167 for three-bedrooms, and 33 for four-bedroom units.  Waits for these units extend to three to five years.</w:t>
      </w:r>
      <w:r w:rsidR="001A2EB3">
        <w:rPr>
          <w:rFonts w:ascii="Calibri" w:hAnsi="Calibri"/>
          <w:sz w:val="22"/>
          <w:szCs w:val="22"/>
        </w:rPr>
        <w:t xml:space="preserve"> </w:t>
      </w:r>
      <w:r w:rsidR="00783E62">
        <w:rPr>
          <w:rFonts w:ascii="Calibri" w:hAnsi="Calibri"/>
          <w:sz w:val="22"/>
          <w:szCs w:val="22"/>
        </w:rPr>
        <w:t xml:space="preserve"> </w:t>
      </w:r>
      <w:r w:rsidR="001A2EB3">
        <w:rPr>
          <w:rFonts w:ascii="Calibri" w:hAnsi="Calibri"/>
          <w:sz w:val="22"/>
          <w:szCs w:val="22"/>
        </w:rPr>
        <w:t>None of the units are handicapped accessible.</w:t>
      </w:r>
    </w:p>
    <w:p w14:paraId="33FF5CE1" w14:textId="77777777" w:rsidR="00A40004" w:rsidRDefault="00A40004" w:rsidP="00DE29B8">
      <w:pPr>
        <w:pStyle w:val="xmsonormal"/>
        <w:spacing w:before="0" w:beforeAutospacing="0" w:after="0" w:afterAutospacing="0"/>
        <w:ind w:left="720" w:hanging="360"/>
        <w:jc w:val="both"/>
        <w:rPr>
          <w:rFonts w:ascii="Calibri" w:hAnsi="Calibri"/>
          <w:i/>
          <w:sz w:val="22"/>
          <w:szCs w:val="22"/>
        </w:rPr>
      </w:pPr>
    </w:p>
    <w:p w14:paraId="22C49A12" w14:textId="57716367" w:rsidR="00DE29B8" w:rsidRPr="00961CAE" w:rsidRDefault="00DE29B8" w:rsidP="00DE29B8">
      <w:pPr>
        <w:pStyle w:val="xmsonormal"/>
        <w:spacing w:before="0" w:beforeAutospacing="0" w:after="0" w:afterAutospacing="0"/>
        <w:ind w:left="720" w:hanging="360"/>
        <w:jc w:val="both"/>
        <w:rPr>
          <w:rFonts w:ascii="Calibri" w:hAnsi="Calibri"/>
          <w:i/>
          <w:sz w:val="22"/>
          <w:szCs w:val="22"/>
        </w:rPr>
      </w:pPr>
      <w:r w:rsidRPr="00961CAE">
        <w:rPr>
          <w:rFonts w:ascii="Calibri" w:hAnsi="Calibri"/>
          <w:i/>
          <w:sz w:val="22"/>
          <w:szCs w:val="22"/>
        </w:rPr>
        <w:t>Rental Needs of Non-elderly Individuals</w:t>
      </w:r>
    </w:p>
    <w:p w14:paraId="6B576ABF" w14:textId="4E3A8DC7" w:rsidR="00DE29B8" w:rsidRDefault="00DE29B8" w:rsidP="00E810F9">
      <w:pPr>
        <w:pStyle w:val="CommentText"/>
        <w:shd w:val="clear" w:color="auto" w:fill="B6DDE8" w:themeFill="accent5" w:themeFillTint="66"/>
        <w:tabs>
          <w:tab w:val="left" w:pos="360"/>
        </w:tabs>
        <w:spacing w:line="240" w:lineRule="auto"/>
        <w:ind w:left="360"/>
        <w:jc w:val="both"/>
        <w:rPr>
          <w:rFonts w:ascii="Calibri" w:hAnsi="Calibri"/>
          <w:szCs w:val="22"/>
        </w:rPr>
      </w:pPr>
      <w:r>
        <w:rPr>
          <w:rFonts w:ascii="Calibri" w:hAnsi="Calibri"/>
          <w:szCs w:val="22"/>
        </w:rPr>
        <w:t xml:space="preserve">There are also considerable numbers of lower income non-elderly, non-family households in </w:t>
      </w:r>
      <w:r w:rsidR="00487412">
        <w:rPr>
          <w:rFonts w:ascii="Calibri" w:hAnsi="Calibri"/>
          <w:szCs w:val="22"/>
        </w:rPr>
        <w:t>Needham</w:t>
      </w:r>
      <w:r>
        <w:rPr>
          <w:rFonts w:ascii="Calibri" w:hAnsi="Calibri"/>
          <w:szCs w:val="22"/>
        </w:rPr>
        <w:t>, mostly single individuals, experiencing cost burdens and long waits for subsidized housing that make finding appropriate affordable housing a challenge. Some of these individuals have disabilities that further complicate their housing problems as many</w:t>
      </w:r>
      <w:r w:rsidR="00783E62">
        <w:rPr>
          <w:rFonts w:ascii="Calibri" w:hAnsi="Calibri"/>
          <w:szCs w:val="22"/>
        </w:rPr>
        <w:t xml:space="preserve"> </w:t>
      </w:r>
      <w:r w:rsidR="00F65968">
        <w:rPr>
          <w:rFonts w:ascii="Calibri" w:hAnsi="Calibri"/>
          <w:szCs w:val="22"/>
        </w:rPr>
        <w:t>who are</w:t>
      </w:r>
      <w:r>
        <w:rPr>
          <w:rFonts w:ascii="Calibri" w:hAnsi="Calibri"/>
          <w:szCs w:val="22"/>
        </w:rPr>
        <w:t xml:space="preserve"> reliant on Social Security tend to be among the most financially vulnerable residents in a community.</w:t>
      </w:r>
      <w:r w:rsidR="00A40004">
        <w:rPr>
          <w:rFonts w:ascii="Calibri" w:hAnsi="Calibri"/>
          <w:szCs w:val="22"/>
        </w:rPr>
        <w:t xml:space="preserve">  Not only do they have to face the challenge of finding housing that </w:t>
      </w:r>
      <w:r w:rsidR="00F65968">
        <w:rPr>
          <w:rFonts w:ascii="Calibri" w:hAnsi="Calibri"/>
          <w:szCs w:val="22"/>
        </w:rPr>
        <w:t>they can afford</w:t>
      </w:r>
      <w:r w:rsidR="00A40004">
        <w:rPr>
          <w:rFonts w:ascii="Calibri" w:hAnsi="Calibri"/>
          <w:szCs w:val="22"/>
        </w:rPr>
        <w:t xml:space="preserve">, but they </w:t>
      </w:r>
      <w:r w:rsidR="008F27F6">
        <w:rPr>
          <w:rFonts w:ascii="Calibri" w:hAnsi="Calibri"/>
          <w:szCs w:val="22"/>
        </w:rPr>
        <w:t xml:space="preserve">may </w:t>
      </w:r>
      <w:r w:rsidR="00F65968">
        <w:rPr>
          <w:rFonts w:ascii="Calibri" w:hAnsi="Calibri"/>
          <w:szCs w:val="22"/>
        </w:rPr>
        <w:t>require</w:t>
      </w:r>
      <w:r w:rsidR="00A40004">
        <w:rPr>
          <w:rFonts w:ascii="Calibri" w:hAnsi="Calibri"/>
          <w:szCs w:val="22"/>
        </w:rPr>
        <w:t xml:space="preserve"> units that accommodate their special needs as well.</w:t>
      </w:r>
      <w:r>
        <w:rPr>
          <w:rFonts w:ascii="Calibri" w:hAnsi="Calibri"/>
          <w:szCs w:val="22"/>
        </w:rPr>
        <w:t xml:space="preserve">  It is no wonder that some find themselves </w:t>
      </w:r>
      <w:r w:rsidR="00487412">
        <w:rPr>
          <w:rFonts w:ascii="Calibri" w:hAnsi="Calibri"/>
          <w:szCs w:val="22"/>
        </w:rPr>
        <w:t xml:space="preserve">at risk of </w:t>
      </w:r>
      <w:r>
        <w:rPr>
          <w:rFonts w:ascii="Calibri" w:hAnsi="Calibri"/>
          <w:szCs w:val="22"/>
        </w:rPr>
        <w:t>homeless</w:t>
      </w:r>
      <w:r w:rsidR="00487412">
        <w:rPr>
          <w:rFonts w:ascii="Calibri" w:hAnsi="Calibri"/>
          <w:szCs w:val="22"/>
        </w:rPr>
        <w:t>ness and forced to move to another community with more affordable</w:t>
      </w:r>
      <w:r w:rsidR="00F65968">
        <w:rPr>
          <w:rFonts w:ascii="Calibri" w:hAnsi="Calibri"/>
          <w:szCs w:val="22"/>
        </w:rPr>
        <w:t xml:space="preserve"> and accessible</w:t>
      </w:r>
      <w:r w:rsidR="00487412">
        <w:rPr>
          <w:rFonts w:ascii="Calibri" w:hAnsi="Calibri"/>
          <w:szCs w:val="22"/>
        </w:rPr>
        <w:t xml:space="preserve"> housing options.</w:t>
      </w:r>
    </w:p>
    <w:p w14:paraId="13A702CC" w14:textId="77777777" w:rsidR="00DE29B8" w:rsidRPr="00B83F59" w:rsidRDefault="00DE29B8" w:rsidP="00DE29B8">
      <w:pPr>
        <w:pStyle w:val="CommentText"/>
        <w:tabs>
          <w:tab w:val="left" w:pos="360"/>
        </w:tabs>
        <w:spacing w:line="240" w:lineRule="auto"/>
        <w:ind w:left="360"/>
        <w:jc w:val="both"/>
        <w:rPr>
          <w:rFonts w:ascii="Calibri" w:hAnsi="Calibri"/>
        </w:rPr>
      </w:pPr>
    </w:p>
    <w:p w14:paraId="08297FB8" w14:textId="2900D174" w:rsidR="002F0512" w:rsidRDefault="002F0512" w:rsidP="002F0512">
      <w:pPr>
        <w:pStyle w:val="CommentText"/>
        <w:numPr>
          <w:ilvl w:val="0"/>
          <w:numId w:val="6"/>
        </w:numPr>
        <w:tabs>
          <w:tab w:val="clear" w:pos="1440"/>
          <w:tab w:val="num" w:pos="720"/>
        </w:tabs>
        <w:spacing w:line="240" w:lineRule="auto"/>
        <w:ind w:left="720"/>
        <w:jc w:val="both"/>
        <w:rPr>
          <w:rFonts w:ascii="Calibri" w:hAnsi="Calibri"/>
          <w:iCs/>
        </w:rPr>
      </w:pPr>
      <w:r w:rsidRPr="002F0512">
        <w:rPr>
          <w:rFonts w:ascii="Calibri" w:hAnsi="Calibri"/>
          <w:bCs/>
          <w:i/>
          <w:iCs/>
        </w:rPr>
        <w:t>Significant</w:t>
      </w:r>
      <w:r>
        <w:rPr>
          <w:rFonts w:ascii="Calibri" w:hAnsi="Calibri"/>
          <w:bCs/>
          <w:i/>
          <w:iCs/>
        </w:rPr>
        <w:t xml:space="preserve"> </w:t>
      </w:r>
      <w:r w:rsidR="00FD4E83">
        <w:rPr>
          <w:rFonts w:ascii="Calibri" w:hAnsi="Calibri"/>
          <w:bCs/>
          <w:i/>
          <w:iCs/>
        </w:rPr>
        <w:t>but</w:t>
      </w:r>
      <w:r>
        <w:rPr>
          <w:rFonts w:ascii="Calibri" w:hAnsi="Calibri"/>
          <w:bCs/>
          <w:i/>
          <w:iCs/>
        </w:rPr>
        <w:t xml:space="preserve"> declining</w:t>
      </w:r>
      <w:r w:rsidRPr="002F0512">
        <w:rPr>
          <w:rFonts w:ascii="Calibri" w:hAnsi="Calibri"/>
          <w:bCs/>
          <w:i/>
          <w:iCs/>
        </w:rPr>
        <w:t xml:space="preserve"> population of</w:t>
      </w:r>
      <w:r w:rsidR="00FD4E83">
        <w:rPr>
          <w:rFonts w:ascii="Calibri" w:hAnsi="Calibri"/>
          <w:bCs/>
          <w:i/>
          <w:iCs/>
        </w:rPr>
        <w:t xml:space="preserve"> these</w:t>
      </w:r>
      <w:r w:rsidRPr="002F0512">
        <w:rPr>
          <w:rFonts w:ascii="Calibri" w:hAnsi="Calibri"/>
          <w:bCs/>
          <w:i/>
          <w:iCs/>
        </w:rPr>
        <w:t xml:space="preserve"> renters --</w:t>
      </w:r>
      <w:r>
        <w:rPr>
          <w:rFonts w:ascii="Calibri" w:hAnsi="Calibri"/>
          <w:b/>
          <w:i/>
          <w:iCs/>
        </w:rPr>
        <w:t xml:space="preserve"> </w:t>
      </w:r>
      <w:r>
        <w:rPr>
          <w:rFonts w:ascii="Calibri" w:hAnsi="Calibri"/>
          <w:bCs/>
        </w:rPr>
        <w:t>N</w:t>
      </w:r>
      <w:r>
        <w:rPr>
          <w:rFonts w:ascii="Calibri" w:hAnsi="Calibri"/>
          <w:iCs/>
        </w:rPr>
        <w:t>on-family, non-elderly households</w:t>
      </w:r>
      <w:r w:rsidR="009E2B98">
        <w:rPr>
          <w:rFonts w:ascii="Calibri" w:hAnsi="Calibri"/>
          <w:iCs/>
        </w:rPr>
        <w:t xml:space="preserve"> (under age 62)</w:t>
      </w:r>
      <w:r>
        <w:rPr>
          <w:rFonts w:ascii="Calibri" w:hAnsi="Calibri"/>
          <w:iCs/>
        </w:rPr>
        <w:t xml:space="preserve"> comprised 21% of all renter households, down from almost 30% in 2015.</w:t>
      </w:r>
      <w:r w:rsidR="00F65968">
        <w:rPr>
          <w:rFonts w:ascii="Calibri" w:hAnsi="Calibri"/>
          <w:iCs/>
        </w:rPr>
        <w:t xml:space="preserve"> </w:t>
      </w:r>
      <w:r>
        <w:rPr>
          <w:rFonts w:ascii="Calibri" w:hAnsi="Calibri"/>
          <w:iCs/>
        </w:rPr>
        <w:t xml:space="preserve"> </w:t>
      </w:r>
      <w:r w:rsidR="009E2B98">
        <w:rPr>
          <w:rFonts w:ascii="Calibri" w:hAnsi="Calibri"/>
          <w:iCs/>
        </w:rPr>
        <w:t>A total of 235 or 63% of these renters had incomes at or below 80% AMI.  The remaining 140 such renters had incomes of at least 100% AMI and may include single professionals that were attracted to the market units as part of the larger Chapter 40B developments.</w:t>
      </w:r>
    </w:p>
    <w:p w14:paraId="11C3D19F" w14:textId="3B155B9C" w:rsidR="002F0512" w:rsidRPr="002F0512" w:rsidRDefault="002F0512" w:rsidP="002F0512">
      <w:pPr>
        <w:pStyle w:val="CommentText"/>
        <w:spacing w:line="240" w:lineRule="auto"/>
        <w:ind w:left="720"/>
        <w:jc w:val="both"/>
        <w:rPr>
          <w:rFonts w:ascii="Calibri" w:hAnsi="Calibri"/>
          <w:b/>
          <w:i/>
          <w:iCs/>
        </w:rPr>
      </w:pPr>
    </w:p>
    <w:p w14:paraId="48792DE1" w14:textId="2D6D2A81" w:rsidR="000A11F2" w:rsidRPr="00031933" w:rsidRDefault="00DE29B8" w:rsidP="000A11F2">
      <w:pPr>
        <w:pStyle w:val="CommentText"/>
        <w:numPr>
          <w:ilvl w:val="0"/>
          <w:numId w:val="6"/>
        </w:numPr>
        <w:tabs>
          <w:tab w:val="clear" w:pos="1440"/>
          <w:tab w:val="num" w:pos="720"/>
        </w:tabs>
        <w:spacing w:line="240" w:lineRule="auto"/>
        <w:ind w:left="720"/>
        <w:jc w:val="both"/>
        <w:rPr>
          <w:rFonts w:ascii="Calibri" w:hAnsi="Calibri"/>
          <w:b/>
          <w:i/>
          <w:iCs/>
        </w:rPr>
      </w:pPr>
      <w:r w:rsidRPr="00B83F59">
        <w:rPr>
          <w:rFonts w:ascii="Calibri" w:hAnsi="Calibri"/>
          <w:i/>
          <w:szCs w:val="22"/>
        </w:rPr>
        <w:t>High</w:t>
      </w:r>
      <w:r w:rsidR="00A40004">
        <w:rPr>
          <w:rFonts w:ascii="Calibri" w:hAnsi="Calibri"/>
          <w:i/>
          <w:szCs w:val="22"/>
        </w:rPr>
        <w:t xml:space="preserve"> </w:t>
      </w:r>
      <w:r w:rsidRPr="00B83F59">
        <w:rPr>
          <w:rFonts w:ascii="Calibri" w:hAnsi="Calibri"/>
          <w:i/>
          <w:szCs w:val="22"/>
        </w:rPr>
        <w:t>cost burdens</w:t>
      </w:r>
      <w:r>
        <w:rPr>
          <w:rFonts w:ascii="Calibri" w:hAnsi="Calibri"/>
          <w:szCs w:val="22"/>
        </w:rPr>
        <w:t xml:space="preserve"> - </w:t>
      </w:r>
      <w:r w:rsidR="000A11F2" w:rsidRPr="004D53AD">
        <w:rPr>
          <w:rFonts w:ascii="Calibri" w:hAnsi="Calibri"/>
          <w:iCs/>
        </w:rPr>
        <w:t>There were also 2</w:t>
      </w:r>
      <w:r w:rsidR="000A11F2">
        <w:rPr>
          <w:rFonts w:ascii="Calibri" w:hAnsi="Calibri"/>
          <w:iCs/>
        </w:rPr>
        <w:t>35</w:t>
      </w:r>
      <w:r w:rsidR="000A11F2" w:rsidRPr="004D53AD">
        <w:rPr>
          <w:rFonts w:ascii="Calibri" w:hAnsi="Calibri"/>
          <w:iCs/>
        </w:rPr>
        <w:t xml:space="preserve"> non-elderly, non-family households (</w:t>
      </w:r>
      <w:r w:rsidR="000A11F2">
        <w:rPr>
          <w:rFonts w:ascii="Calibri" w:hAnsi="Calibri"/>
          <w:iCs/>
        </w:rPr>
        <w:t xml:space="preserve">largely </w:t>
      </w:r>
      <w:r w:rsidR="000A11F2" w:rsidRPr="004D53AD">
        <w:rPr>
          <w:rFonts w:ascii="Calibri" w:hAnsi="Calibri"/>
          <w:iCs/>
        </w:rPr>
        <w:t xml:space="preserve">single individuals) earning at or below 80% </w:t>
      </w:r>
      <w:r w:rsidR="00A40004">
        <w:rPr>
          <w:rFonts w:ascii="Calibri" w:hAnsi="Calibri"/>
          <w:iCs/>
        </w:rPr>
        <w:t>AM</w:t>
      </w:r>
      <w:r w:rsidR="000A11F2" w:rsidRPr="004D53AD">
        <w:rPr>
          <w:rFonts w:ascii="Calibri" w:hAnsi="Calibri"/>
          <w:iCs/>
        </w:rPr>
        <w:t xml:space="preserve">I, of which </w:t>
      </w:r>
      <w:r w:rsidR="000A11F2">
        <w:rPr>
          <w:rFonts w:ascii="Calibri" w:hAnsi="Calibri"/>
          <w:iCs/>
        </w:rPr>
        <w:t xml:space="preserve">81% </w:t>
      </w:r>
      <w:r w:rsidR="000A11F2" w:rsidRPr="004D53AD">
        <w:rPr>
          <w:rFonts w:ascii="Calibri" w:hAnsi="Calibri"/>
          <w:iCs/>
        </w:rPr>
        <w:t xml:space="preserve">were overspending on their housing, including </w:t>
      </w:r>
      <w:r w:rsidR="000A11F2">
        <w:rPr>
          <w:rFonts w:ascii="Calibri" w:hAnsi="Calibri"/>
          <w:iCs/>
        </w:rPr>
        <w:t>5</w:t>
      </w:r>
      <w:r w:rsidR="000A11F2" w:rsidRPr="004D53AD">
        <w:rPr>
          <w:rFonts w:ascii="Calibri" w:hAnsi="Calibri"/>
          <w:iCs/>
        </w:rPr>
        <w:t>5% with severe cost burdens. This is up from 31%</w:t>
      </w:r>
      <w:r w:rsidR="000A11F2">
        <w:rPr>
          <w:rFonts w:ascii="Calibri" w:hAnsi="Calibri"/>
          <w:iCs/>
        </w:rPr>
        <w:t xml:space="preserve"> and 35%</w:t>
      </w:r>
      <w:r w:rsidR="000A11F2" w:rsidRPr="004D53AD">
        <w:rPr>
          <w:rFonts w:ascii="Calibri" w:hAnsi="Calibri"/>
          <w:iCs/>
        </w:rPr>
        <w:t xml:space="preserve"> with severe cost burdens in 2011 and</w:t>
      </w:r>
      <w:r w:rsidR="000A11F2">
        <w:rPr>
          <w:rFonts w:ascii="Calibri" w:hAnsi="Calibri"/>
          <w:iCs/>
        </w:rPr>
        <w:t xml:space="preserve"> 2015, respectively. </w:t>
      </w:r>
      <w:r w:rsidR="000A11F2" w:rsidRPr="004D53AD">
        <w:rPr>
          <w:rFonts w:ascii="Calibri" w:hAnsi="Calibri"/>
          <w:iCs/>
        </w:rPr>
        <w:t xml:space="preserve"> </w:t>
      </w:r>
      <w:r w:rsidR="00FD4E83">
        <w:rPr>
          <w:rFonts w:ascii="Calibri" w:hAnsi="Calibri"/>
          <w:iCs/>
        </w:rPr>
        <w:t xml:space="preserve">These individuals may be good targets for new Accessory Dwelling Units (ADUs) should the Town change zoning to allow occupancy </w:t>
      </w:r>
      <w:r w:rsidR="00A64222">
        <w:rPr>
          <w:rFonts w:ascii="Calibri" w:hAnsi="Calibri"/>
          <w:iCs/>
        </w:rPr>
        <w:t>by</w:t>
      </w:r>
      <w:r w:rsidR="00FD4E83">
        <w:rPr>
          <w:rFonts w:ascii="Calibri" w:hAnsi="Calibri"/>
          <w:iCs/>
        </w:rPr>
        <w:t xml:space="preserve"> those without family ties or performing the role of caregiver.</w:t>
      </w:r>
    </w:p>
    <w:p w14:paraId="1F77665F" w14:textId="77777777" w:rsidR="00DE29B8" w:rsidRPr="0042333D" w:rsidRDefault="00DE29B8" w:rsidP="00DE29B8">
      <w:pPr>
        <w:pStyle w:val="CommentText"/>
        <w:spacing w:line="240" w:lineRule="auto"/>
        <w:ind w:left="720"/>
        <w:jc w:val="both"/>
      </w:pPr>
    </w:p>
    <w:p w14:paraId="6C70B751" w14:textId="1C03DA63" w:rsidR="00DE29B8" w:rsidRDefault="00DE29B8" w:rsidP="00244466">
      <w:pPr>
        <w:pStyle w:val="CommentText"/>
        <w:numPr>
          <w:ilvl w:val="0"/>
          <w:numId w:val="51"/>
        </w:numPr>
        <w:tabs>
          <w:tab w:val="left" w:pos="0"/>
        </w:tabs>
        <w:spacing w:line="240" w:lineRule="auto"/>
        <w:ind w:left="720" w:hanging="360"/>
        <w:jc w:val="both"/>
        <w:rPr>
          <w:rFonts w:ascii="Calibri" w:hAnsi="Calibri"/>
        </w:rPr>
      </w:pPr>
      <w:r w:rsidRPr="00AC13D7">
        <w:rPr>
          <w:rFonts w:ascii="Calibri" w:hAnsi="Calibri"/>
          <w:i/>
        </w:rPr>
        <w:t>Long waits for subsidized housing</w:t>
      </w:r>
      <w:r w:rsidRPr="00AC13D7">
        <w:rPr>
          <w:rFonts w:ascii="Calibri" w:hAnsi="Calibri"/>
        </w:rPr>
        <w:t xml:space="preserve"> </w:t>
      </w:r>
      <w:r w:rsidR="000042E1">
        <w:rPr>
          <w:rFonts w:ascii="Calibri" w:hAnsi="Calibri"/>
        </w:rPr>
        <w:t xml:space="preserve">– 13.5% </w:t>
      </w:r>
      <w:r w:rsidRPr="00AC13D7">
        <w:rPr>
          <w:rFonts w:ascii="Calibri" w:hAnsi="Calibri"/>
        </w:rPr>
        <w:t xml:space="preserve">of </w:t>
      </w:r>
      <w:r w:rsidR="00A40004" w:rsidRPr="00AC13D7">
        <w:rPr>
          <w:rFonts w:ascii="Calibri" w:hAnsi="Calibri"/>
        </w:rPr>
        <w:t>N</w:t>
      </w:r>
      <w:r w:rsidRPr="00AC13D7">
        <w:rPr>
          <w:rFonts w:ascii="Calibri" w:hAnsi="Calibri"/>
        </w:rPr>
        <w:t xml:space="preserve">HA’s units in elderly developments are targeted to younger individuals </w:t>
      </w:r>
      <w:r w:rsidR="00842F21">
        <w:rPr>
          <w:rFonts w:ascii="Calibri" w:hAnsi="Calibri"/>
        </w:rPr>
        <w:t xml:space="preserve">(age 18 to 61) </w:t>
      </w:r>
      <w:r w:rsidRPr="00AC13D7">
        <w:rPr>
          <w:rFonts w:ascii="Calibri" w:hAnsi="Calibri"/>
        </w:rPr>
        <w:t xml:space="preserve">who are disabled with </w:t>
      </w:r>
      <w:r w:rsidR="00842F21">
        <w:rPr>
          <w:rFonts w:ascii="Calibri" w:hAnsi="Calibri"/>
        </w:rPr>
        <w:t>14 applicants on the waitlist.</w:t>
      </w:r>
    </w:p>
    <w:p w14:paraId="40B67C17" w14:textId="77777777" w:rsidR="00F468AC" w:rsidRPr="00AC13D7" w:rsidRDefault="00F468AC" w:rsidP="00AC13D7">
      <w:pPr>
        <w:pStyle w:val="CommentText"/>
        <w:tabs>
          <w:tab w:val="left" w:pos="0"/>
        </w:tabs>
        <w:spacing w:line="240" w:lineRule="auto"/>
        <w:ind w:left="720"/>
        <w:jc w:val="both"/>
        <w:rPr>
          <w:rFonts w:ascii="Calibri" w:hAnsi="Calibri"/>
        </w:rPr>
      </w:pPr>
    </w:p>
    <w:p w14:paraId="6785590A" w14:textId="668E6F67" w:rsidR="00DE29B8" w:rsidRPr="00F344F9" w:rsidRDefault="00DE29B8" w:rsidP="00DE29B8">
      <w:pPr>
        <w:pStyle w:val="CommentText"/>
        <w:tabs>
          <w:tab w:val="left" w:pos="0"/>
        </w:tabs>
        <w:spacing w:line="240" w:lineRule="auto"/>
        <w:jc w:val="both"/>
        <w:rPr>
          <w:rFonts w:ascii="Calibri" w:hAnsi="Calibri"/>
          <w:b/>
          <w:i/>
        </w:rPr>
      </w:pPr>
      <w:r>
        <w:rPr>
          <w:rFonts w:ascii="Calibri" w:hAnsi="Calibri"/>
          <w:b/>
          <w:i/>
        </w:rPr>
        <w:t xml:space="preserve">New ownership opportunities </w:t>
      </w:r>
      <w:r w:rsidR="00DE60F9">
        <w:rPr>
          <w:rFonts w:ascii="Calibri" w:hAnsi="Calibri"/>
          <w:b/>
          <w:i/>
        </w:rPr>
        <w:t>are also a priority</w:t>
      </w:r>
    </w:p>
    <w:p w14:paraId="01B5BCB6" w14:textId="77777777" w:rsidR="00DE29B8" w:rsidRDefault="00DE29B8" w:rsidP="00E810F9">
      <w:pPr>
        <w:pStyle w:val="CommentText"/>
        <w:shd w:val="clear" w:color="auto" w:fill="B6DDE8" w:themeFill="accent5" w:themeFillTint="66"/>
        <w:tabs>
          <w:tab w:val="left" w:pos="0"/>
        </w:tabs>
        <w:spacing w:line="240" w:lineRule="auto"/>
        <w:jc w:val="both"/>
        <w:rPr>
          <w:rFonts w:ascii="Calibri" w:hAnsi="Calibri"/>
        </w:rPr>
      </w:pPr>
      <w:r>
        <w:rPr>
          <w:rFonts w:ascii="Calibri" w:hAnsi="Calibri"/>
        </w:rPr>
        <w:t>Efforts to provide starter homes for first-time homebuyers and better housing alternatives for empty nesters should be promoted to address several objectives including:</w:t>
      </w:r>
    </w:p>
    <w:p w14:paraId="3415510F" w14:textId="12B63C57" w:rsidR="00DE29B8" w:rsidRDefault="00DE29B8" w:rsidP="00DE29B8">
      <w:pPr>
        <w:pStyle w:val="CommentText"/>
        <w:tabs>
          <w:tab w:val="left" w:pos="0"/>
        </w:tabs>
        <w:spacing w:line="240" w:lineRule="auto"/>
        <w:jc w:val="both"/>
        <w:rPr>
          <w:rFonts w:ascii="Calibri" w:hAnsi="Calibri"/>
        </w:rPr>
      </w:pPr>
    </w:p>
    <w:p w14:paraId="480BF771" w14:textId="77777777" w:rsidR="000042E1"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Provide opportunities for families who want to invest in Needham but are shut-out of the current housing market.</w:t>
      </w:r>
    </w:p>
    <w:p w14:paraId="0E209248" w14:textId="77777777" w:rsidR="000042E1"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Potentially develop units for those with incomes in the 80% to 100% AMI range that would be eligible for Community Preservation Act (CPA) assistance and are challenged to afford market rate units.</w:t>
      </w:r>
    </w:p>
    <w:p w14:paraId="12987AAC" w14:textId="6518ACC2" w:rsidR="000042E1"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Offer more affordable housing alternatives to empty nesters who want to downsize, thus opening their existing homes to families and enabling them to stay in Needham.  The need for elevator access</w:t>
      </w:r>
      <w:r w:rsidR="00F374C1">
        <w:rPr>
          <w:rFonts w:ascii="Calibri" w:hAnsi="Calibri"/>
        </w:rPr>
        <w:t xml:space="preserve"> in multi-family properties</w:t>
      </w:r>
      <w:r>
        <w:rPr>
          <w:rFonts w:ascii="Calibri" w:hAnsi="Calibri"/>
        </w:rPr>
        <w:t xml:space="preserve"> is particularly important for this population.  Condominium unit ownership offers the security of ownership at a lower price than single-family home ownership, with significantly less maintenance, utility, insurance and tax burden.</w:t>
      </w:r>
    </w:p>
    <w:p w14:paraId="7EA6D9E5" w14:textId="77777777" w:rsidR="000042E1"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Lend additional stability to neighborhoods as homeowners are perceived as more rooted and invested in the community with less unit turnover.</w:t>
      </w:r>
    </w:p>
    <w:p w14:paraId="620215FC" w14:textId="77777777" w:rsidR="000042E1"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Enable children who were raised in the community to return to raise their own families locally.</w:t>
      </w:r>
    </w:p>
    <w:p w14:paraId="05123EB1" w14:textId="10966DA0" w:rsidR="000042E1" w:rsidRPr="00D25097" w:rsidRDefault="000042E1" w:rsidP="000042E1">
      <w:pPr>
        <w:pStyle w:val="CommentText"/>
        <w:numPr>
          <w:ilvl w:val="0"/>
          <w:numId w:val="51"/>
        </w:numPr>
        <w:tabs>
          <w:tab w:val="left" w:pos="0"/>
        </w:tabs>
        <w:spacing w:line="240" w:lineRule="auto"/>
        <w:ind w:left="720" w:hanging="360"/>
        <w:jc w:val="both"/>
        <w:rPr>
          <w:rFonts w:ascii="Calibri" w:hAnsi="Calibri"/>
        </w:rPr>
      </w:pPr>
      <w:r>
        <w:rPr>
          <w:rFonts w:ascii="Calibri" w:hAnsi="Calibri"/>
        </w:rPr>
        <w:t>Provide housing options for municipal employees and other local workers</w:t>
      </w:r>
      <w:r w:rsidR="00425FDD">
        <w:rPr>
          <w:rFonts w:ascii="Calibri" w:hAnsi="Calibri"/>
        </w:rPr>
        <w:t xml:space="preserve"> who want to invest in the community in which they are working</w:t>
      </w:r>
      <w:r>
        <w:rPr>
          <w:rFonts w:ascii="Calibri" w:hAnsi="Calibri"/>
        </w:rPr>
        <w:t>.</w:t>
      </w:r>
    </w:p>
    <w:p w14:paraId="27FBAD1F" w14:textId="77777777" w:rsidR="000042E1" w:rsidRDefault="000042E1" w:rsidP="000042E1">
      <w:pPr>
        <w:pStyle w:val="CommentText"/>
        <w:tabs>
          <w:tab w:val="left" w:pos="0"/>
        </w:tabs>
        <w:spacing w:line="240" w:lineRule="auto"/>
        <w:ind w:left="720"/>
        <w:jc w:val="both"/>
        <w:rPr>
          <w:rFonts w:ascii="Calibri" w:hAnsi="Calibri"/>
        </w:rPr>
      </w:pPr>
    </w:p>
    <w:p w14:paraId="32B5DF35" w14:textId="3C7E68FE" w:rsidR="00D94E66" w:rsidRDefault="009E59E1" w:rsidP="00DE29B8">
      <w:pPr>
        <w:pStyle w:val="CommentText"/>
        <w:tabs>
          <w:tab w:val="left" w:pos="0"/>
        </w:tabs>
        <w:spacing w:line="240" w:lineRule="auto"/>
        <w:jc w:val="both"/>
        <w:rPr>
          <w:rFonts w:ascii="Calibri" w:hAnsi="Calibri"/>
        </w:rPr>
      </w:pPr>
      <w:r>
        <w:rPr>
          <w:rFonts w:ascii="Calibri" w:hAnsi="Calibri"/>
        </w:rPr>
        <w:t xml:space="preserve">Because </w:t>
      </w:r>
      <w:r w:rsidR="00D94E66">
        <w:rPr>
          <w:rFonts w:ascii="Calibri" w:hAnsi="Calibri"/>
        </w:rPr>
        <w:t xml:space="preserve">state and federal subsidy programs are almost exclusively targeted to rental housing, there are limited opportunities to leverage local investments such as CPA funding or </w:t>
      </w:r>
      <w:r w:rsidR="000042E1">
        <w:rPr>
          <w:rFonts w:ascii="Calibri" w:hAnsi="Calibri"/>
        </w:rPr>
        <w:t xml:space="preserve">public </w:t>
      </w:r>
      <w:r w:rsidR="00D94E66">
        <w:rPr>
          <w:rFonts w:ascii="Calibri" w:hAnsi="Calibri"/>
        </w:rPr>
        <w:t>property</w:t>
      </w:r>
      <w:r w:rsidR="000042E1">
        <w:rPr>
          <w:rFonts w:ascii="Calibri" w:hAnsi="Calibri"/>
        </w:rPr>
        <w:t xml:space="preserve"> sites</w:t>
      </w:r>
      <w:r w:rsidR="00D94E66">
        <w:rPr>
          <w:rFonts w:ascii="Calibri" w:hAnsi="Calibri"/>
        </w:rPr>
        <w:t>.</w:t>
      </w:r>
      <w:r w:rsidR="00D94E66">
        <w:rPr>
          <w:rStyle w:val="FootnoteReference"/>
          <w:rFonts w:ascii="Calibri" w:hAnsi="Calibri"/>
        </w:rPr>
        <w:footnoteReference w:id="32"/>
      </w:r>
      <w:r w:rsidR="00D94E66">
        <w:rPr>
          <w:rFonts w:ascii="Calibri" w:hAnsi="Calibri"/>
        </w:rPr>
        <w:t xml:space="preserve"> Consequently, most homeownership developments that include affordable units are permitted through Chapter 40B, where market units cross-subsidize affordable units, or are very small in scale and heavily reliant on CPA funds.</w:t>
      </w:r>
      <w:r w:rsidR="005854C9">
        <w:rPr>
          <w:rFonts w:ascii="Calibri" w:hAnsi="Calibri"/>
        </w:rPr>
        <w:t xml:space="preserve">  Additionally, due to the high land costs in Needham and limited opportunities to leverage local funds, the subsidy needed to fill the affordability gap would typically be extremely high</w:t>
      </w:r>
      <w:r w:rsidR="0018659D">
        <w:rPr>
          <w:rFonts w:ascii="Calibri" w:hAnsi="Calibri"/>
        </w:rPr>
        <w:t xml:space="preserve"> on a </w:t>
      </w:r>
      <w:r w:rsidR="005854C9">
        <w:rPr>
          <w:rFonts w:ascii="Calibri" w:hAnsi="Calibri"/>
        </w:rPr>
        <w:t>per unit</w:t>
      </w:r>
      <w:r w:rsidR="0018659D">
        <w:rPr>
          <w:rFonts w:ascii="Calibri" w:hAnsi="Calibri"/>
        </w:rPr>
        <w:t xml:space="preserve"> basis</w:t>
      </w:r>
      <w:r w:rsidR="005854C9">
        <w:rPr>
          <w:rFonts w:ascii="Calibri" w:hAnsi="Calibri"/>
        </w:rPr>
        <w:t>, perhaps as much as $500,000</w:t>
      </w:r>
      <w:r w:rsidR="0064322F">
        <w:rPr>
          <w:rFonts w:ascii="Calibri" w:hAnsi="Calibri"/>
        </w:rPr>
        <w:t xml:space="preserve"> to target those at the 80% AMI level</w:t>
      </w:r>
      <w:r w:rsidR="005854C9">
        <w:rPr>
          <w:rFonts w:ascii="Calibri" w:hAnsi="Calibri"/>
        </w:rPr>
        <w:t xml:space="preserve"> unless the property was donated</w:t>
      </w:r>
      <w:r w:rsidR="009552B2">
        <w:rPr>
          <w:rFonts w:ascii="Calibri" w:hAnsi="Calibri"/>
        </w:rPr>
        <w:t xml:space="preserve"> and some density could be incorporated</w:t>
      </w:r>
      <w:r w:rsidR="005854C9">
        <w:rPr>
          <w:rFonts w:ascii="Calibri" w:hAnsi="Calibri"/>
        </w:rPr>
        <w:t>.</w:t>
      </w:r>
    </w:p>
    <w:p w14:paraId="7C216390" w14:textId="588EA347" w:rsidR="00D94E66" w:rsidRDefault="00D94E66" w:rsidP="00DE29B8">
      <w:pPr>
        <w:pStyle w:val="CommentText"/>
        <w:tabs>
          <w:tab w:val="left" w:pos="0"/>
        </w:tabs>
        <w:spacing w:line="240" w:lineRule="auto"/>
        <w:jc w:val="both"/>
        <w:rPr>
          <w:rFonts w:ascii="Calibri" w:hAnsi="Calibri"/>
        </w:rPr>
      </w:pPr>
    </w:p>
    <w:p w14:paraId="731AADD0" w14:textId="618AE84A" w:rsidR="009552B2" w:rsidRDefault="009552B2" w:rsidP="00DE29B8">
      <w:pPr>
        <w:pStyle w:val="CommentText"/>
        <w:tabs>
          <w:tab w:val="left" w:pos="0"/>
        </w:tabs>
        <w:spacing w:line="240" w:lineRule="auto"/>
        <w:jc w:val="both"/>
        <w:rPr>
          <w:rFonts w:ascii="Calibri" w:hAnsi="Calibri"/>
        </w:rPr>
      </w:pPr>
    </w:p>
    <w:p w14:paraId="28FE5618" w14:textId="4039B02F" w:rsidR="009552B2" w:rsidRDefault="009552B2" w:rsidP="00DE29B8">
      <w:pPr>
        <w:pStyle w:val="CommentText"/>
        <w:tabs>
          <w:tab w:val="left" w:pos="0"/>
        </w:tabs>
        <w:spacing w:line="240" w:lineRule="auto"/>
        <w:jc w:val="both"/>
        <w:rPr>
          <w:rFonts w:ascii="Calibri" w:hAnsi="Calibri"/>
        </w:rPr>
      </w:pPr>
    </w:p>
    <w:p w14:paraId="0028D046" w14:textId="77777777" w:rsidR="009552B2" w:rsidRDefault="009552B2" w:rsidP="00DE29B8">
      <w:pPr>
        <w:pStyle w:val="CommentText"/>
        <w:tabs>
          <w:tab w:val="left" w:pos="0"/>
        </w:tabs>
        <w:spacing w:line="240" w:lineRule="auto"/>
        <w:jc w:val="both"/>
        <w:rPr>
          <w:rFonts w:ascii="Calibri" w:hAnsi="Calibri"/>
        </w:rPr>
      </w:pPr>
    </w:p>
    <w:p w14:paraId="522A26F6" w14:textId="77777777" w:rsidR="00DE29B8" w:rsidRDefault="00DE29B8" w:rsidP="00DE29B8">
      <w:pPr>
        <w:pStyle w:val="CommentText"/>
        <w:tabs>
          <w:tab w:val="left" w:pos="0"/>
        </w:tabs>
        <w:spacing w:line="240" w:lineRule="auto"/>
        <w:ind w:right="-720"/>
        <w:jc w:val="both"/>
        <w:rPr>
          <w:rFonts w:ascii="Calibri" w:hAnsi="Calibri"/>
          <w:i/>
          <w:iCs/>
        </w:rPr>
      </w:pPr>
      <w:r>
        <w:rPr>
          <w:rFonts w:ascii="Calibri" w:hAnsi="Calibri"/>
          <w:i/>
          <w:iCs/>
        </w:rPr>
        <w:t>Indicators of Need:</w:t>
      </w:r>
    </w:p>
    <w:p w14:paraId="362579F8" w14:textId="6650D77C" w:rsidR="00DE29B8" w:rsidRPr="0010322E" w:rsidRDefault="00DE29B8" w:rsidP="0010322E">
      <w:pPr>
        <w:pStyle w:val="BodyTextIndent"/>
        <w:shd w:val="clear" w:color="auto" w:fill="B6DDE8" w:themeFill="accent5" w:themeFillTint="66"/>
        <w:ind w:left="0"/>
        <w:jc w:val="both"/>
        <w:rPr>
          <w:rFonts w:ascii="Calibri" w:hAnsi="Calibri"/>
          <w:iCs/>
          <w:sz w:val="22"/>
          <w:szCs w:val="22"/>
        </w:rPr>
      </w:pPr>
      <w:r w:rsidRPr="00D25097">
        <w:rPr>
          <w:rFonts w:ascii="Calibri" w:hAnsi="Calibri"/>
          <w:iCs/>
          <w:sz w:val="22"/>
          <w:szCs w:val="22"/>
        </w:rPr>
        <w:t xml:space="preserve">The rising cost of housing is shutting increasing numbers of residents out of the private housing market, particularly the ownership market.  </w:t>
      </w:r>
      <w:r w:rsidR="0010322E">
        <w:rPr>
          <w:rFonts w:ascii="Calibri" w:hAnsi="Calibri"/>
          <w:iCs/>
          <w:sz w:val="22"/>
          <w:szCs w:val="22"/>
        </w:rPr>
        <w:t xml:space="preserve">In fact, </w:t>
      </w:r>
      <w:r w:rsidR="00D25097" w:rsidRPr="00D25097">
        <w:rPr>
          <w:rFonts w:ascii="Calibri" w:hAnsi="Calibri"/>
          <w:sz w:val="22"/>
          <w:szCs w:val="22"/>
        </w:rPr>
        <w:t xml:space="preserve">Needham joined the “million-dollar club” several years ago as the median sales price </w:t>
      </w:r>
      <w:r w:rsidR="00D25097" w:rsidRPr="0010322E">
        <w:rPr>
          <w:rFonts w:ascii="Calibri" w:hAnsi="Calibri"/>
          <w:sz w:val="22"/>
          <w:szCs w:val="22"/>
        </w:rPr>
        <w:t>of a single-family home climbed to $1,102,000 as of January 2019 from $976,250 as of the end of 2018. It subsequently gr</w:t>
      </w:r>
      <w:r w:rsidR="002A2F9C">
        <w:rPr>
          <w:rFonts w:ascii="Calibri" w:hAnsi="Calibri"/>
          <w:sz w:val="22"/>
          <w:szCs w:val="22"/>
        </w:rPr>
        <w:t>e</w:t>
      </w:r>
      <w:r w:rsidR="00D25097" w:rsidRPr="0010322E">
        <w:rPr>
          <w:rFonts w:ascii="Calibri" w:hAnsi="Calibri"/>
          <w:sz w:val="22"/>
          <w:szCs w:val="22"/>
        </w:rPr>
        <w:t>w to $1.</w:t>
      </w:r>
      <w:r w:rsidR="002A2F9C">
        <w:rPr>
          <w:rFonts w:ascii="Calibri" w:hAnsi="Calibri"/>
          <w:sz w:val="22"/>
          <w:szCs w:val="22"/>
        </w:rPr>
        <w:t>29</w:t>
      </w:r>
      <w:r w:rsidR="00D25097" w:rsidRPr="0010322E">
        <w:rPr>
          <w:rFonts w:ascii="Calibri" w:hAnsi="Calibri"/>
          <w:sz w:val="22"/>
          <w:szCs w:val="22"/>
        </w:rPr>
        <w:t xml:space="preserve"> million</w:t>
      </w:r>
      <w:r w:rsidR="002A2F9C">
        <w:rPr>
          <w:rFonts w:ascii="Calibri" w:hAnsi="Calibri"/>
          <w:sz w:val="22"/>
          <w:szCs w:val="22"/>
        </w:rPr>
        <w:t xml:space="preserve"> in 2021</w:t>
      </w:r>
      <w:r w:rsidR="00D25097" w:rsidRPr="0010322E">
        <w:rPr>
          <w:rFonts w:ascii="Calibri" w:hAnsi="Calibri"/>
          <w:sz w:val="22"/>
          <w:szCs w:val="22"/>
        </w:rPr>
        <w:t>.</w:t>
      </w:r>
      <w:r w:rsidRPr="0010322E">
        <w:rPr>
          <w:rFonts w:ascii="Calibri" w:hAnsi="Calibri"/>
          <w:iCs/>
          <w:sz w:val="22"/>
          <w:szCs w:val="22"/>
        </w:rPr>
        <w:t xml:space="preserve"> High upfront costs also challenge first-time purchasers.  More affordable options are necessary that can support a range of incomes based on the following indicators of need</w:t>
      </w:r>
      <w:r w:rsidR="00825E08">
        <w:rPr>
          <w:rFonts w:ascii="Calibri" w:hAnsi="Calibri"/>
          <w:iCs/>
          <w:sz w:val="22"/>
          <w:szCs w:val="22"/>
        </w:rPr>
        <w:t>:</w:t>
      </w:r>
    </w:p>
    <w:p w14:paraId="56C4E753" w14:textId="6CAA194C" w:rsidR="00DE29B8" w:rsidRDefault="00DE29B8" w:rsidP="00DE29B8">
      <w:pPr>
        <w:pStyle w:val="CommentText"/>
        <w:tabs>
          <w:tab w:val="left" w:pos="0"/>
        </w:tabs>
        <w:spacing w:line="240" w:lineRule="auto"/>
        <w:ind w:right="-720"/>
        <w:jc w:val="both"/>
        <w:rPr>
          <w:rFonts w:ascii="Calibri" w:hAnsi="Calibri"/>
          <w:i/>
          <w:iCs/>
        </w:rPr>
      </w:pPr>
    </w:p>
    <w:p w14:paraId="5AEB38E3" w14:textId="581C7C6C" w:rsidR="00DE29B8" w:rsidRDefault="00DE29B8" w:rsidP="00244466">
      <w:pPr>
        <w:pStyle w:val="CommentText"/>
        <w:numPr>
          <w:ilvl w:val="0"/>
          <w:numId w:val="52"/>
        </w:numPr>
        <w:tabs>
          <w:tab w:val="left" w:pos="0"/>
        </w:tabs>
        <w:spacing w:line="240" w:lineRule="auto"/>
        <w:ind w:left="720" w:hanging="360"/>
        <w:jc w:val="both"/>
        <w:rPr>
          <w:rFonts w:ascii="Calibri" w:hAnsi="Calibri"/>
        </w:rPr>
      </w:pPr>
      <w:r>
        <w:rPr>
          <w:rFonts w:ascii="Calibri" w:hAnsi="Calibri"/>
          <w:i/>
        </w:rPr>
        <w:lastRenderedPageBreak/>
        <w:t xml:space="preserve">Few subsidized ownership units </w:t>
      </w:r>
      <w:r w:rsidR="000042E1">
        <w:rPr>
          <w:rFonts w:ascii="Calibri" w:hAnsi="Calibri"/>
          <w:iCs/>
        </w:rPr>
        <w:t xml:space="preserve">– Only </w:t>
      </w:r>
      <w:r w:rsidR="005A244C">
        <w:rPr>
          <w:rFonts w:ascii="Calibri" w:hAnsi="Calibri"/>
        </w:rPr>
        <w:t>17</w:t>
      </w:r>
      <w:r w:rsidR="0086106C">
        <w:rPr>
          <w:rFonts w:ascii="Calibri" w:hAnsi="Calibri"/>
        </w:rPr>
        <w:t xml:space="preserve"> units</w:t>
      </w:r>
      <w:r w:rsidR="005A244C">
        <w:rPr>
          <w:rFonts w:ascii="Calibri" w:hAnsi="Calibri"/>
        </w:rPr>
        <w:t xml:space="preserve"> or </w:t>
      </w:r>
      <w:r>
        <w:rPr>
          <w:rFonts w:ascii="Calibri" w:hAnsi="Calibri"/>
        </w:rPr>
        <w:t>1</w:t>
      </w:r>
      <w:r w:rsidR="005A244C">
        <w:rPr>
          <w:rFonts w:ascii="Calibri" w:hAnsi="Calibri"/>
        </w:rPr>
        <w:t>.2</w:t>
      </w:r>
      <w:r>
        <w:rPr>
          <w:rFonts w:ascii="Calibri" w:hAnsi="Calibri"/>
        </w:rPr>
        <w:t xml:space="preserve">% </w:t>
      </w:r>
      <w:r w:rsidR="0086106C">
        <w:rPr>
          <w:rFonts w:ascii="Calibri" w:hAnsi="Calibri"/>
        </w:rPr>
        <w:t>of</w:t>
      </w:r>
      <w:r>
        <w:rPr>
          <w:rFonts w:ascii="Calibri" w:hAnsi="Calibri"/>
        </w:rPr>
        <w:t xml:space="preserve"> the Town’s SHI involve ownership.</w:t>
      </w:r>
      <w:r w:rsidR="0018659D">
        <w:rPr>
          <w:rFonts w:ascii="Calibri" w:hAnsi="Calibri"/>
        </w:rPr>
        <w:t xml:space="preserve"> All of these units were permitted through the Chapter 40B comprehensive permit process.</w:t>
      </w:r>
    </w:p>
    <w:p w14:paraId="0CF23F39" w14:textId="77777777" w:rsidR="00DE29B8" w:rsidRDefault="00DE29B8" w:rsidP="0018659D">
      <w:pPr>
        <w:pStyle w:val="CommentText"/>
        <w:tabs>
          <w:tab w:val="left" w:pos="0"/>
        </w:tabs>
        <w:spacing w:line="240" w:lineRule="auto"/>
        <w:jc w:val="both"/>
        <w:rPr>
          <w:rFonts w:ascii="Calibri" w:hAnsi="Calibri"/>
        </w:rPr>
      </w:pPr>
    </w:p>
    <w:p w14:paraId="0705C88E" w14:textId="6E41CDAA" w:rsidR="005A244C" w:rsidRDefault="00DE29B8" w:rsidP="00244466">
      <w:pPr>
        <w:pStyle w:val="BodyText2"/>
        <w:numPr>
          <w:ilvl w:val="0"/>
          <w:numId w:val="52"/>
        </w:numPr>
        <w:spacing w:after="0" w:line="240" w:lineRule="auto"/>
        <w:ind w:left="720" w:hanging="360"/>
        <w:jc w:val="both"/>
        <w:rPr>
          <w:rFonts w:ascii="Calibri" w:hAnsi="Calibri"/>
          <w:sz w:val="22"/>
          <w:szCs w:val="22"/>
        </w:rPr>
      </w:pPr>
      <w:r w:rsidRPr="00F64AAB">
        <w:rPr>
          <w:rFonts w:asciiTheme="minorHAnsi" w:hAnsiTheme="minorHAnsi"/>
          <w:i/>
          <w:sz w:val="22"/>
          <w:szCs w:val="22"/>
        </w:rPr>
        <w:t xml:space="preserve">Deficit of affordable units – </w:t>
      </w:r>
      <w:r w:rsidR="005A244C" w:rsidRPr="00876ECA">
        <w:rPr>
          <w:rFonts w:ascii="Calibri" w:hAnsi="Calibri"/>
          <w:sz w:val="22"/>
          <w:szCs w:val="22"/>
        </w:rPr>
        <w:t>Table</w:t>
      </w:r>
      <w:r w:rsidR="005A244C">
        <w:rPr>
          <w:rFonts w:ascii="Calibri" w:hAnsi="Calibri"/>
          <w:sz w:val="22"/>
          <w:szCs w:val="22"/>
        </w:rPr>
        <w:t xml:space="preserve"> III-39</w:t>
      </w:r>
      <w:r w:rsidR="005A244C" w:rsidRPr="00876ECA">
        <w:rPr>
          <w:rFonts w:ascii="Calibri" w:hAnsi="Calibri"/>
          <w:sz w:val="22"/>
          <w:szCs w:val="22"/>
        </w:rPr>
        <w:t xml:space="preserve"> demonstrates a substantial need for more affordable homeownership opportunities for those </w:t>
      </w:r>
      <w:r w:rsidR="005A244C">
        <w:rPr>
          <w:rFonts w:ascii="Calibri" w:hAnsi="Calibri"/>
          <w:sz w:val="22"/>
          <w:szCs w:val="22"/>
        </w:rPr>
        <w:t xml:space="preserve">with incomes </w:t>
      </w:r>
      <w:r w:rsidR="005A244C" w:rsidRPr="00876ECA">
        <w:rPr>
          <w:rFonts w:ascii="Calibri" w:hAnsi="Calibri"/>
          <w:sz w:val="22"/>
          <w:szCs w:val="22"/>
        </w:rPr>
        <w:t>at or below 80% AMI</w:t>
      </w:r>
      <w:r w:rsidR="005A244C">
        <w:rPr>
          <w:rFonts w:ascii="Calibri" w:hAnsi="Calibri"/>
          <w:sz w:val="22"/>
          <w:szCs w:val="22"/>
        </w:rPr>
        <w:t xml:space="preserve"> with even a deficit in units for those with incomes in the 80% to 100% AMI range</w:t>
      </w:r>
      <w:r w:rsidR="005A244C" w:rsidRPr="00876ECA">
        <w:rPr>
          <w:rFonts w:ascii="Calibri" w:hAnsi="Calibri"/>
          <w:sz w:val="22"/>
          <w:szCs w:val="22"/>
        </w:rPr>
        <w:t>.  These calculations suggest that of the 1,0</w:t>
      </w:r>
      <w:r w:rsidR="005A244C">
        <w:rPr>
          <w:rFonts w:ascii="Calibri" w:hAnsi="Calibri"/>
          <w:sz w:val="22"/>
          <w:szCs w:val="22"/>
        </w:rPr>
        <w:t>60</w:t>
      </w:r>
      <w:r w:rsidR="005A244C" w:rsidRPr="00876ECA">
        <w:rPr>
          <w:rFonts w:ascii="Calibri" w:hAnsi="Calibri"/>
          <w:sz w:val="22"/>
          <w:szCs w:val="22"/>
        </w:rPr>
        <w:t xml:space="preserve"> owner households who were estimated to have earned at or below 80% AMI in 201</w:t>
      </w:r>
      <w:r w:rsidR="005A244C">
        <w:rPr>
          <w:rFonts w:ascii="Calibri" w:hAnsi="Calibri"/>
          <w:sz w:val="22"/>
          <w:szCs w:val="22"/>
        </w:rPr>
        <w:t>8</w:t>
      </w:r>
      <w:r w:rsidR="005A244C" w:rsidRPr="00876ECA">
        <w:rPr>
          <w:rFonts w:ascii="Calibri" w:hAnsi="Calibri"/>
          <w:sz w:val="22"/>
          <w:szCs w:val="22"/>
        </w:rPr>
        <w:t xml:space="preserve">, there were only </w:t>
      </w:r>
      <w:r w:rsidR="005A244C">
        <w:rPr>
          <w:rFonts w:ascii="Calibri" w:hAnsi="Calibri"/>
          <w:sz w:val="22"/>
          <w:szCs w:val="22"/>
        </w:rPr>
        <w:t>eight</w:t>
      </w:r>
      <w:r w:rsidR="005A244C" w:rsidRPr="00876ECA">
        <w:rPr>
          <w:rFonts w:ascii="Calibri" w:hAnsi="Calibri"/>
          <w:sz w:val="22"/>
          <w:szCs w:val="22"/>
        </w:rPr>
        <w:t xml:space="preserve"> single-family homes and </w:t>
      </w:r>
      <w:r w:rsidR="005A244C">
        <w:rPr>
          <w:rFonts w:ascii="Calibri" w:hAnsi="Calibri"/>
          <w:sz w:val="22"/>
          <w:szCs w:val="22"/>
        </w:rPr>
        <w:t>147</w:t>
      </w:r>
      <w:r w:rsidR="005A244C" w:rsidRPr="00876ECA">
        <w:rPr>
          <w:rFonts w:ascii="Calibri" w:hAnsi="Calibri"/>
          <w:sz w:val="22"/>
          <w:szCs w:val="22"/>
        </w:rPr>
        <w:t xml:space="preserve"> condo</w:t>
      </w:r>
      <w:r w:rsidR="000042E1">
        <w:rPr>
          <w:rFonts w:ascii="Calibri" w:hAnsi="Calibri"/>
          <w:sz w:val="22"/>
          <w:szCs w:val="22"/>
        </w:rPr>
        <w:t>minium unit</w:t>
      </w:r>
      <w:r w:rsidR="005A244C" w:rsidRPr="00876ECA">
        <w:rPr>
          <w:rFonts w:ascii="Calibri" w:hAnsi="Calibri"/>
          <w:sz w:val="22"/>
          <w:szCs w:val="22"/>
        </w:rPr>
        <w:t>s that would have</w:t>
      </w:r>
      <w:r w:rsidR="006A4997">
        <w:rPr>
          <w:rFonts w:ascii="Calibri" w:hAnsi="Calibri"/>
          <w:sz w:val="22"/>
          <w:szCs w:val="22"/>
        </w:rPr>
        <w:t xml:space="preserve"> potentially</w:t>
      </w:r>
      <w:r w:rsidR="005A244C" w:rsidRPr="00876ECA">
        <w:rPr>
          <w:rFonts w:ascii="Calibri" w:hAnsi="Calibri"/>
          <w:sz w:val="22"/>
          <w:szCs w:val="22"/>
        </w:rPr>
        <w:t xml:space="preserve"> been affordable to them based on </w:t>
      </w:r>
      <w:r w:rsidR="005A244C">
        <w:rPr>
          <w:rFonts w:ascii="Calibri" w:hAnsi="Calibri"/>
          <w:sz w:val="22"/>
          <w:szCs w:val="22"/>
        </w:rPr>
        <w:t>FY22</w:t>
      </w:r>
      <w:r w:rsidR="005A244C" w:rsidRPr="00876ECA">
        <w:rPr>
          <w:rFonts w:ascii="Calibri" w:hAnsi="Calibri"/>
          <w:sz w:val="22"/>
          <w:szCs w:val="22"/>
        </w:rPr>
        <w:t xml:space="preserve"> assessed values</w:t>
      </w:r>
      <w:r w:rsidR="005A244C">
        <w:rPr>
          <w:rFonts w:ascii="Calibri" w:hAnsi="Calibri"/>
          <w:sz w:val="22"/>
          <w:szCs w:val="22"/>
        </w:rPr>
        <w:t xml:space="preserve"> and other assumptions listed in Table III-36, including spending no more than 30% of income on housing costs</w:t>
      </w:r>
      <w:r w:rsidR="005A244C" w:rsidRPr="00876ECA">
        <w:rPr>
          <w:rFonts w:ascii="Calibri" w:hAnsi="Calibri"/>
          <w:sz w:val="22"/>
          <w:szCs w:val="22"/>
        </w:rPr>
        <w:t xml:space="preserve">.  It is likely that many of these owner households are “cash poor but equity rich” in that their incomes might have qualified them for </w:t>
      </w:r>
      <w:r w:rsidR="000C7CDE">
        <w:rPr>
          <w:rFonts w:ascii="Calibri" w:hAnsi="Calibri"/>
          <w:sz w:val="22"/>
          <w:szCs w:val="22"/>
        </w:rPr>
        <w:t>an affordable unit</w:t>
      </w:r>
      <w:r w:rsidR="008935DF">
        <w:rPr>
          <w:rFonts w:ascii="Calibri" w:hAnsi="Calibri"/>
          <w:sz w:val="22"/>
          <w:szCs w:val="22"/>
        </w:rPr>
        <w:t>, such as those permitted under Chapter 40B or mandated by inclusionary zoning for example,</w:t>
      </w:r>
      <w:r w:rsidR="005A244C" w:rsidRPr="00876ECA">
        <w:rPr>
          <w:rFonts w:ascii="Calibri" w:hAnsi="Calibri"/>
          <w:sz w:val="22"/>
          <w:szCs w:val="22"/>
        </w:rPr>
        <w:t xml:space="preserve"> but their financial assets, particularly the equity in their homes, would render them ineligible for </w:t>
      </w:r>
      <w:r w:rsidR="005A244C">
        <w:rPr>
          <w:rFonts w:ascii="Calibri" w:hAnsi="Calibri"/>
          <w:sz w:val="22"/>
          <w:szCs w:val="22"/>
        </w:rPr>
        <w:t>such</w:t>
      </w:r>
      <w:r w:rsidR="005A244C" w:rsidRPr="00876ECA">
        <w:rPr>
          <w:rFonts w:ascii="Calibri" w:hAnsi="Calibri"/>
          <w:sz w:val="22"/>
          <w:szCs w:val="22"/>
        </w:rPr>
        <w:t xml:space="preserve"> housing.</w:t>
      </w:r>
      <w:r w:rsidR="000C7CDE">
        <w:rPr>
          <w:rStyle w:val="FootnoteReference"/>
          <w:rFonts w:ascii="Calibri" w:hAnsi="Calibri"/>
          <w:sz w:val="22"/>
          <w:szCs w:val="22"/>
        </w:rPr>
        <w:footnoteReference w:id="33"/>
      </w:r>
      <w:r w:rsidR="005A244C" w:rsidRPr="00876ECA">
        <w:rPr>
          <w:rFonts w:ascii="Calibri" w:hAnsi="Calibri"/>
          <w:sz w:val="22"/>
          <w:szCs w:val="22"/>
        </w:rPr>
        <w:t xml:space="preserve"> </w:t>
      </w:r>
    </w:p>
    <w:p w14:paraId="6BF02337" w14:textId="77777777" w:rsidR="0086106C" w:rsidRDefault="0086106C" w:rsidP="0086106C">
      <w:pPr>
        <w:pStyle w:val="BodyText2"/>
        <w:spacing w:after="0" w:line="240" w:lineRule="auto"/>
        <w:ind w:left="720"/>
        <w:jc w:val="both"/>
        <w:rPr>
          <w:rFonts w:ascii="Calibri" w:hAnsi="Calibri"/>
          <w:sz w:val="22"/>
          <w:szCs w:val="22"/>
        </w:rPr>
      </w:pPr>
    </w:p>
    <w:p w14:paraId="7397FE54" w14:textId="514DF304" w:rsidR="008E0109" w:rsidRPr="008E0109" w:rsidRDefault="008E0109" w:rsidP="00C8348C">
      <w:pPr>
        <w:pStyle w:val="BodyTextIndent"/>
        <w:numPr>
          <w:ilvl w:val="0"/>
          <w:numId w:val="52"/>
        </w:numPr>
        <w:spacing w:after="0"/>
        <w:ind w:left="720" w:hanging="360"/>
        <w:jc w:val="both"/>
        <w:rPr>
          <w:rFonts w:ascii="Calibri" w:hAnsi="Calibri"/>
          <w:sz w:val="22"/>
          <w:szCs w:val="22"/>
        </w:rPr>
      </w:pPr>
      <w:r w:rsidRPr="008E0109">
        <w:rPr>
          <w:rFonts w:asciiTheme="minorHAnsi" w:hAnsiTheme="minorHAnsi"/>
          <w:i/>
          <w:sz w:val="22"/>
          <w:szCs w:val="22"/>
        </w:rPr>
        <w:t>High affordability gaps –</w:t>
      </w:r>
      <w:r w:rsidRPr="008E0109">
        <w:rPr>
          <w:rFonts w:ascii="Calibri" w:hAnsi="Calibri"/>
          <w:sz w:val="22"/>
          <w:szCs w:val="22"/>
        </w:rPr>
        <w:t xml:space="preserve"> When looking at the affordability gap for those with incomes at the HUD 80% AMI limit, the gap is an estimated $9</w:t>
      </w:r>
      <w:r w:rsidR="00B91097">
        <w:rPr>
          <w:rFonts w:ascii="Calibri" w:hAnsi="Calibri"/>
          <w:sz w:val="22"/>
          <w:szCs w:val="22"/>
        </w:rPr>
        <w:t>1</w:t>
      </w:r>
      <w:r w:rsidRPr="008E0109">
        <w:rPr>
          <w:rFonts w:ascii="Calibri" w:hAnsi="Calibri"/>
          <w:sz w:val="22"/>
          <w:szCs w:val="22"/>
        </w:rPr>
        <w:t>8,500, the difference between the median priced single-family home of $1.</w:t>
      </w:r>
      <w:r w:rsidR="00B91097">
        <w:rPr>
          <w:rFonts w:ascii="Calibri" w:hAnsi="Calibri"/>
          <w:sz w:val="22"/>
          <w:szCs w:val="22"/>
        </w:rPr>
        <w:t>29</w:t>
      </w:r>
      <w:r w:rsidRPr="008E0109">
        <w:rPr>
          <w:rFonts w:ascii="Calibri" w:hAnsi="Calibri"/>
          <w:sz w:val="22"/>
          <w:szCs w:val="22"/>
        </w:rPr>
        <w:t xml:space="preserve"> million and what a three-person household earning at this income level could likely afford, or $371,500 based on 95% financing. This gap is up substantially from $556,500 in 2014. In the case of 80% financing, the gap would </w:t>
      </w:r>
      <w:r w:rsidR="00B91097">
        <w:rPr>
          <w:rFonts w:ascii="Calibri" w:hAnsi="Calibri"/>
          <w:sz w:val="22"/>
          <w:szCs w:val="22"/>
        </w:rPr>
        <w:t>de</w:t>
      </w:r>
      <w:r w:rsidRPr="008E0109">
        <w:rPr>
          <w:rFonts w:ascii="Calibri" w:hAnsi="Calibri"/>
          <w:sz w:val="22"/>
          <w:szCs w:val="22"/>
        </w:rPr>
        <w:t>crease to $</w:t>
      </w:r>
      <w:r w:rsidR="002A2F9C">
        <w:rPr>
          <w:rFonts w:ascii="Calibri" w:hAnsi="Calibri"/>
          <w:sz w:val="22"/>
          <w:szCs w:val="22"/>
        </w:rPr>
        <w:t>869,500</w:t>
      </w:r>
      <w:r w:rsidRPr="008E0109">
        <w:rPr>
          <w:rFonts w:ascii="Calibri" w:hAnsi="Calibri"/>
          <w:sz w:val="22"/>
          <w:szCs w:val="22"/>
        </w:rPr>
        <w:t>.</w:t>
      </w:r>
    </w:p>
    <w:p w14:paraId="6D46ADF6" w14:textId="77777777" w:rsidR="0064322F" w:rsidRPr="00876ECA" w:rsidRDefault="0064322F" w:rsidP="0064322F">
      <w:pPr>
        <w:pStyle w:val="BodyTextIndent"/>
        <w:spacing w:after="0"/>
        <w:ind w:left="0" w:right="-720"/>
        <w:rPr>
          <w:rFonts w:ascii="Calibri" w:hAnsi="Calibri"/>
          <w:sz w:val="22"/>
          <w:szCs w:val="22"/>
        </w:rPr>
      </w:pPr>
    </w:p>
    <w:p w14:paraId="24C95341" w14:textId="0BB1E93F" w:rsidR="0064322F" w:rsidRDefault="0064322F" w:rsidP="0086106C">
      <w:pPr>
        <w:pStyle w:val="BodyTextIndent"/>
        <w:spacing w:after="0"/>
        <w:ind w:left="720"/>
        <w:jc w:val="both"/>
        <w:rPr>
          <w:rFonts w:ascii="Calibri" w:hAnsi="Calibri"/>
          <w:sz w:val="22"/>
          <w:szCs w:val="22"/>
        </w:rPr>
      </w:pPr>
      <w:r>
        <w:rPr>
          <w:rFonts w:ascii="Calibri" w:hAnsi="Calibri"/>
          <w:sz w:val="22"/>
          <w:szCs w:val="22"/>
        </w:rPr>
        <w:t>As to condo</w:t>
      </w:r>
      <w:r w:rsidR="008935DF">
        <w:rPr>
          <w:rFonts w:ascii="Calibri" w:hAnsi="Calibri"/>
          <w:sz w:val="22"/>
          <w:szCs w:val="22"/>
        </w:rPr>
        <w:t>minium unit</w:t>
      </w:r>
      <w:r>
        <w:rPr>
          <w:rFonts w:ascii="Calibri" w:hAnsi="Calibri"/>
          <w:sz w:val="22"/>
          <w:szCs w:val="22"/>
        </w:rPr>
        <w:t>s, the affordability gap</w:t>
      </w:r>
      <w:r w:rsidR="0086106C">
        <w:rPr>
          <w:rFonts w:ascii="Calibri" w:hAnsi="Calibri"/>
          <w:sz w:val="22"/>
          <w:szCs w:val="22"/>
        </w:rPr>
        <w:t xml:space="preserve"> for those with incomes at the 80%</w:t>
      </w:r>
      <w:r w:rsidR="00E37472">
        <w:rPr>
          <w:rFonts w:ascii="Calibri" w:hAnsi="Calibri"/>
          <w:sz w:val="22"/>
          <w:szCs w:val="22"/>
        </w:rPr>
        <w:t xml:space="preserve"> </w:t>
      </w:r>
      <w:r w:rsidR="0086106C">
        <w:rPr>
          <w:rFonts w:ascii="Calibri" w:hAnsi="Calibri"/>
          <w:sz w:val="22"/>
          <w:szCs w:val="22"/>
        </w:rPr>
        <w:t>AMI l</w:t>
      </w:r>
      <w:r w:rsidR="00825E08">
        <w:rPr>
          <w:rFonts w:ascii="Calibri" w:hAnsi="Calibri"/>
          <w:sz w:val="22"/>
          <w:szCs w:val="22"/>
        </w:rPr>
        <w:t>imit</w:t>
      </w:r>
      <w:r>
        <w:rPr>
          <w:rFonts w:ascii="Calibri" w:hAnsi="Calibri"/>
          <w:sz w:val="22"/>
          <w:szCs w:val="22"/>
        </w:rPr>
        <w:t xml:space="preserve"> is about </w:t>
      </w:r>
      <w:r w:rsidR="0086106C">
        <w:rPr>
          <w:rFonts w:ascii="Calibri" w:hAnsi="Calibri"/>
          <w:sz w:val="22"/>
          <w:szCs w:val="22"/>
        </w:rPr>
        <w:t>$</w:t>
      </w:r>
      <w:r w:rsidR="005310D4">
        <w:rPr>
          <w:rFonts w:ascii="Calibri" w:hAnsi="Calibri"/>
          <w:sz w:val="22"/>
          <w:szCs w:val="22"/>
        </w:rPr>
        <w:t>553,500</w:t>
      </w:r>
      <w:r>
        <w:rPr>
          <w:rFonts w:ascii="Calibri" w:hAnsi="Calibri"/>
          <w:sz w:val="22"/>
          <w:szCs w:val="22"/>
        </w:rPr>
        <w:t xml:space="preserve">,  up from </w:t>
      </w:r>
      <w:r w:rsidRPr="00876ECA">
        <w:rPr>
          <w:rFonts w:ascii="Calibri" w:hAnsi="Calibri"/>
          <w:sz w:val="22"/>
          <w:szCs w:val="22"/>
        </w:rPr>
        <w:t>$281,750</w:t>
      </w:r>
      <w:r>
        <w:rPr>
          <w:rFonts w:ascii="Calibri" w:hAnsi="Calibri"/>
          <w:sz w:val="22"/>
          <w:szCs w:val="22"/>
        </w:rPr>
        <w:t xml:space="preserve"> in 2014.  This is</w:t>
      </w:r>
      <w:r w:rsidRPr="00876ECA">
        <w:rPr>
          <w:rFonts w:ascii="Calibri" w:hAnsi="Calibri"/>
          <w:sz w:val="22"/>
          <w:szCs w:val="22"/>
        </w:rPr>
        <w:t xml:space="preserve"> based on 95% financing</w:t>
      </w:r>
      <w:r>
        <w:rPr>
          <w:rFonts w:ascii="Calibri" w:hAnsi="Calibri"/>
          <w:sz w:val="22"/>
          <w:szCs w:val="22"/>
        </w:rPr>
        <w:t xml:space="preserve"> and</w:t>
      </w:r>
      <w:r w:rsidRPr="00876ECA">
        <w:rPr>
          <w:rFonts w:ascii="Calibri" w:hAnsi="Calibri"/>
          <w:sz w:val="22"/>
          <w:szCs w:val="22"/>
        </w:rPr>
        <w:t xml:space="preserve"> assum</w:t>
      </w:r>
      <w:r>
        <w:rPr>
          <w:rFonts w:ascii="Calibri" w:hAnsi="Calibri"/>
          <w:sz w:val="22"/>
          <w:szCs w:val="22"/>
        </w:rPr>
        <w:t>es</w:t>
      </w:r>
      <w:r w:rsidRPr="00876ECA">
        <w:rPr>
          <w:rFonts w:ascii="Calibri" w:hAnsi="Calibri"/>
          <w:sz w:val="22"/>
          <w:szCs w:val="22"/>
        </w:rPr>
        <w:t xml:space="preserve"> the purchaser </w:t>
      </w:r>
      <w:r>
        <w:rPr>
          <w:rFonts w:ascii="Calibri" w:hAnsi="Calibri"/>
          <w:sz w:val="22"/>
          <w:szCs w:val="22"/>
        </w:rPr>
        <w:t>would</w:t>
      </w:r>
      <w:r w:rsidRPr="00876ECA">
        <w:rPr>
          <w:rFonts w:ascii="Calibri" w:hAnsi="Calibri"/>
          <w:sz w:val="22"/>
          <w:szCs w:val="22"/>
        </w:rPr>
        <w:t xml:space="preserve"> qualify for the state’s ONE Mortgage Loan Program</w:t>
      </w:r>
      <w:r>
        <w:rPr>
          <w:rFonts w:ascii="Calibri" w:hAnsi="Calibri"/>
          <w:sz w:val="22"/>
          <w:szCs w:val="22"/>
        </w:rPr>
        <w:t>,</w:t>
      </w:r>
      <w:r w:rsidRPr="00876ECA">
        <w:rPr>
          <w:rFonts w:ascii="Calibri" w:hAnsi="Calibri"/>
          <w:sz w:val="22"/>
          <w:szCs w:val="22"/>
        </w:rPr>
        <w:t xml:space="preserve"> MassHousing mortgage</w:t>
      </w:r>
      <w:r>
        <w:rPr>
          <w:rFonts w:ascii="Calibri" w:hAnsi="Calibri"/>
          <w:sz w:val="22"/>
          <w:szCs w:val="22"/>
        </w:rPr>
        <w:t>, or other government assisted financing</w:t>
      </w:r>
      <w:r w:rsidRPr="00876ECA">
        <w:rPr>
          <w:rFonts w:ascii="Calibri" w:hAnsi="Calibri"/>
          <w:sz w:val="22"/>
          <w:szCs w:val="22"/>
        </w:rPr>
        <w:t xml:space="preserve">.  </w:t>
      </w:r>
    </w:p>
    <w:p w14:paraId="6F1793AA" w14:textId="77777777" w:rsidR="0086106C" w:rsidRPr="0064322F" w:rsidRDefault="0086106C" w:rsidP="0086106C">
      <w:pPr>
        <w:pStyle w:val="BodyTextIndent"/>
        <w:spacing w:after="0"/>
        <w:ind w:left="720"/>
        <w:jc w:val="both"/>
        <w:rPr>
          <w:rFonts w:asciiTheme="minorHAnsi" w:hAnsiTheme="minorHAnsi"/>
          <w:szCs w:val="22"/>
        </w:rPr>
      </w:pPr>
    </w:p>
    <w:p w14:paraId="16DD1BB1" w14:textId="30945BF3" w:rsidR="00E37472" w:rsidRDefault="00DE29B8" w:rsidP="000A6E84">
      <w:pPr>
        <w:pStyle w:val="CommentText"/>
        <w:numPr>
          <w:ilvl w:val="0"/>
          <w:numId w:val="6"/>
        </w:numPr>
        <w:tabs>
          <w:tab w:val="clear" w:pos="1440"/>
          <w:tab w:val="num" w:pos="720"/>
        </w:tabs>
        <w:spacing w:line="240" w:lineRule="auto"/>
        <w:ind w:left="720"/>
        <w:jc w:val="both"/>
        <w:rPr>
          <w:rFonts w:ascii="Calibri" w:hAnsi="Calibri"/>
        </w:rPr>
      </w:pPr>
      <w:r w:rsidRPr="00A00405">
        <w:rPr>
          <w:rFonts w:asciiTheme="minorHAnsi" w:hAnsiTheme="minorHAnsi"/>
          <w:i/>
          <w:szCs w:val="22"/>
        </w:rPr>
        <w:t>High cost burdens</w:t>
      </w:r>
      <w:r w:rsidRPr="00A00405">
        <w:rPr>
          <w:rFonts w:asciiTheme="minorHAnsi" w:hAnsiTheme="minorHAnsi"/>
          <w:b/>
          <w:i/>
          <w:szCs w:val="22"/>
        </w:rPr>
        <w:t xml:space="preserve"> </w:t>
      </w:r>
      <w:r w:rsidRPr="000C7CDE">
        <w:rPr>
          <w:rFonts w:asciiTheme="minorHAnsi" w:hAnsiTheme="minorHAnsi"/>
          <w:bCs/>
          <w:i/>
          <w:szCs w:val="22"/>
        </w:rPr>
        <w:t>–</w:t>
      </w:r>
      <w:r w:rsidRPr="00A00405">
        <w:rPr>
          <w:rFonts w:asciiTheme="minorHAnsi" w:hAnsiTheme="minorHAnsi"/>
          <w:b/>
          <w:i/>
          <w:szCs w:val="22"/>
        </w:rPr>
        <w:t xml:space="preserve"> </w:t>
      </w:r>
      <w:r w:rsidR="008E0109">
        <w:rPr>
          <w:rFonts w:asciiTheme="minorHAnsi" w:hAnsiTheme="minorHAnsi"/>
          <w:bCs/>
          <w:iCs/>
          <w:szCs w:val="22"/>
        </w:rPr>
        <w:t>S</w:t>
      </w:r>
      <w:r w:rsidRPr="00A00405">
        <w:rPr>
          <w:rFonts w:asciiTheme="minorHAnsi" w:hAnsiTheme="minorHAnsi"/>
          <w:szCs w:val="22"/>
        </w:rPr>
        <w:t xml:space="preserve">pecial HUD </w:t>
      </w:r>
      <w:r w:rsidR="008E0109">
        <w:rPr>
          <w:rFonts w:asciiTheme="minorHAnsi" w:hAnsiTheme="minorHAnsi"/>
          <w:szCs w:val="22"/>
        </w:rPr>
        <w:t>data</w:t>
      </w:r>
      <w:r w:rsidRPr="00A00405">
        <w:rPr>
          <w:rFonts w:asciiTheme="minorHAnsi" w:hAnsiTheme="minorHAnsi"/>
          <w:szCs w:val="22"/>
        </w:rPr>
        <w:t xml:space="preserve"> indicated that </w:t>
      </w:r>
      <w:r w:rsidR="00E37472" w:rsidRPr="00A00405">
        <w:rPr>
          <w:rFonts w:asciiTheme="minorHAnsi" w:hAnsiTheme="minorHAnsi"/>
          <w:szCs w:val="22"/>
        </w:rPr>
        <w:t>of</w:t>
      </w:r>
      <w:r w:rsidR="00E37472" w:rsidRPr="00A00405">
        <w:rPr>
          <w:rFonts w:ascii="Calibri" w:hAnsi="Calibri"/>
          <w:b/>
        </w:rPr>
        <w:t xml:space="preserve"> </w:t>
      </w:r>
      <w:r w:rsidR="00E37472" w:rsidRPr="00A00405">
        <w:rPr>
          <w:rFonts w:ascii="Calibri" w:hAnsi="Calibri"/>
          <w:bCs/>
        </w:rPr>
        <w:t xml:space="preserve">the 8,955 owner households, 12.8% were overspending on their housing, including 7.8% with severe cost burdens.  This is down from 24% with cost burdens </w:t>
      </w:r>
      <w:r w:rsidR="00825E08">
        <w:rPr>
          <w:rFonts w:ascii="Calibri" w:hAnsi="Calibri"/>
          <w:bCs/>
        </w:rPr>
        <w:t xml:space="preserve">and </w:t>
      </w:r>
      <w:r w:rsidR="00E37472" w:rsidRPr="00A00405">
        <w:rPr>
          <w:rFonts w:ascii="Calibri" w:hAnsi="Calibri"/>
          <w:bCs/>
        </w:rPr>
        <w:t>8.7% encountering severe cost burdens</w:t>
      </w:r>
      <w:r w:rsidR="00825E08" w:rsidRPr="00825E08">
        <w:rPr>
          <w:rFonts w:ascii="Calibri" w:hAnsi="Calibri"/>
          <w:bCs/>
        </w:rPr>
        <w:t xml:space="preserve"> </w:t>
      </w:r>
      <w:r w:rsidR="00825E08" w:rsidRPr="00A00405">
        <w:rPr>
          <w:rFonts w:ascii="Calibri" w:hAnsi="Calibri"/>
          <w:bCs/>
        </w:rPr>
        <w:t>in 2015</w:t>
      </w:r>
      <w:r w:rsidR="00E37472" w:rsidRPr="00A00405">
        <w:rPr>
          <w:rFonts w:ascii="Calibri" w:hAnsi="Calibri"/>
          <w:bCs/>
        </w:rPr>
        <w:t xml:space="preserve">.  </w:t>
      </w:r>
      <w:r w:rsidR="00E37472" w:rsidRPr="00A00405">
        <w:rPr>
          <w:rFonts w:ascii="Calibri" w:hAnsi="Calibri"/>
        </w:rPr>
        <w:t xml:space="preserve">Of the 1,060 owner households </w:t>
      </w:r>
      <w:r w:rsidR="00A00405">
        <w:rPr>
          <w:rFonts w:ascii="Calibri" w:hAnsi="Calibri"/>
        </w:rPr>
        <w:t xml:space="preserve">with incomes </w:t>
      </w:r>
      <w:r w:rsidR="00E37472" w:rsidRPr="00A00405">
        <w:rPr>
          <w:rFonts w:ascii="Calibri" w:hAnsi="Calibri"/>
        </w:rPr>
        <w:t xml:space="preserve">at or below 80% </w:t>
      </w:r>
      <w:r w:rsidR="00A00405">
        <w:rPr>
          <w:rFonts w:ascii="Calibri" w:hAnsi="Calibri"/>
        </w:rPr>
        <w:t>AMI</w:t>
      </w:r>
      <w:r w:rsidR="00E37472" w:rsidRPr="00A00405">
        <w:rPr>
          <w:rFonts w:ascii="Calibri" w:hAnsi="Calibri"/>
        </w:rPr>
        <w:t xml:space="preserve">, two-thirds had cost burdens with 46% experiencing severe cost burdens. </w:t>
      </w:r>
    </w:p>
    <w:p w14:paraId="79FC1210" w14:textId="77777777" w:rsidR="00A00405" w:rsidRPr="00A00405" w:rsidRDefault="00A00405" w:rsidP="00A00405">
      <w:pPr>
        <w:pStyle w:val="CommentText"/>
        <w:tabs>
          <w:tab w:val="num" w:pos="720"/>
        </w:tabs>
        <w:spacing w:line="240" w:lineRule="auto"/>
        <w:ind w:left="720"/>
        <w:jc w:val="both"/>
        <w:rPr>
          <w:rFonts w:ascii="Calibri" w:hAnsi="Calibri"/>
        </w:rPr>
      </w:pPr>
    </w:p>
    <w:p w14:paraId="3B7C1D9B" w14:textId="0B4DEF1F" w:rsidR="00E37472" w:rsidRPr="007C6F27" w:rsidRDefault="00E37472" w:rsidP="00A00405">
      <w:pPr>
        <w:pStyle w:val="CommentText"/>
        <w:spacing w:line="240" w:lineRule="auto"/>
        <w:ind w:left="720"/>
        <w:jc w:val="both"/>
        <w:rPr>
          <w:rFonts w:ascii="Calibri" w:hAnsi="Calibri"/>
          <w:i/>
          <w:iCs/>
        </w:rPr>
      </w:pPr>
      <w:r w:rsidRPr="007C6F27">
        <w:rPr>
          <w:rFonts w:ascii="Calibri" w:hAnsi="Calibri"/>
          <w:i/>
          <w:iCs/>
        </w:rPr>
        <w:t xml:space="preserve">Almost all owners with incomes at or below 30% </w:t>
      </w:r>
      <w:r w:rsidR="00A00405">
        <w:rPr>
          <w:rFonts w:ascii="Calibri" w:hAnsi="Calibri"/>
          <w:i/>
          <w:iCs/>
        </w:rPr>
        <w:t>AMI</w:t>
      </w:r>
      <w:r w:rsidRPr="007C6F27">
        <w:rPr>
          <w:rFonts w:ascii="Calibri" w:hAnsi="Calibri"/>
          <w:i/>
          <w:iCs/>
        </w:rPr>
        <w:t xml:space="preserve"> were overspending including 92.4% with severe cost burdens.  This suggests that the Town continue to explore options </w:t>
      </w:r>
      <w:r w:rsidR="00825E08">
        <w:rPr>
          <w:rFonts w:ascii="Calibri" w:hAnsi="Calibri"/>
          <w:i/>
          <w:iCs/>
        </w:rPr>
        <w:t>for</w:t>
      </w:r>
      <w:r w:rsidRPr="007C6F27">
        <w:rPr>
          <w:rFonts w:ascii="Calibri" w:hAnsi="Calibri"/>
          <w:i/>
          <w:iCs/>
        </w:rPr>
        <w:t xml:space="preserve"> reduc</w:t>
      </w:r>
      <w:r w:rsidR="00825E08">
        <w:rPr>
          <w:rFonts w:ascii="Calibri" w:hAnsi="Calibri"/>
          <w:i/>
          <w:iCs/>
        </w:rPr>
        <w:t>ing</w:t>
      </w:r>
      <w:r w:rsidRPr="007C6F27">
        <w:rPr>
          <w:rFonts w:ascii="Calibri" w:hAnsi="Calibri"/>
          <w:i/>
          <w:iCs/>
        </w:rPr>
        <w:t xml:space="preserve"> housing costs for these extremely low-income households, most of whom are </w:t>
      </w:r>
      <w:r w:rsidR="00E06045">
        <w:rPr>
          <w:rFonts w:ascii="Calibri" w:hAnsi="Calibri"/>
          <w:i/>
          <w:iCs/>
        </w:rPr>
        <w:t>older adult</w:t>
      </w:r>
      <w:r w:rsidRPr="007C6F27">
        <w:rPr>
          <w:rFonts w:ascii="Calibri" w:hAnsi="Calibri"/>
          <w:i/>
          <w:iCs/>
        </w:rPr>
        <w:t xml:space="preserve">s.  </w:t>
      </w:r>
      <w:r w:rsidR="00C5113E" w:rsidRPr="007C6F27">
        <w:rPr>
          <w:rFonts w:ascii="Calibri" w:hAnsi="Calibri"/>
          <w:i/>
          <w:iCs/>
        </w:rPr>
        <w:t>Efforts such as the Small Repair Grant Program</w:t>
      </w:r>
      <w:r w:rsidR="00C5113E">
        <w:rPr>
          <w:rFonts w:ascii="Calibri" w:hAnsi="Calibri"/>
          <w:i/>
          <w:iCs/>
        </w:rPr>
        <w:t xml:space="preserve">, </w:t>
      </w:r>
      <w:r w:rsidR="00C5113E" w:rsidRPr="007C6F27">
        <w:rPr>
          <w:rFonts w:ascii="Calibri" w:hAnsi="Calibri"/>
          <w:i/>
          <w:iCs/>
        </w:rPr>
        <w:t xml:space="preserve"> additional </w:t>
      </w:r>
      <w:r w:rsidR="00C5113E">
        <w:rPr>
          <w:rFonts w:ascii="Calibri" w:hAnsi="Calibri"/>
          <w:i/>
          <w:iCs/>
        </w:rPr>
        <w:t xml:space="preserve">funding for the Town’s </w:t>
      </w:r>
      <w:r w:rsidR="00C5113E" w:rsidRPr="007C6F27">
        <w:rPr>
          <w:rFonts w:ascii="Calibri" w:hAnsi="Calibri"/>
          <w:i/>
          <w:iCs/>
        </w:rPr>
        <w:t>tax</w:t>
      </w:r>
      <w:r w:rsidR="00C5113E">
        <w:rPr>
          <w:rFonts w:ascii="Calibri" w:hAnsi="Calibri"/>
          <w:i/>
          <w:iCs/>
        </w:rPr>
        <w:t xml:space="preserve"> assistance program, and</w:t>
      </w:r>
      <w:r w:rsidR="00C5113E" w:rsidRPr="007C6F27">
        <w:rPr>
          <w:rFonts w:ascii="Calibri" w:hAnsi="Calibri"/>
          <w:i/>
          <w:iCs/>
        </w:rPr>
        <w:t xml:space="preserve"> </w:t>
      </w:r>
      <w:r w:rsidR="00C5113E">
        <w:rPr>
          <w:rFonts w:ascii="Calibri" w:hAnsi="Calibri"/>
          <w:i/>
          <w:iCs/>
        </w:rPr>
        <w:t xml:space="preserve">additional tax </w:t>
      </w:r>
      <w:r w:rsidR="00C5113E" w:rsidRPr="007C6F27">
        <w:rPr>
          <w:rFonts w:ascii="Calibri" w:hAnsi="Calibri"/>
          <w:i/>
          <w:iCs/>
        </w:rPr>
        <w:t xml:space="preserve">deferrals could provide much needed </w:t>
      </w:r>
      <w:r w:rsidR="00055330">
        <w:rPr>
          <w:rFonts w:ascii="Calibri" w:hAnsi="Calibri"/>
          <w:i/>
          <w:iCs/>
        </w:rPr>
        <w:t>relief</w:t>
      </w:r>
      <w:r w:rsidR="00C5113E" w:rsidRPr="007C6F27">
        <w:rPr>
          <w:rFonts w:ascii="Calibri" w:hAnsi="Calibri"/>
          <w:i/>
          <w:iCs/>
        </w:rPr>
        <w:t xml:space="preserve">. </w:t>
      </w:r>
      <w:r w:rsidR="000C7CDE">
        <w:rPr>
          <w:rFonts w:ascii="Calibri" w:hAnsi="Calibri"/>
          <w:i/>
          <w:iCs/>
        </w:rPr>
        <w:t>ADUs may become another source of income for these households with zoning changes.</w:t>
      </w:r>
    </w:p>
    <w:p w14:paraId="0F88FB35" w14:textId="77777777" w:rsidR="00E37472" w:rsidRPr="0064322F" w:rsidRDefault="00E37472" w:rsidP="00E37472">
      <w:pPr>
        <w:pStyle w:val="BodyTextIndent"/>
        <w:tabs>
          <w:tab w:val="num" w:pos="720"/>
        </w:tabs>
        <w:spacing w:after="0"/>
        <w:ind w:left="720"/>
        <w:jc w:val="both"/>
        <w:rPr>
          <w:rFonts w:asciiTheme="minorHAnsi" w:hAnsiTheme="minorHAnsi"/>
          <w:sz w:val="22"/>
          <w:szCs w:val="22"/>
        </w:rPr>
      </w:pPr>
    </w:p>
    <w:p w14:paraId="7C6117DB" w14:textId="1A2DEC37" w:rsidR="00DF1325" w:rsidRDefault="00DE29B8" w:rsidP="00244466">
      <w:pPr>
        <w:pStyle w:val="BodyTextIndent"/>
        <w:numPr>
          <w:ilvl w:val="0"/>
          <w:numId w:val="56"/>
        </w:numPr>
        <w:tabs>
          <w:tab w:val="left" w:pos="720"/>
        </w:tabs>
        <w:spacing w:after="0"/>
        <w:ind w:left="720" w:hanging="360"/>
        <w:jc w:val="both"/>
        <w:rPr>
          <w:rFonts w:ascii="Calibri" w:hAnsi="Calibri"/>
          <w:sz w:val="22"/>
          <w:szCs w:val="22"/>
        </w:rPr>
      </w:pPr>
      <w:r w:rsidRPr="00DF1325">
        <w:rPr>
          <w:rFonts w:asciiTheme="minorHAnsi" w:hAnsiTheme="minorHAnsi"/>
          <w:i/>
          <w:sz w:val="22"/>
          <w:szCs w:val="22"/>
        </w:rPr>
        <w:t xml:space="preserve">Maintain population diversity and attract young families - </w:t>
      </w:r>
      <w:r w:rsidR="00DF1325" w:rsidRPr="00DF1325">
        <w:rPr>
          <w:rFonts w:ascii="Calibri" w:hAnsi="Calibri"/>
          <w:sz w:val="22"/>
          <w:szCs w:val="22"/>
        </w:rPr>
        <w:t>Young adults in the family formation stage of their lives, in the 25 to 34-age range, decreased between 1990 and 20</w:t>
      </w:r>
      <w:r w:rsidR="00AF5438">
        <w:rPr>
          <w:rFonts w:ascii="Calibri" w:hAnsi="Calibri"/>
          <w:sz w:val="22"/>
          <w:szCs w:val="22"/>
        </w:rPr>
        <w:t>20</w:t>
      </w:r>
      <w:r w:rsidR="00DF1325" w:rsidRPr="00DF1325">
        <w:rPr>
          <w:rFonts w:ascii="Calibri" w:hAnsi="Calibri"/>
          <w:sz w:val="22"/>
          <w:szCs w:val="22"/>
        </w:rPr>
        <w:t xml:space="preserve">, dropping to </w:t>
      </w:r>
      <w:r w:rsidR="00AF5438">
        <w:rPr>
          <w:rFonts w:ascii="Calibri" w:hAnsi="Calibri"/>
          <w:sz w:val="22"/>
          <w:szCs w:val="22"/>
        </w:rPr>
        <w:t>4.9</w:t>
      </w:r>
      <w:r w:rsidR="00DF1325" w:rsidRPr="00DF1325">
        <w:rPr>
          <w:rFonts w:ascii="Calibri" w:hAnsi="Calibri"/>
          <w:sz w:val="22"/>
          <w:szCs w:val="22"/>
        </w:rPr>
        <w:t xml:space="preserve">% of the population from 13.7% in 1990. An increasing number of </w:t>
      </w:r>
      <w:r w:rsidR="00DF1325">
        <w:rPr>
          <w:rFonts w:ascii="Calibri" w:hAnsi="Calibri"/>
          <w:sz w:val="22"/>
          <w:szCs w:val="22"/>
        </w:rPr>
        <w:t>young adults</w:t>
      </w:r>
      <w:r w:rsidR="00DF1325" w:rsidRPr="00DF1325">
        <w:rPr>
          <w:rFonts w:ascii="Calibri" w:hAnsi="Calibri"/>
          <w:sz w:val="22"/>
          <w:szCs w:val="22"/>
        </w:rPr>
        <w:t xml:space="preserve"> who were raised in Needham have been choosing to live elsewhere, and the high cost of housing is likely a contributing factor in addition to general preferences for living in more urban areas.  </w:t>
      </w:r>
    </w:p>
    <w:p w14:paraId="10D5B524" w14:textId="77777777" w:rsidR="00DF1325" w:rsidRPr="00DF1325" w:rsidRDefault="00DF1325" w:rsidP="00DF1325">
      <w:pPr>
        <w:pStyle w:val="BodyTextIndent"/>
        <w:tabs>
          <w:tab w:val="left" w:pos="720"/>
        </w:tabs>
        <w:spacing w:after="0"/>
        <w:ind w:left="720"/>
        <w:jc w:val="both"/>
        <w:rPr>
          <w:rFonts w:ascii="Calibri" w:hAnsi="Calibri"/>
          <w:sz w:val="22"/>
          <w:szCs w:val="22"/>
        </w:rPr>
      </w:pPr>
    </w:p>
    <w:p w14:paraId="4519BD09" w14:textId="10A9823D" w:rsidR="00DF1325" w:rsidRDefault="00DF1325" w:rsidP="00DF1325">
      <w:pPr>
        <w:tabs>
          <w:tab w:val="num" w:pos="720"/>
        </w:tabs>
        <w:ind w:left="720"/>
        <w:jc w:val="both"/>
        <w:rPr>
          <w:rFonts w:ascii="Calibri" w:hAnsi="Calibri" w:cs="Lucida Sans Unicode"/>
          <w:sz w:val="22"/>
          <w:szCs w:val="22"/>
        </w:rPr>
      </w:pPr>
      <w:r w:rsidRPr="00DF1325">
        <w:rPr>
          <w:rFonts w:ascii="Calibri" w:hAnsi="Calibri" w:cs="Lucida Sans Unicode"/>
          <w:sz w:val="22"/>
          <w:szCs w:val="22"/>
        </w:rPr>
        <w:lastRenderedPageBreak/>
        <w:t xml:space="preserve">Additionally, </w:t>
      </w:r>
      <w:r w:rsidRPr="00445E74">
        <w:rPr>
          <w:rFonts w:ascii="Calibri" w:hAnsi="Calibri" w:cs="Lucida Sans Unicode"/>
          <w:sz w:val="22"/>
          <w:szCs w:val="22"/>
        </w:rPr>
        <w:t xml:space="preserve">those age 35 to 44 </w:t>
      </w:r>
      <w:r>
        <w:rPr>
          <w:rFonts w:ascii="Calibri" w:hAnsi="Calibri" w:cs="Lucida Sans Unicode"/>
          <w:sz w:val="22"/>
          <w:szCs w:val="22"/>
        </w:rPr>
        <w:t xml:space="preserve">decreased significantly since 2000, from </w:t>
      </w:r>
      <w:r w:rsidR="0018659D">
        <w:rPr>
          <w:rFonts w:ascii="Calibri" w:hAnsi="Calibri" w:cs="Lucida Sans Unicode"/>
          <w:sz w:val="22"/>
          <w:szCs w:val="22"/>
        </w:rPr>
        <w:t xml:space="preserve">17% to </w:t>
      </w:r>
      <w:r w:rsidR="00AF5438">
        <w:rPr>
          <w:rFonts w:ascii="Calibri" w:hAnsi="Calibri" w:cs="Lucida Sans Unicode"/>
          <w:sz w:val="22"/>
          <w:szCs w:val="22"/>
        </w:rPr>
        <w:t>6.7</w:t>
      </w:r>
      <w:r w:rsidR="0018659D">
        <w:rPr>
          <w:rFonts w:ascii="Calibri" w:hAnsi="Calibri" w:cs="Lucida Sans Unicode"/>
          <w:sz w:val="22"/>
          <w:szCs w:val="22"/>
        </w:rPr>
        <w:t>% of all residents</w:t>
      </w:r>
      <w:r w:rsidR="00AF5438">
        <w:rPr>
          <w:rFonts w:ascii="Calibri" w:hAnsi="Calibri" w:cs="Lucida Sans Unicode"/>
          <w:sz w:val="22"/>
          <w:szCs w:val="22"/>
        </w:rPr>
        <w:t xml:space="preserve"> </w:t>
      </w:r>
      <w:r w:rsidR="00055330">
        <w:rPr>
          <w:rFonts w:ascii="Calibri" w:hAnsi="Calibri" w:cs="Lucida Sans Unicode"/>
          <w:sz w:val="22"/>
          <w:szCs w:val="22"/>
        </w:rPr>
        <w:t>by</w:t>
      </w:r>
      <w:r w:rsidR="00AF5438">
        <w:rPr>
          <w:rFonts w:ascii="Calibri" w:hAnsi="Calibri" w:cs="Lucida Sans Unicode"/>
          <w:sz w:val="22"/>
          <w:szCs w:val="22"/>
        </w:rPr>
        <w:t xml:space="preserve"> 2020</w:t>
      </w:r>
      <w:r>
        <w:rPr>
          <w:rFonts w:ascii="Calibri" w:hAnsi="Calibri" w:cs="Lucida Sans Unicode"/>
          <w:sz w:val="22"/>
          <w:szCs w:val="22"/>
        </w:rPr>
        <w:t xml:space="preserve">.  </w:t>
      </w:r>
      <w:r w:rsidRPr="00445E74">
        <w:rPr>
          <w:rFonts w:ascii="Calibri" w:hAnsi="Calibri" w:cs="Lucida Sans Unicode"/>
          <w:sz w:val="22"/>
          <w:szCs w:val="22"/>
        </w:rPr>
        <w:t xml:space="preserve">While many in this age range would likely be attracted to Needham given the high quality of its school system and other community amenities for young families, it is also likely that </w:t>
      </w:r>
      <w:r>
        <w:rPr>
          <w:rFonts w:ascii="Calibri" w:hAnsi="Calibri" w:cs="Lucida Sans Unicode"/>
          <w:sz w:val="22"/>
          <w:szCs w:val="22"/>
        </w:rPr>
        <w:t>many have been</w:t>
      </w:r>
      <w:r w:rsidRPr="00445E74">
        <w:rPr>
          <w:rFonts w:ascii="Calibri" w:hAnsi="Calibri" w:cs="Lucida Sans Unicode"/>
          <w:sz w:val="22"/>
          <w:szCs w:val="22"/>
        </w:rPr>
        <w:t xml:space="preserve"> priced out of the town’s housing market.</w:t>
      </w:r>
    </w:p>
    <w:p w14:paraId="46729628" w14:textId="77777777" w:rsidR="00DF1325" w:rsidRDefault="00DF1325" w:rsidP="00DF1325">
      <w:pPr>
        <w:tabs>
          <w:tab w:val="num" w:pos="720"/>
        </w:tabs>
        <w:ind w:left="720" w:hanging="360"/>
        <w:jc w:val="both"/>
        <w:rPr>
          <w:rFonts w:ascii="Calibri" w:hAnsi="Calibri" w:cs="Lucida Sans Unicode"/>
          <w:sz w:val="22"/>
          <w:szCs w:val="22"/>
        </w:rPr>
      </w:pPr>
    </w:p>
    <w:p w14:paraId="496BF5B0" w14:textId="450604AA" w:rsidR="00DE29B8" w:rsidRPr="00F64AAB" w:rsidRDefault="009E59E1" w:rsidP="00244466">
      <w:pPr>
        <w:pStyle w:val="BodyText2"/>
        <w:numPr>
          <w:ilvl w:val="0"/>
          <w:numId w:val="52"/>
        </w:numPr>
        <w:tabs>
          <w:tab w:val="left" w:pos="0"/>
        </w:tabs>
        <w:spacing w:after="0" w:line="240" w:lineRule="auto"/>
        <w:ind w:left="720" w:hanging="360"/>
        <w:jc w:val="both"/>
        <w:rPr>
          <w:rFonts w:asciiTheme="minorHAnsi" w:hAnsiTheme="minorHAnsi"/>
          <w:b/>
          <w:sz w:val="22"/>
          <w:szCs w:val="22"/>
        </w:rPr>
      </w:pPr>
      <w:r>
        <w:rPr>
          <w:rFonts w:asciiTheme="minorHAnsi" w:hAnsiTheme="minorHAnsi"/>
          <w:bCs/>
          <w:i/>
          <w:sz w:val="22"/>
          <w:szCs w:val="22"/>
        </w:rPr>
        <w:t>F</w:t>
      </w:r>
      <w:r w:rsidR="00DE29B8" w:rsidRPr="00F64AAB">
        <w:rPr>
          <w:rFonts w:asciiTheme="minorHAnsi" w:hAnsiTheme="minorHAnsi"/>
          <w:bCs/>
          <w:i/>
          <w:sz w:val="22"/>
          <w:szCs w:val="22"/>
        </w:rPr>
        <w:t xml:space="preserve">inancing challenges - </w:t>
      </w:r>
      <w:r w:rsidR="00DE29B8" w:rsidRPr="00F64AAB">
        <w:rPr>
          <w:rFonts w:asciiTheme="minorHAnsi" w:hAnsiTheme="minorHAnsi"/>
          <w:sz w:val="22"/>
          <w:szCs w:val="22"/>
        </w:rPr>
        <w:t xml:space="preserve">Without a subsidized mortgage, households have to come up with a substantial amount of cash, </w:t>
      </w:r>
      <w:r w:rsidR="00DE29B8">
        <w:rPr>
          <w:rFonts w:asciiTheme="minorHAnsi" w:hAnsiTheme="minorHAnsi"/>
          <w:sz w:val="22"/>
          <w:szCs w:val="22"/>
        </w:rPr>
        <w:t>potentially as must as 2</w:t>
      </w:r>
      <w:r w:rsidR="00DE29B8" w:rsidRPr="00F64AAB">
        <w:rPr>
          <w:rFonts w:asciiTheme="minorHAnsi" w:hAnsiTheme="minorHAnsi"/>
          <w:sz w:val="22"/>
          <w:szCs w:val="22"/>
        </w:rPr>
        <w:t>0%</w:t>
      </w:r>
      <w:r w:rsidR="00DE29B8">
        <w:rPr>
          <w:rFonts w:asciiTheme="minorHAnsi" w:hAnsiTheme="minorHAnsi"/>
          <w:sz w:val="22"/>
          <w:szCs w:val="22"/>
        </w:rPr>
        <w:t xml:space="preserve"> of the purchase price</w:t>
      </w:r>
      <w:r w:rsidR="00DE29B8" w:rsidRPr="00F64AAB">
        <w:rPr>
          <w:rFonts w:asciiTheme="minorHAnsi" w:hAnsiTheme="minorHAnsi"/>
          <w:sz w:val="22"/>
          <w:szCs w:val="22"/>
        </w:rPr>
        <w:t>, thus blocking many who seek to own a home.  Credit problems also pose barriers to homeownership.</w:t>
      </w:r>
    </w:p>
    <w:p w14:paraId="4DBD3CF3" w14:textId="77777777" w:rsidR="00DE29B8" w:rsidRPr="00F64AAB" w:rsidRDefault="00DE29B8" w:rsidP="00DE29B8">
      <w:pPr>
        <w:pStyle w:val="Title"/>
        <w:tabs>
          <w:tab w:val="left" w:pos="0"/>
        </w:tabs>
        <w:ind w:left="720"/>
        <w:jc w:val="both"/>
        <w:rPr>
          <w:rFonts w:asciiTheme="minorHAnsi" w:hAnsiTheme="minorHAnsi"/>
          <w:b w:val="0"/>
          <w:sz w:val="22"/>
          <w:szCs w:val="22"/>
        </w:rPr>
      </w:pPr>
    </w:p>
    <w:p w14:paraId="7EF82A35" w14:textId="5247A5BF" w:rsidR="00E37472" w:rsidRPr="00876ECA" w:rsidRDefault="00DE29B8" w:rsidP="00E37472">
      <w:pPr>
        <w:pStyle w:val="BodyTextIndent"/>
        <w:spacing w:after="0"/>
        <w:ind w:left="720"/>
        <w:jc w:val="both"/>
        <w:rPr>
          <w:rFonts w:ascii="Calibri" w:hAnsi="Calibri"/>
          <w:sz w:val="22"/>
          <w:szCs w:val="22"/>
        </w:rPr>
      </w:pPr>
      <w:r w:rsidRPr="00F64AAB">
        <w:rPr>
          <w:rFonts w:asciiTheme="minorHAnsi" w:hAnsiTheme="minorHAnsi"/>
          <w:sz w:val="22"/>
          <w:szCs w:val="22"/>
        </w:rPr>
        <w:t>Prior generations had the advantage of GI loans and other favorable mortgage lending options with reasonable down payments.  Also, in prior years the median home price to income ratio was much lower than it is today (see Figure 1-1), making homeownership more accessible.  Given current economic conditions, the ability to obtain financing is more challenging for today’s first-time homebuyers without subsidized ownership. State-supported mortgage programs, such as the ONE Mortgage Program</w:t>
      </w:r>
      <w:r>
        <w:rPr>
          <w:rFonts w:asciiTheme="minorHAnsi" w:hAnsiTheme="minorHAnsi"/>
          <w:sz w:val="22"/>
          <w:szCs w:val="22"/>
        </w:rPr>
        <w:t xml:space="preserve"> and MassHousing offerings</w:t>
      </w:r>
      <w:r w:rsidRPr="00F64AAB">
        <w:rPr>
          <w:rFonts w:asciiTheme="minorHAnsi" w:hAnsiTheme="minorHAnsi"/>
          <w:sz w:val="22"/>
          <w:szCs w:val="22"/>
        </w:rPr>
        <w:t>, can offer important financial assistance to first-time purchasers.</w:t>
      </w:r>
      <w:r w:rsidR="00E37472" w:rsidRPr="00E37472">
        <w:rPr>
          <w:rFonts w:ascii="Calibri" w:hAnsi="Calibri"/>
          <w:sz w:val="22"/>
          <w:szCs w:val="22"/>
        </w:rPr>
        <w:t xml:space="preserve"> </w:t>
      </w:r>
      <w:r w:rsidR="00E37472">
        <w:rPr>
          <w:rFonts w:ascii="Calibri" w:hAnsi="Calibri"/>
          <w:sz w:val="22"/>
          <w:szCs w:val="22"/>
        </w:rPr>
        <w:t>M</w:t>
      </w:r>
      <w:r w:rsidR="00E37472" w:rsidRPr="00876ECA">
        <w:rPr>
          <w:rFonts w:ascii="Calibri" w:hAnsi="Calibri"/>
          <w:sz w:val="22"/>
          <w:szCs w:val="22"/>
        </w:rPr>
        <w:t>ore rigorous underwriting criteria, including more stringent credit requirements</w:t>
      </w:r>
      <w:r w:rsidR="008818F5">
        <w:rPr>
          <w:rFonts w:ascii="Calibri" w:hAnsi="Calibri"/>
          <w:sz w:val="22"/>
          <w:szCs w:val="22"/>
        </w:rPr>
        <w:t>, still</w:t>
      </w:r>
      <w:r w:rsidR="000C7CDE">
        <w:rPr>
          <w:rFonts w:ascii="Calibri" w:hAnsi="Calibri"/>
          <w:sz w:val="22"/>
          <w:szCs w:val="22"/>
        </w:rPr>
        <w:t xml:space="preserve"> present</w:t>
      </w:r>
      <w:r w:rsidR="00E37472" w:rsidRPr="00876ECA">
        <w:rPr>
          <w:rFonts w:ascii="Calibri" w:hAnsi="Calibri"/>
          <w:sz w:val="22"/>
          <w:szCs w:val="22"/>
        </w:rPr>
        <w:t xml:space="preserve"> challenges</w:t>
      </w:r>
      <w:r w:rsidR="000C7CDE">
        <w:rPr>
          <w:rFonts w:ascii="Calibri" w:hAnsi="Calibri"/>
          <w:sz w:val="22"/>
          <w:szCs w:val="22"/>
        </w:rPr>
        <w:t xml:space="preserve"> to </w:t>
      </w:r>
      <w:r w:rsidR="00E37472" w:rsidRPr="00876ECA">
        <w:rPr>
          <w:rFonts w:ascii="Calibri" w:hAnsi="Calibri"/>
          <w:sz w:val="22"/>
          <w:szCs w:val="22"/>
        </w:rPr>
        <w:t xml:space="preserve">obtaining mortgage </w:t>
      </w:r>
      <w:r w:rsidR="00E37472">
        <w:rPr>
          <w:rFonts w:ascii="Calibri" w:hAnsi="Calibri"/>
          <w:sz w:val="22"/>
          <w:szCs w:val="22"/>
        </w:rPr>
        <w:t>financing however</w:t>
      </w:r>
      <w:r w:rsidR="00E37472" w:rsidRPr="00876ECA">
        <w:rPr>
          <w:rFonts w:ascii="Calibri" w:hAnsi="Calibri"/>
          <w:sz w:val="22"/>
          <w:szCs w:val="22"/>
        </w:rPr>
        <w:t>.</w:t>
      </w:r>
    </w:p>
    <w:p w14:paraId="4F3F9CF3" w14:textId="77777777" w:rsidR="00DE29B8" w:rsidRPr="00F64AAB" w:rsidRDefault="00DE29B8" w:rsidP="00DE29B8">
      <w:pPr>
        <w:pStyle w:val="Title"/>
        <w:tabs>
          <w:tab w:val="left" w:pos="0"/>
        </w:tabs>
        <w:jc w:val="both"/>
        <w:rPr>
          <w:rFonts w:asciiTheme="minorHAnsi" w:hAnsiTheme="minorHAnsi"/>
          <w:b w:val="0"/>
          <w:bCs w:val="0"/>
          <w:sz w:val="22"/>
          <w:szCs w:val="22"/>
        </w:rPr>
      </w:pPr>
    </w:p>
    <w:p w14:paraId="5674EF84" w14:textId="79E4B336" w:rsidR="00DE29B8" w:rsidRPr="00F64AAB" w:rsidRDefault="00DE29B8" w:rsidP="00244466">
      <w:pPr>
        <w:pStyle w:val="BodyText2"/>
        <w:numPr>
          <w:ilvl w:val="0"/>
          <w:numId w:val="52"/>
        </w:numPr>
        <w:tabs>
          <w:tab w:val="left" w:pos="0"/>
        </w:tabs>
        <w:spacing w:after="0" w:line="240" w:lineRule="auto"/>
        <w:ind w:left="720" w:hanging="360"/>
        <w:jc w:val="both"/>
        <w:rPr>
          <w:rFonts w:asciiTheme="minorHAnsi" w:hAnsiTheme="minorHAnsi"/>
          <w:b/>
          <w:sz w:val="22"/>
          <w:szCs w:val="22"/>
        </w:rPr>
      </w:pPr>
      <w:r w:rsidRPr="00F64AAB">
        <w:rPr>
          <w:rFonts w:asciiTheme="minorHAnsi" w:hAnsiTheme="minorHAnsi"/>
          <w:i/>
          <w:sz w:val="22"/>
          <w:szCs w:val="22"/>
        </w:rPr>
        <w:t xml:space="preserve">Extremely low vacancy rates - </w:t>
      </w:r>
      <w:r w:rsidRPr="00F64AAB">
        <w:rPr>
          <w:rFonts w:asciiTheme="minorHAnsi" w:hAnsiTheme="minorHAnsi"/>
          <w:sz w:val="22"/>
          <w:szCs w:val="22"/>
        </w:rPr>
        <w:t>The vacancy rate for homeownership units was 1%</w:t>
      </w:r>
      <w:r w:rsidR="00E37472">
        <w:rPr>
          <w:rFonts w:asciiTheme="minorHAnsi" w:hAnsiTheme="minorHAnsi"/>
          <w:sz w:val="22"/>
          <w:szCs w:val="22"/>
        </w:rPr>
        <w:t xml:space="preserve"> based on 20</w:t>
      </w:r>
      <w:r w:rsidR="005310D4">
        <w:rPr>
          <w:rFonts w:asciiTheme="minorHAnsi" w:hAnsiTheme="minorHAnsi"/>
          <w:sz w:val="22"/>
          <w:szCs w:val="22"/>
        </w:rPr>
        <w:t>20</w:t>
      </w:r>
      <w:r w:rsidR="00E37472">
        <w:rPr>
          <w:rFonts w:asciiTheme="minorHAnsi" w:hAnsiTheme="minorHAnsi"/>
          <w:sz w:val="22"/>
          <w:szCs w:val="22"/>
        </w:rPr>
        <w:t xml:space="preserve"> census estimates</w:t>
      </w:r>
      <w:r w:rsidRPr="00F64AAB">
        <w:rPr>
          <w:rFonts w:asciiTheme="minorHAnsi" w:hAnsiTheme="minorHAnsi"/>
          <w:sz w:val="22"/>
          <w:szCs w:val="22"/>
        </w:rPr>
        <w:t xml:space="preserve">, reflecting </w:t>
      </w:r>
      <w:r w:rsidR="00055330">
        <w:rPr>
          <w:rFonts w:asciiTheme="minorHAnsi" w:hAnsiTheme="minorHAnsi"/>
          <w:sz w:val="22"/>
          <w:szCs w:val="22"/>
        </w:rPr>
        <w:t xml:space="preserve">very </w:t>
      </w:r>
      <w:r w:rsidRPr="00F64AAB">
        <w:rPr>
          <w:rFonts w:asciiTheme="minorHAnsi" w:hAnsiTheme="minorHAnsi"/>
          <w:sz w:val="22"/>
          <w:szCs w:val="22"/>
        </w:rPr>
        <w:t xml:space="preserve">tight market conditions. </w:t>
      </w:r>
    </w:p>
    <w:p w14:paraId="32A584EF" w14:textId="77777777" w:rsidR="00E96CEB" w:rsidRDefault="00E96CEB" w:rsidP="00DE29B8">
      <w:pPr>
        <w:pStyle w:val="BodyTextIndent"/>
        <w:tabs>
          <w:tab w:val="left" w:pos="0"/>
        </w:tabs>
        <w:spacing w:after="0"/>
        <w:ind w:left="0"/>
        <w:jc w:val="both"/>
        <w:rPr>
          <w:rFonts w:asciiTheme="minorHAnsi" w:hAnsiTheme="minorHAnsi"/>
          <w:bCs/>
          <w:sz w:val="22"/>
          <w:szCs w:val="22"/>
        </w:rPr>
      </w:pPr>
    </w:p>
    <w:p w14:paraId="5719EB4D" w14:textId="512696DE" w:rsidR="00DE29B8" w:rsidRPr="00F64AAB" w:rsidRDefault="00DE29B8" w:rsidP="00DE29B8">
      <w:pPr>
        <w:pStyle w:val="BodyTextIndent"/>
        <w:tabs>
          <w:tab w:val="left" w:pos="0"/>
        </w:tabs>
        <w:spacing w:after="0"/>
        <w:ind w:left="0"/>
        <w:jc w:val="both"/>
        <w:rPr>
          <w:rFonts w:asciiTheme="minorHAnsi" w:hAnsiTheme="minorHAnsi"/>
          <w:bCs/>
          <w:sz w:val="22"/>
          <w:szCs w:val="22"/>
        </w:rPr>
      </w:pPr>
      <w:r w:rsidRPr="00F64AAB">
        <w:rPr>
          <w:rFonts w:asciiTheme="minorHAnsi" w:hAnsiTheme="minorHAnsi"/>
          <w:bCs/>
          <w:sz w:val="22"/>
          <w:szCs w:val="22"/>
        </w:rPr>
        <w:t>It should be noted that it is difficult for existing homeowners to qualify for new affordable housing opportunities as there are limits on financial assets and current ownership</w:t>
      </w:r>
      <w:r w:rsidR="009A54F7">
        <w:rPr>
          <w:rFonts w:asciiTheme="minorHAnsi" w:hAnsiTheme="minorHAnsi"/>
          <w:bCs/>
          <w:sz w:val="22"/>
          <w:szCs w:val="22"/>
        </w:rPr>
        <w:t xml:space="preserve"> and programs typically target first-time homebuyers</w:t>
      </w:r>
      <w:r w:rsidRPr="00F64AAB">
        <w:rPr>
          <w:rFonts w:asciiTheme="minorHAnsi" w:hAnsiTheme="minorHAnsi"/>
          <w:bCs/>
          <w:sz w:val="22"/>
          <w:szCs w:val="22"/>
        </w:rPr>
        <w:t xml:space="preserve">.  Nevertheless, there are still opportunities to assist low- and </w:t>
      </w:r>
      <w:r>
        <w:rPr>
          <w:rFonts w:asciiTheme="minorHAnsi" w:hAnsiTheme="minorHAnsi"/>
          <w:bCs/>
          <w:sz w:val="22"/>
          <w:szCs w:val="22"/>
        </w:rPr>
        <w:t>moderate-income owners</w:t>
      </w:r>
      <w:r w:rsidRPr="00F64AAB">
        <w:rPr>
          <w:rFonts w:asciiTheme="minorHAnsi" w:hAnsiTheme="minorHAnsi"/>
          <w:bCs/>
          <w:sz w:val="22"/>
          <w:szCs w:val="22"/>
        </w:rPr>
        <w:t xml:space="preserve"> </w:t>
      </w:r>
      <w:r w:rsidR="00D816D2">
        <w:rPr>
          <w:rFonts w:asciiTheme="minorHAnsi" w:hAnsiTheme="minorHAnsi"/>
          <w:bCs/>
          <w:sz w:val="22"/>
          <w:szCs w:val="22"/>
        </w:rPr>
        <w:t xml:space="preserve">as </w:t>
      </w:r>
      <w:r w:rsidRPr="00F64AAB">
        <w:rPr>
          <w:rFonts w:asciiTheme="minorHAnsi" w:hAnsiTheme="minorHAnsi"/>
          <w:bCs/>
          <w:sz w:val="22"/>
          <w:szCs w:val="22"/>
        </w:rPr>
        <w:t xml:space="preserve">further described in Section </w:t>
      </w:r>
      <w:r w:rsidR="00FE05B4">
        <w:rPr>
          <w:rFonts w:asciiTheme="minorHAnsi" w:hAnsiTheme="minorHAnsi"/>
          <w:bCs/>
          <w:sz w:val="22"/>
          <w:szCs w:val="22"/>
        </w:rPr>
        <w:t>IV</w:t>
      </w:r>
      <w:r w:rsidRPr="00F64AAB">
        <w:rPr>
          <w:rFonts w:asciiTheme="minorHAnsi" w:hAnsiTheme="minorHAnsi"/>
          <w:bCs/>
          <w:sz w:val="22"/>
          <w:szCs w:val="22"/>
        </w:rPr>
        <w:t>.</w:t>
      </w:r>
    </w:p>
    <w:p w14:paraId="1864DA91" w14:textId="77777777" w:rsidR="00DE29B8" w:rsidRPr="00F64AAB" w:rsidRDefault="00DE29B8" w:rsidP="00DE29B8">
      <w:pPr>
        <w:pStyle w:val="BodyTextIndent"/>
        <w:tabs>
          <w:tab w:val="left" w:pos="0"/>
        </w:tabs>
        <w:spacing w:after="0"/>
        <w:ind w:left="0"/>
        <w:jc w:val="both"/>
        <w:rPr>
          <w:rFonts w:asciiTheme="minorHAnsi" w:hAnsiTheme="minorHAnsi"/>
          <w:bCs/>
          <w:sz w:val="22"/>
          <w:szCs w:val="22"/>
        </w:rPr>
      </w:pPr>
    </w:p>
    <w:p w14:paraId="6F46DA16" w14:textId="7593460D" w:rsidR="00DE29B8" w:rsidRPr="00F64AAB" w:rsidRDefault="00DE60F9" w:rsidP="00DE29B8">
      <w:pPr>
        <w:tabs>
          <w:tab w:val="left" w:pos="0"/>
        </w:tabs>
        <w:jc w:val="both"/>
        <w:rPr>
          <w:rFonts w:asciiTheme="minorHAnsi" w:hAnsiTheme="minorHAnsi"/>
          <w:b/>
          <w:bCs/>
          <w:i/>
          <w:sz w:val="22"/>
          <w:szCs w:val="22"/>
        </w:rPr>
      </w:pPr>
      <w:r>
        <w:rPr>
          <w:rFonts w:asciiTheme="minorHAnsi" w:hAnsiTheme="minorHAnsi"/>
          <w:b/>
          <w:bCs/>
          <w:i/>
          <w:sz w:val="22"/>
          <w:szCs w:val="22"/>
        </w:rPr>
        <w:t xml:space="preserve">Service-enriched units and those with supportive services are also a priority </w:t>
      </w:r>
    </w:p>
    <w:p w14:paraId="0C297A3A" w14:textId="20CE6ACD" w:rsidR="00DE29B8" w:rsidRPr="00F64AAB" w:rsidRDefault="00DE29B8" w:rsidP="00E810F9">
      <w:pPr>
        <w:shd w:val="clear" w:color="auto" w:fill="B6DDE8" w:themeFill="accent5" w:themeFillTint="66"/>
        <w:tabs>
          <w:tab w:val="left" w:pos="0"/>
        </w:tabs>
        <w:jc w:val="both"/>
        <w:rPr>
          <w:rFonts w:asciiTheme="minorHAnsi" w:hAnsiTheme="minorHAnsi"/>
          <w:bCs/>
          <w:sz w:val="22"/>
          <w:szCs w:val="22"/>
        </w:rPr>
      </w:pPr>
      <w:r w:rsidRPr="00F64AAB">
        <w:rPr>
          <w:rFonts w:asciiTheme="minorHAnsi" w:hAnsiTheme="minorHAnsi"/>
          <w:bCs/>
          <w:sz w:val="22"/>
          <w:szCs w:val="22"/>
        </w:rPr>
        <w:t>Handicapped accessibility and supportive services</w:t>
      </w:r>
      <w:r w:rsidR="00712F41">
        <w:rPr>
          <w:rFonts w:asciiTheme="minorHAnsi" w:hAnsiTheme="minorHAnsi"/>
          <w:bCs/>
          <w:sz w:val="22"/>
          <w:szCs w:val="22"/>
        </w:rPr>
        <w:t xml:space="preserve"> </w:t>
      </w:r>
      <w:r w:rsidRPr="00F64AAB">
        <w:rPr>
          <w:rFonts w:asciiTheme="minorHAnsi" w:hAnsiTheme="minorHAnsi"/>
          <w:bCs/>
          <w:sz w:val="22"/>
          <w:szCs w:val="22"/>
        </w:rPr>
        <w:t xml:space="preserve">such as those offered by the </w:t>
      </w:r>
      <w:r w:rsidR="00712F41">
        <w:rPr>
          <w:rFonts w:asciiTheme="minorHAnsi" w:hAnsiTheme="minorHAnsi"/>
          <w:bCs/>
          <w:sz w:val="22"/>
          <w:szCs w:val="22"/>
        </w:rPr>
        <w:t xml:space="preserve">Small Repair Grant Program, </w:t>
      </w:r>
      <w:r w:rsidRPr="00F64AAB">
        <w:rPr>
          <w:rFonts w:asciiTheme="minorHAnsi" w:hAnsiTheme="minorHAnsi"/>
          <w:bCs/>
          <w:sz w:val="22"/>
          <w:szCs w:val="22"/>
        </w:rPr>
        <w:t>Council on Agin</w:t>
      </w:r>
      <w:r w:rsidR="00712F41">
        <w:rPr>
          <w:rFonts w:asciiTheme="minorHAnsi" w:hAnsiTheme="minorHAnsi"/>
          <w:bCs/>
          <w:sz w:val="22"/>
          <w:szCs w:val="22"/>
        </w:rPr>
        <w:t>g’s Safety at Home Program</w:t>
      </w:r>
      <w:r w:rsidR="00367494">
        <w:rPr>
          <w:rFonts w:asciiTheme="minorHAnsi" w:hAnsiTheme="minorHAnsi"/>
          <w:bCs/>
          <w:sz w:val="22"/>
          <w:szCs w:val="22"/>
        </w:rPr>
        <w:t>,</w:t>
      </w:r>
      <w:r w:rsidRPr="00F64AAB">
        <w:rPr>
          <w:rFonts w:asciiTheme="minorHAnsi" w:hAnsiTheme="minorHAnsi"/>
          <w:bCs/>
          <w:sz w:val="22"/>
          <w:szCs w:val="22"/>
        </w:rPr>
        <w:t xml:space="preserve"> through assisted living options as well as transportation and</w:t>
      </w:r>
      <w:r w:rsidR="002F7B4D">
        <w:rPr>
          <w:rFonts w:asciiTheme="minorHAnsi" w:hAnsiTheme="minorHAnsi"/>
          <w:bCs/>
          <w:sz w:val="22"/>
          <w:szCs w:val="22"/>
        </w:rPr>
        <w:t xml:space="preserve"> other</w:t>
      </w:r>
      <w:r w:rsidRPr="00F64AAB">
        <w:rPr>
          <w:rFonts w:asciiTheme="minorHAnsi" w:hAnsiTheme="minorHAnsi"/>
          <w:bCs/>
          <w:sz w:val="22"/>
          <w:szCs w:val="22"/>
        </w:rPr>
        <w:t xml:space="preserve"> home maintenance programs</w:t>
      </w:r>
      <w:r w:rsidR="00712F41">
        <w:rPr>
          <w:rFonts w:asciiTheme="minorHAnsi" w:hAnsiTheme="minorHAnsi"/>
          <w:bCs/>
          <w:sz w:val="22"/>
          <w:szCs w:val="22"/>
        </w:rPr>
        <w:t xml:space="preserve"> should be continued</w:t>
      </w:r>
      <w:r w:rsidR="00367494">
        <w:rPr>
          <w:rFonts w:asciiTheme="minorHAnsi" w:hAnsiTheme="minorHAnsi"/>
          <w:bCs/>
          <w:sz w:val="22"/>
          <w:szCs w:val="22"/>
        </w:rPr>
        <w:t>. A</w:t>
      </w:r>
      <w:r w:rsidR="00712F41">
        <w:rPr>
          <w:rFonts w:asciiTheme="minorHAnsi" w:hAnsiTheme="minorHAnsi"/>
          <w:bCs/>
          <w:sz w:val="22"/>
          <w:szCs w:val="22"/>
        </w:rPr>
        <w:t>ccommodations</w:t>
      </w:r>
      <w:r w:rsidR="00367494">
        <w:rPr>
          <w:rFonts w:asciiTheme="minorHAnsi" w:hAnsiTheme="minorHAnsi"/>
          <w:bCs/>
          <w:sz w:val="22"/>
          <w:szCs w:val="22"/>
        </w:rPr>
        <w:t xml:space="preserve"> for special needs populations should be</w:t>
      </w:r>
      <w:r w:rsidRPr="00F64AAB">
        <w:rPr>
          <w:rFonts w:asciiTheme="minorHAnsi" w:hAnsiTheme="minorHAnsi"/>
          <w:bCs/>
          <w:sz w:val="22"/>
          <w:szCs w:val="22"/>
        </w:rPr>
        <w:t xml:space="preserve"> integrated into new housing production efforts.  </w:t>
      </w:r>
    </w:p>
    <w:p w14:paraId="2E42BCD7" w14:textId="704784DF" w:rsidR="00DE29B8" w:rsidRDefault="00DE29B8" w:rsidP="00DE29B8">
      <w:pPr>
        <w:tabs>
          <w:tab w:val="left" w:pos="0"/>
        </w:tabs>
        <w:jc w:val="both"/>
        <w:rPr>
          <w:rFonts w:asciiTheme="minorHAnsi" w:hAnsiTheme="minorHAnsi"/>
          <w:bCs/>
          <w:sz w:val="22"/>
          <w:szCs w:val="22"/>
        </w:rPr>
      </w:pPr>
    </w:p>
    <w:p w14:paraId="51535FAB" w14:textId="25683FE1" w:rsidR="00DE29B8" w:rsidRDefault="00DE29B8" w:rsidP="00DE29B8">
      <w:pPr>
        <w:pStyle w:val="CommentText"/>
        <w:tabs>
          <w:tab w:val="left" w:pos="0"/>
        </w:tabs>
        <w:spacing w:line="240" w:lineRule="auto"/>
        <w:jc w:val="both"/>
        <w:rPr>
          <w:rFonts w:asciiTheme="minorHAnsi" w:hAnsiTheme="minorHAnsi"/>
          <w:i/>
          <w:iCs/>
          <w:szCs w:val="22"/>
        </w:rPr>
      </w:pPr>
      <w:r w:rsidRPr="00F64AAB">
        <w:rPr>
          <w:rFonts w:asciiTheme="minorHAnsi" w:hAnsiTheme="minorHAnsi"/>
          <w:i/>
          <w:iCs/>
          <w:szCs w:val="22"/>
        </w:rPr>
        <w:t>Indicators of Need:</w:t>
      </w:r>
    </w:p>
    <w:p w14:paraId="69C576DC" w14:textId="55BC22DD" w:rsidR="00367494" w:rsidRDefault="006056C9" w:rsidP="00244466">
      <w:pPr>
        <w:pStyle w:val="ListParagraph"/>
        <w:numPr>
          <w:ilvl w:val="0"/>
          <w:numId w:val="52"/>
        </w:numPr>
        <w:ind w:right="90" w:hanging="360"/>
        <w:jc w:val="both"/>
        <w:rPr>
          <w:rFonts w:ascii="Calibri" w:hAnsi="Calibri"/>
          <w:sz w:val="22"/>
          <w:szCs w:val="22"/>
        </w:rPr>
      </w:pPr>
      <w:r>
        <w:rPr>
          <w:rFonts w:asciiTheme="minorHAnsi" w:hAnsiTheme="minorHAnsi"/>
          <w:i/>
          <w:sz w:val="22"/>
          <w:szCs w:val="22"/>
        </w:rPr>
        <w:t xml:space="preserve">Sizable </w:t>
      </w:r>
      <w:r w:rsidR="00DE29B8" w:rsidRPr="00367494">
        <w:rPr>
          <w:rFonts w:asciiTheme="minorHAnsi" w:hAnsiTheme="minorHAnsi"/>
          <w:i/>
          <w:sz w:val="22"/>
          <w:szCs w:val="22"/>
        </w:rPr>
        <w:t>local population with disabilities</w:t>
      </w:r>
      <w:r w:rsidR="00DE29B8" w:rsidRPr="00367494">
        <w:rPr>
          <w:rFonts w:asciiTheme="minorHAnsi" w:hAnsiTheme="minorHAnsi"/>
          <w:sz w:val="22"/>
          <w:szCs w:val="22"/>
        </w:rPr>
        <w:t xml:space="preserve"> </w:t>
      </w:r>
      <w:r w:rsidR="00367494">
        <w:rPr>
          <w:rFonts w:asciiTheme="minorHAnsi" w:hAnsiTheme="minorHAnsi"/>
          <w:sz w:val="22"/>
          <w:szCs w:val="22"/>
        </w:rPr>
        <w:t>–</w:t>
      </w:r>
      <w:r w:rsidR="00D67E77">
        <w:rPr>
          <w:rFonts w:asciiTheme="minorHAnsi" w:hAnsiTheme="minorHAnsi"/>
          <w:sz w:val="22"/>
          <w:szCs w:val="22"/>
        </w:rPr>
        <w:t xml:space="preserve"> A total of </w:t>
      </w:r>
      <w:r w:rsidR="00D67E77">
        <w:rPr>
          <w:rFonts w:ascii="Calibri" w:hAnsi="Calibri"/>
          <w:sz w:val="22"/>
          <w:szCs w:val="22"/>
        </w:rPr>
        <w:t>2,262</w:t>
      </w:r>
      <w:r w:rsidR="00D67E77" w:rsidRPr="004E50E7">
        <w:rPr>
          <w:rFonts w:ascii="Calibri" w:hAnsi="Calibri"/>
          <w:sz w:val="22"/>
          <w:szCs w:val="22"/>
        </w:rPr>
        <w:t xml:space="preserve"> residents, or </w:t>
      </w:r>
      <w:r w:rsidR="00D67E77">
        <w:rPr>
          <w:rFonts w:ascii="Calibri" w:hAnsi="Calibri"/>
          <w:sz w:val="22"/>
          <w:szCs w:val="22"/>
        </w:rPr>
        <w:t>7.4</w:t>
      </w:r>
      <w:r w:rsidR="00D67E77" w:rsidRPr="004E50E7">
        <w:rPr>
          <w:rFonts w:ascii="Calibri" w:hAnsi="Calibri"/>
          <w:sz w:val="22"/>
          <w:szCs w:val="22"/>
        </w:rPr>
        <w:t xml:space="preserve">% of all </w:t>
      </w:r>
      <w:r w:rsidR="00D67E77">
        <w:rPr>
          <w:rFonts w:ascii="Calibri" w:hAnsi="Calibri"/>
          <w:sz w:val="22"/>
          <w:szCs w:val="22"/>
        </w:rPr>
        <w:t xml:space="preserve">civilian, noninstitutionalized </w:t>
      </w:r>
      <w:r w:rsidR="00D67E77" w:rsidRPr="004E50E7">
        <w:rPr>
          <w:rFonts w:ascii="Calibri" w:hAnsi="Calibri"/>
          <w:sz w:val="22"/>
          <w:szCs w:val="22"/>
        </w:rPr>
        <w:t xml:space="preserve">residents, </w:t>
      </w:r>
      <w:r w:rsidR="00D67E77">
        <w:rPr>
          <w:rFonts w:ascii="Calibri" w:hAnsi="Calibri"/>
          <w:sz w:val="22"/>
          <w:szCs w:val="22"/>
        </w:rPr>
        <w:t xml:space="preserve">identified themselves as having </w:t>
      </w:r>
      <w:r w:rsidR="00D67E77" w:rsidRPr="004E50E7">
        <w:rPr>
          <w:rFonts w:ascii="Calibri" w:hAnsi="Calibri"/>
          <w:sz w:val="22"/>
          <w:szCs w:val="22"/>
        </w:rPr>
        <w:t>a disability</w:t>
      </w:r>
      <w:r w:rsidR="00367494" w:rsidRPr="00367494">
        <w:rPr>
          <w:rFonts w:ascii="Calibri" w:hAnsi="Calibri"/>
          <w:sz w:val="22"/>
          <w:szCs w:val="22"/>
        </w:rPr>
        <w:t>.</w:t>
      </w:r>
      <w:r w:rsidR="00367494" w:rsidRPr="004E50E7">
        <w:rPr>
          <w:rStyle w:val="FootnoteReference"/>
          <w:sz w:val="22"/>
          <w:szCs w:val="22"/>
        </w:rPr>
        <w:footnoteReference w:id="34"/>
      </w:r>
      <w:r w:rsidR="00367494" w:rsidRPr="00367494">
        <w:rPr>
          <w:rFonts w:ascii="Calibri" w:hAnsi="Calibri"/>
          <w:sz w:val="22"/>
          <w:szCs w:val="22"/>
        </w:rPr>
        <w:t xml:space="preserve">  These levels of disability are largely less than county and statewide figures, but still represent </w:t>
      </w:r>
      <w:r>
        <w:rPr>
          <w:rFonts w:ascii="Calibri" w:hAnsi="Calibri"/>
          <w:sz w:val="22"/>
          <w:szCs w:val="22"/>
        </w:rPr>
        <w:t>meaningful</w:t>
      </w:r>
      <w:r w:rsidR="00367494" w:rsidRPr="00367494">
        <w:rPr>
          <w:rFonts w:ascii="Calibri" w:hAnsi="Calibri"/>
          <w:sz w:val="22"/>
          <w:szCs w:val="22"/>
        </w:rPr>
        <w:t xml:space="preserve"> special needs within the Needham community</w:t>
      </w:r>
      <w:r w:rsidR="002F7B4D">
        <w:rPr>
          <w:rFonts w:ascii="Calibri" w:hAnsi="Calibri"/>
          <w:sz w:val="22"/>
          <w:szCs w:val="22"/>
        </w:rPr>
        <w:t>.  They further</w:t>
      </w:r>
      <w:r w:rsidR="00367494" w:rsidRPr="00367494">
        <w:rPr>
          <w:rFonts w:ascii="Calibri" w:hAnsi="Calibri"/>
          <w:sz w:val="22"/>
          <w:szCs w:val="22"/>
        </w:rPr>
        <w:t xml:space="preserve"> suggest that the Town make a concerted effort to produce housing units that are handicapped accessible and/or have supportive services</w:t>
      </w:r>
      <w:r w:rsidR="00C5773D">
        <w:rPr>
          <w:rFonts w:ascii="Calibri" w:hAnsi="Calibri"/>
          <w:sz w:val="22"/>
          <w:szCs w:val="22"/>
        </w:rPr>
        <w:t xml:space="preserve"> as well promote home modifications in support of those with disabilities</w:t>
      </w:r>
      <w:r w:rsidR="00367494" w:rsidRPr="00367494">
        <w:rPr>
          <w:rFonts w:ascii="Calibri" w:hAnsi="Calibri"/>
          <w:sz w:val="22"/>
          <w:szCs w:val="22"/>
        </w:rPr>
        <w:t>.</w:t>
      </w:r>
      <w:r>
        <w:rPr>
          <w:rFonts w:ascii="Calibri" w:hAnsi="Calibri"/>
          <w:sz w:val="22"/>
          <w:szCs w:val="22"/>
        </w:rPr>
        <w:t xml:space="preserve">  </w:t>
      </w:r>
    </w:p>
    <w:p w14:paraId="2B68C158" w14:textId="77777777" w:rsidR="006056C9" w:rsidRDefault="006056C9" w:rsidP="006056C9">
      <w:pPr>
        <w:pStyle w:val="ListParagraph"/>
        <w:ind w:right="90"/>
        <w:jc w:val="both"/>
        <w:rPr>
          <w:rFonts w:ascii="Calibri" w:hAnsi="Calibri"/>
          <w:sz w:val="22"/>
          <w:szCs w:val="22"/>
        </w:rPr>
      </w:pPr>
    </w:p>
    <w:p w14:paraId="79B9ECC7" w14:textId="64D4FFB9" w:rsidR="006056C9" w:rsidRPr="00367494" w:rsidRDefault="006056C9" w:rsidP="00244466">
      <w:pPr>
        <w:pStyle w:val="ListParagraph"/>
        <w:numPr>
          <w:ilvl w:val="0"/>
          <w:numId w:val="52"/>
        </w:numPr>
        <w:ind w:right="90" w:hanging="360"/>
        <w:jc w:val="both"/>
        <w:rPr>
          <w:rFonts w:ascii="Calibri" w:hAnsi="Calibri"/>
          <w:sz w:val="22"/>
          <w:szCs w:val="22"/>
        </w:rPr>
      </w:pPr>
      <w:r>
        <w:rPr>
          <w:rFonts w:asciiTheme="minorHAnsi" w:hAnsiTheme="minorHAnsi"/>
          <w:i/>
          <w:sz w:val="22"/>
          <w:szCs w:val="22"/>
        </w:rPr>
        <w:t xml:space="preserve">Few options for younger disabled residents – </w:t>
      </w:r>
      <w:r>
        <w:rPr>
          <w:rFonts w:asciiTheme="minorHAnsi" w:hAnsiTheme="minorHAnsi"/>
          <w:iCs/>
          <w:sz w:val="22"/>
          <w:szCs w:val="22"/>
        </w:rPr>
        <w:t>The SHI includes</w:t>
      </w:r>
      <w:r w:rsidRPr="006056C9">
        <w:rPr>
          <w:rFonts w:ascii="Calibri" w:hAnsi="Calibri"/>
          <w:sz w:val="22"/>
          <w:szCs w:val="22"/>
        </w:rPr>
        <w:t xml:space="preserve"> </w:t>
      </w:r>
      <w:r w:rsidR="00686300">
        <w:rPr>
          <w:rFonts w:ascii="Calibri" w:hAnsi="Calibri"/>
          <w:sz w:val="22"/>
          <w:szCs w:val="22"/>
        </w:rPr>
        <w:t>six</w:t>
      </w:r>
      <w:r w:rsidRPr="0057727F">
        <w:rPr>
          <w:rFonts w:ascii="Calibri" w:hAnsi="Calibri"/>
          <w:sz w:val="22"/>
          <w:szCs w:val="22"/>
        </w:rPr>
        <w:t xml:space="preserve"> special needs housing facilities that altogether total 26 affordable housing units as well as </w:t>
      </w:r>
      <w:r w:rsidR="000577DB">
        <w:rPr>
          <w:rFonts w:ascii="Calibri" w:hAnsi="Calibri"/>
          <w:sz w:val="22"/>
          <w:szCs w:val="22"/>
        </w:rPr>
        <w:t xml:space="preserve">another </w:t>
      </w:r>
      <w:r w:rsidRPr="0057727F">
        <w:rPr>
          <w:rFonts w:ascii="Calibri" w:hAnsi="Calibri"/>
          <w:sz w:val="22"/>
          <w:szCs w:val="22"/>
        </w:rPr>
        <w:t>8</w:t>
      </w:r>
      <w:r>
        <w:rPr>
          <w:rFonts w:ascii="Calibri" w:hAnsi="Calibri"/>
          <w:sz w:val="22"/>
          <w:szCs w:val="22"/>
        </w:rPr>
        <w:t>4</w:t>
      </w:r>
      <w:r w:rsidRPr="0057727F">
        <w:rPr>
          <w:rFonts w:ascii="Calibri" w:hAnsi="Calibri"/>
          <w:sz w:val="22"/>
          <w:szCs w:val="22"/>
        </w:rPr>
        <w:t xml:space="preserve"> units in group homes for state Department of Developmental Services</w:t>
      </w:r>
      <w:r w:rsidRPr="0033731E">
        <w:rPr>
          <w:rFonts w:ascii="Calibri" w:hAnsi="Calibri"/>
          <w:sz w:val="22"/>
          <w:szCs w:val="22"/>
        </w:rPr>
        <w:t xml:space="preserve"> (DDS) clients scattered throughout town. </w:t>
      </w:r>
      <w:r w:rsidR="00055330">
        <w:rPr>
          <w:rFonts w:ascii="Calibri" w:hAnsi="Calibri"/>
          <w:sz w:val="22"/>
          <w:szCs w:val="22"/>
        </w:rPr>
        <w:t xml:space="preserve"> </w:t>
      </w:r>
      <w:r w:rsidR="00686300">
        <w:rPr>
          <w:rFonts w:ascii="Calibri" w:hAnsi="Calibri"/>
          <w:sz w:val="22"/>
          <w:szCs w:val="22"/>
        </w:rPr>
        <w:t xml:space="preserve">As </w:t>
      </w:r>
      <w:r w:rsidR="00686300">
        <w:rPr>
          <w:rFonts w:ascii="Calibri" w:hAnsi="Calibri"/>
          <w:sz w:val="22"/>
          <w:szCs w:val="22"/>
        </w:rPr>
        <w:lastRenderedPageBreak/>
        <w:t>noted in the January 27, 2022 Public Education and Listening Session, these facilities are insufficient to address local needs including those of young disabled adults who were raised in Needham but have few options for living independently with necessary supportive services in the community.</w:t>
      </w:r>
      <w:r>
        <w:rPr>
          <w:rFonts w:asciiTheme="minorHAnsi" w:hAnsiTheme="minorHAnsi"/>
          <w:iCs/>
          <w:sz w:val="22"/>
          <w:szCs w:val="22"/>
        </w:rPr>
        <w:t xml:space="preserve"> </w:t>
      </w:r>
    </w:p>
    <w:p w14:paraId="76867D5D" w14:textId="051EA00F" w:rsidR="00DE29B8" w:rsidRDefault="00DE29B8" w:rsidP="00DE29B8">
      <w:pPr>
        <w:pStyle w:val="ListParagraph"/>
        <w:tabs>
          <w:tab w:val="left" w:pos="0"/>
        </w:tabs>
        <w:contextualSpacing w:val="0"/>
        <w:jc w:val="both"/>
        <w:rPr>
          <w:rFonts w:asciiTheme="minorHAnsi" w:hAnsiTheme="minorHAnsi"/>
          <w:sz w:val="22"/>
          <w:szCs w:val="22"/>
        </w:rPr>
      </w:pPr>
    </w:p>
    <w:p w14:paraId="08862911" w14:textId="41770FA0" w:rsidR="00161856" w:rsidRDefault="004F4DDD" w:rsidP="00161856">
      <w:pPr>
        <w:pStyle w:val="ListParagraph"/>
        <w:tabs>
          <w:tab w:val="left" w:pos="0"/>
        </w:tabs>
        <w:contextualSpacing w:val="0"/>
        <w:jc w:val="both"/>
        <w:rPr>
          <w:rFonts w:asciiTheme="minorHAnsi" w:hAnsiTheme="minorHAnsi"/>
          <w:sz w:val="22"/>
          <w:szCs w:val="22"/>
        </w:rPr>
      </w:pPr>
      <w:r>
        <w:rPr>
          <w:noProof/>
        </w:rPr>
        <mc:AlternateContent>
          <mc:Choice Requires="wps">
            <w:drawing>
              <wp:anchor distT="45720" distB="45720" distL="114300" distR="114300" simplePos="0" relativeHeight="251661824" behindDoc="0" locked="0" layoutInCell="1" allowOverlap="1" wp14:anchorId="39F3BA3D" wp14:editId="34EB49B2">
                <wp:simplePos x="0" y="0"/>
                <wp:positionH relativeFrom="column">
                  <wp:posOffset>426720</wp:posOffset>
                </wp:positionH>
                <wp:positionV relativeFrom="paragraph">
                  <wp:posOffset>1379855</wp:posOffset>
                </wp:positionV>
                <wp:extent cx="2697480" cy="2171700"/>
                <wp:effectExtent l="0" t="0" r="762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71700"/>
                        </a:xfrm>
                        <a:prstGeom prst="rect">
                          <a:avLst/>
                        </a:prstGeom>
                        <a:solidFill>
                          <a:srgbClr val="FFFFFF"/>
                        </a:solidFill>
                        <a:ln w="9525">
                          <a:solidFill>
                            <a:srgbClr val="000000"/>
                          </a:solidFill>
                          <a:miter lim="800000"/>
                          <a:headEnd/>
                          <a:tailEnd/>
                        </a:ln>
                      </wps:spPr>
                      <wps:txbx>
                        <w:txbxContent>
                          <w:p w14:paraId="1C4F238F" w14:textId="5701A233" w:rsidR="00E840C7" w:rsidRPr="00C8746D" w:rsidRDefault="00E840C7" w:rsidP="00C8746D">
                            <w:pPr>
                              <w:shd w:val="clear" w:color="auto" w:fill="B6DDE8" w:themeFill="accent5" w:themeFillTint="66"/>
                              <w:jc w:val="both"/>
                              <w:rPr>
                                <w:rFonts w:asciiTheme="minorHAnsi" w:hAnsiTheme="minorHAnsi" w:cstheme="minorHAnsi"/>
                              </w:rPr>
                            </w:pPr>
                            <w:r w:rsidRPr="00C8746D">
                              <w:rPr>
                                <w:rFonts w:asciiTheme="minorHAnsi" w:hAnsiTheme="minorHAnsi" w:cstheme="minorHAnsi"/>
                              </w:rPr>
                              <w:t>A SEPAC parent stated, “They say it takes a village to raise a child, and in many cases, Needham has been that village – and for our kids the need for that village extends their whole lives.” Another added, “So many of our kids have grown up supported by this town that sees itself as an inclusive community, but when it’s time for them to move out of their pare</w:t>
                            </w:r>
                            <w:r w:rsidR="00C8746D">
                              <w:rPr>
                                <w:rFonts w:asciiTheme="minorHAnsi" w:hAnsiTheme="minorHAnsi" w:cstheme="minorHAnsi"/>
                              </w:rPr>
                              <w:t>n</w:t>
                            </w:r>
                            <w:r w:rsidRPr="00C8746D">
                              <w:rPr>
                                <w:rFonts w:asciiTheme="minorHAnsi" w:hAnsiTheme="minorHAnsi" w:cstheme="minorHAnsi"/>
                              </w:rPr>
                              <w:t>t</w:t>
                            </w:r>
                            <w:r w:rsidR="00C8746D">
                              <w:rPr>
                                <w:rFonts w:asciiTheme="minorHAnsi" w:hAnsiTheme="minorHAnsi" w:cstheme="minorHAnsi"/>
                              </w:rPr>
                              <w:t>s</w:t>
                            </w:r>
                            <w:r w:rsidRPr="00C8746D">
                              <w:rPr>
                                <w:rFonts w:asciiTheme="minorHAnsi" w:hAnsiTheme="minorHAnsi" w:cstheme="minorHAnsi"/>
                              </w:rPr>
                              <w:t>’ houses, there needs to be somewh</w:t>
                            </w:r>
                            <w:r w:rsidR="00C8746D">
                              <w:rPr>
                                <w:rFonts w:asciiTheme="minorHAnsi" w:hAnsiTheme="minorHAnsi" w:cstheme="minorHAnsi"/>
                              </w:rPr>
                              <w:t>ere</w:t>
                            </w:r>
                            <w:r w:rsidRPr="00C8746D">
                              <w:rPr>
                                <w:rFonts w:asciiTheme="minorHAnsi" w:hAnsiTheme="minorHAnsi" w:cstheme="minorHAnsi"/>
                              </w:rPr>
                              <w:t xml:space="preserve"> in town f</w:t>
                            </w:r>
                            <w:r w:rsidR="00C8746D">
                              <w:rPr>
                                <w:rFonts w:asciiTheme="minorHAnsi" w:hAnsiTheme="minorHAnsi" w:cstheme="minorHAnsi"/>
                              </w:rPr>
                              <w:t>o</w:t>
                            </w:r>
                            <w:r w:rsidRPr="00C8746D">
                              <w:rPr>
                                <w:rFonts w:asciiTheme="minorHAnsi" w:hAnsiTheme="minorHAnsi" w:cstheme="minorHAnsi"/>
                              </w:rPr>
                              <w:t>r them to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BA3D" id="Text Box 5" o:spid="_x0000_s1027" type="#_x0000_t202" style="position:absolute;left:0;text-align:left;margin-left:33.6pt;margin-top:108.65pt;width:212.4pt;height:17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">
                <v:textbox>
                  <w:txbxContent>
                    <w:p w14:paraId="1C4F238F" w14:textId="5701A233" w:rsidR="00E840C7" w:rsidRPr="00C8746D" w:rsidRDefault="00E840C7" w:rsidP="00C8746D">
                      <w:pPr>
                        <w:shd w:val="clear" w:color="auto" w:fill="B6DDE8" w:themeFill="accent5" w:themeFillTint="66"/>
                        <w:jc w:val="both"/>
                        <w:rPr>
                          <w:rFonts w:asciiTheme="minorHAnsi" w:hAnsiTheme="minorHAnsi" w:cstheme="minorHAnsi"/>
                        </w:rPr>
                      </w:pPr>
                      <w:r w:rsidRPr="00C8746D">
                        <w:rPr>
                          <w:rFonts w:asciiTheme="minorHAnsi" w:hAnsiTheme="minorHAnsi" w:cstheme="minorHAnsi"/>
                        </w:rPr>
                        <w:t>A SEPAC parent stated, “They say it takes a village to raise a child, and in many cases, Needham has been that village – and for our kids the need for that village extends their whole lives.” Another added, “So many of our kids have grown up supported by this town that sees itself as an inclusive community, but when it’s time for them to move out of their pare</w:t>
                      </w:r>
                      <w:r w:rsidR="00C8746D">
                        <w:rPr>
                          <w:rFonts w:asciiTheme="minorHAnsi" w:hAnsiTheme="minorHAnsi" w:cstheme="minorHAnsi"/>
                        </w:rPr>
                        <w:t>n</w:t>
                      </w:r>
                      <w:r w:rsidRPr="00C8746D">
                        <w:rPr>
                          <w:rFonts w:asciiTheme="minorHAnsi" w:hAnsiTheme="minorHAnsi" w:cstheme="minorHAnsi"/>
                        </w:rPr>
                        <w:t>t</w:t>
                      </w:r>
                      <w:r w:rsidR="00C8746D">
                        <w:rPr>
                          <w:rFonts w:asciiTheme="minorHAnsi" w:hAnsiTheme="minorHAnsi" w:cstheme="minorHAnsi"/>
                        </w:rPr>
                        <w:t>s</w:t>
                      </w:r>
                      <w:r w:rsidRPr="00C8746D">
                        <w:rPr>
                          <w:rFonts w:asciiTheme="minorHAnsi" w:hAnsiTheme="minorHAnsi" w:cstheme="minorHAnsi"/>
                        </w:rPr>
                        <w:t>’ houses, there needs to be somewh</w:t>
                      </w:r>
                      <w:r w:rsidR="00C8746D">
                        <w:rPr>
                          <w:rFonts w:asciiTheme="minorHAnsi" w:hAnsiTheme="minorHAnsi" w:cstheme="minorHAnsi"/>
                        </w:rPr>
                        <w:t>ere</w:t>
                      </w:r>
                      <w:r w:rsidRPr="00C8746D">
                        <w:rPr>
                          <w:rFonts w:asciiTheme="minorHAnsi" w:hAnsiTheme="minorHAnsi" w:cstheme="minorHAnsi"/>
                        </w:rPr>
                        <w:t xml:space="preserve"> in town f</w:t>
                      </w:r>
                      <w:r w:rsidR="00C8746D">
                        <w:rPr>
                          <w:rFonts w:asciiTheme="minorHAnsi" w:hAnsiTheme="minorHAnsi" w:cstheme="minorHAnsi"/>
                        </w:rPr>
                        <w:t>o</w:t>
                      </w:r>
                      <w:r w:rsidRPr="00C8746D">
                        <w:rPr>
                          <w:rFonts w:asciiTheme="minorHAnsi" w:hAnsiTheme="minorHAnsi" w:cstheme="minorHAnsi"/>
                        </w:rPr>
                        <w:t>r them to live.”</w:t>
                      </w:r>
                    </w:p>
                  </w:txbxContent>
                </v:textbox>
                <w10:wrap type="square"/>
              </v:shape>
            </w:pict>
          </mc:Fallback>
        </mc:AlternateContent>
      </w:r>
      <w:r w:rsidR="00BF392C">
        <w:rPr>
          <w:rFonts w:asciiTheme="minorHAnsi" w:hAnsiTheme="minorHAnsi"/>
          <w:sz w:val="22"/>
          <w:szCs w:val="22"/>
        </w:rPr>
        <w:t xml:space="preserve">The Needham Special Education Parent Advisory Council (SEPAC) developed a short survey </w:t>
      </w:r>
      <w:r w:rsidR="00AE74EC">
        <w:rPr>
          <w:rFonts w:asciiTheme="minorHAnsi" w:hAnsiTheme="minorHAnsi"/>
          <w:sz w:val="22"/>
          <w:szCs w:val="22"/>
        </w:rPr>
        <w:t xml:space="preserve">for </w:t>
      </w:r>
      <w:r w:rsidR="005C3B80">
        <w:rPr>
          <w:rFonts w:asciiTheme="minorHAnsi" w:hAnsiTheme="minorHAnsi"/>
          <w:sz w:val="22"/>
          <w:szCs w:val="22"/>
        </w:rPr>
        <w:t xml:space="preserve">their </w:t>
      </w:r>
      <w:r w:rsidR="00BF392C">
        <w:rPr>
          <w:rFonts w:asciiTheme="minorHAnsi" w:hAnsiTheme="minorHAnsi"/>
          <w:sz w:val="22"/>
          <w:szCs w:val="22"/>
        </w:rPr>
        <w:t xml:space="preserve">members to obtain input on the affordable/supported housing needs </w:t>
      </w:r>
      <w:r w:rsidR="005C3B80">
        <w:rPr>
          <w:rFonts w:asciiTheme="minorHAnsi" w:hAnsiTheme="minorHAnsi"/>
          <w:sz w:val="22"/>
          <w:szCs w:val="22"/>
        </w:rPr>
        <w:t>of</w:t>
      </w:r>
      <w:r w:rsidR="00BF392C">
        <w:rPr>
          <w:rFonts w:asciiTheme="minorHAnsi" w:hAnsiTheme="minorHAnsi"/>
          <w:sz w:val="22"/>
          <w:szCs w:val="22"/>
        </w:rPr>
        <w:t xml:space="preserve"> Needham</w:t>
      </w:r>
      <w:r w:rsidR="000577DB">
        <w:rPr>
          <w:rFonts w:asciiTheme="minorHAnsi" w:hAnsiTheme="minorHAnsi"/>
          <w:sz w:val="22"/>
          <w:szCs w:val="22"/>
        </w:rPr>
        <w:t>’s</w:t>
      </w:r>
      <w:r w:rsidR="00BF392C">
        <w:rPr>
          <w:rFonts w:asciiTheme="minorHAnsi" w:hAnsiTheme="minorHAnsi"/>
          <w:sz w:val="22"/>
          <w:szCs w:val="22"/>
        </w:rPr>
        <w:t xml:space="preserve"> children </w:t>
      </w:r>
      <w:r w:rsidR="000577DB">
        <w:rPr>
          <w:rFonts w:asciiTheme="minorHAnsi" w:hAnsiTheme="minorHAnsi"/>
          <w:sz w:val="22"/>
          <w:szCs w:val="22"/>
        </w:rPr>
        <w:t>with</w:t>
      </w:r>
      <w:r w:rsidR="005C3B80">
        <w:rPr>
          <w:rFonts w:asciiTheme="minorHAnsi" w:hAnsiTheme="minorHAnsi"/>
          <w:sz w:val="22"/>
          <w:szCs w:val="22"/>
        </w:rPr>
        <w:t xml:space="preserve"> disabilities </w:t>
      </w:r>
      <w:r w:rsidR="00BF392C">
        <w:rPr>
          <w:rFonts w:asciiTheme="minorHAnsi" w:hAnsiTheme="minorHAnsi"/>
          <w:sz w:val="22"/>
          <w:szCs w:val="22"/>
        </w:rPr>
        <w:t>when they reach adulthood.</w:t>
      </w:r>
      <w:r w:rsidR="00BF392C">
        <w:rPr>
          <w:rStyle w:val="FootnoteReference"/>
          <w:rFonts w:asciiTheme="minorHAnsi" w:hAnsiTheme="minorHAnsi"/>
          <w:sz w:val="22"/>
          <w:szCs w:val="22"/>
        </w:rPr>
        <w:footnoteReference w:id="35"/>
      </w:r>
      <w:r w:rsidR="00BF392C">
        <w:rPr>
          <w:rFonts w:asciiTheme="minorHAnsi" w:hAnsiTheme="minorHAnsi"/>
          <w:sz w:val="22"/>
          <w:szCs w:val="22"/>
        </w:rPr>
        <w:t xml:space="preserve"> </w:t>
      </w:r>
      <w:r w:rsidR="00161856">
        <w:rPr>
          <w:rFonts w:asciiTheme="minorHAnsi" w:hAnsiTheme="minorHAnsi"/>
          <w:sz w:val="22"/>
          <w:szCs w:val="22"/>
        </w:rPr>
        <w:t xml:space="preserve">SEPAC emphasized that many of these children fall into </w:t>
      </w:r>
      <w:r w:rsidR="000577DB">
        <w:rPr>
          <w:rFonts w:asciiTheme="minorHAnsi" w:hAnsiTheme="minorHAnsi"/>
          <w:sz w:val="22"/>
          <w:szCs w:val="22"/>
        </w:rPr>
        <w:t>a</w:t>
      </w:r>
      <w:r w:rsidR="00161856">
        <w:rPr>
          <w:rFonts w:asciiTheme="minorHAnsi" w:hAnsiTheme="minorHAnsi"/>
          <w:sz w:val="22"/>
          <w:szCs w:val="22"/>
        </w:rPr>
        <w:t xml:space="preserve"> grey </w:t>
      </w:r>
      <w:r w:rsidR="000577DB">
        <w:rPr>
          <w:rFonts w:asciiTheme="minorHAnsi" w:hAnsiTheme="minorHAnsi"/>
          <w:sz w:val="22"/>
          <w:szCs w:val="22"/>
        </w:rPr>
        <w:t>area</w:t>
      </w:r>
      <w:r w:rsidR="00161856">
        <w:rPr>
          <w:rFonts w:asciiTheme="minorHAnsi" w:hAnsiTheme="minorHAnsi"/>
          <w:sz w:val="22"/>
          <w:szCs w:val="22"/>
        </w:rPr>
        <w:t xml:space="preserve"> of being unlikely to qualify for and/or be a good fit for traditional group homes but unlikely be able to live and support themselves independently.  Needs vary but the largest subgroup</w:t>
      </w:r>
      <w:r w:rsidR="000577DB">
        <w:rPr>
          <w:rFonts w:asciiTheme="minorHAnsi" w:hAnsiTheme="minorHAnsi"/>
          <w:sz w:val="22"/>
          <w:szCs w:val="22"/>
        </w:rPr>
        <w:t>s</w:t>
      </w:r>
      <w:r w:rsidR="00161856">
        <w:rPr>
          <w:rFonts w:asciiTheme="minorHAnsi" w:hAnsiTheme="minorHAnsi"/>
          <w:sz w:val="22"/>
          <w:szCs w:val="22"/>
        </w:rPr>
        <w:t xml:space="preserve"> appear to be those with Autism (ASD), Down Syndrome and other developments disabilities.  There is also a subgroup with more complex medical needs who would require acc</w:t>
      </w:r>
      <w:r w:rsidR="00E840C7">
        <w:rPr>
          <w:rFonts w:asciiTheme="minorHAnsi" w:hAnsiTheme="minorHAnsi"/>
          <w:sz w:val="22"/>
          <w:szCs w:val="22"/>
        </w:rPr>
        <w:t>e</w:t>
      </w:r>
      <w:r w:rsidR="00161856">
        <w:rPr>
          <w:rFonts w:asciiTheme="minorHAnsi" w:hAnsiTheme="minorHAnsi"/>
          <w:sz w:val="22"/>
          <w:szCs w:val="22"/>
        </w:rPr>
        <w:t>ssibility accommodations and 24/7 trained medical staff.</w:t>
      </w:r>
    </w:p>
    <w:p w14:paraId="23D9FF68" w14:textId="78EE116C" w:rsidR="00161856" w:rsidRDefault="00161856" w:rsidP="00DE29B8">
      <w:pPr>
        <w:pStyle w:val="ListParagraph"/>
        <w:tabs>
          <w:tab w:val="left" w:pos="0"/>
        </w:tabs>
        <w:contextualSpacing w:val="0"/>
        <w:jc w:val="both"/>
        <w:rPr>
          <w:rFonts w:asciiTheme="minorHAnsi" w:hAnsiTheme="minorHAnsi"/>
          <w:sz w:val="22"/>
          <w:szCs w:val="22"/>
        </w:rPr>
      </w:pPr>
    </w:p>
    <w:p w14:paraId="02EF1FAB" w14:textId="3AAB3778" w:rsidR="00BF392C" w:rsidRDefault="00B60720" w:rsidP="00DE29B8">
      <w:pPr>
        <w:pStyle w:val="ListParagraph"/>
        <w:tabs>
          <w:tab w:val="left" w:pos="0"/>
        </w:tabs>
        <w:contextualSpacing w:val="0"/>
        <w:jc w:val="both"/>
        <w:rPr>
          <w:rFonts w:asciiTheme="minorHAnsi" w:hAnsiTheme="minorHAnsi"/>
          <w:sz w:val="22"/>
          <w:szCs w:val="22"/>
        </w:rPr>
      </w:pPr>
      <w:r>
        <w:rPr>
          <w:rFonts w:asciiTheme="minorHAnsi" w:hAnsiTheme="minorHAnsi"/>
          <w:sz w:val="22"/>
          <w:szCs w:val="22"/>
        </w:rPr>
        <w:t>SEPAC estimates that, on average, approximately three to five current Needham residents will</w:t>
      </w:r>
      <w:r w:rsidR="005C3B80">
        <w:rPr>
          <w:rFonts w:asciiTheme="minorHAnsi" w:hAnsiTheme="minorHAnsi"/>
          <w:sz w:val="22"/>
          <w:szCs w:val="22"/>
        </w:rPr>
        <w:t xml:space="preserve"> annually</w:t>
      </w:r>
      <w:r>
        <w:rPr>
          <w:rFonts w:asciiTheme="minorHAnsi" w:hAnsiTheme="minorHAnsi"/>
          <w:sz w:val="22"/>
          <w:szCs w:val="22"/>
        </w:rPr>
        <w:t xml:space="preserve"> need some sort of adult housing support when they turn 22. It is also important to consider that there is pent-up demand from individuals who have already turned age 22.</w:t>
      </w:r>
      <w:r w:rsidR="005C3B80">
        <w:rPr>
          <w:rFonts w:asciiTheme="minorHAnsi" w:hAnsiTheme="minorHAnsi"/>
          <w:sz w:val="22"/>
          <w:szCs w:val="22"/>
        </w:rPr>
        <w:t xml:space="preserve">  </w:t>
      </w:r>
      <w:r w:rsidR="000577DB">
        <w:rPr>
          <w:rFonts w:asciiTheme="minorHAnsi" w:hAnsiTheme="minorHAnsi"/>
          <w:sz w:val="22"/>
          <w:szCs w:val="22"/>
        </w:rPr>
        <w:t>SEPAC</w:t>
      </w:r>
      <w:r w:rsidR="005C3B80">
        <w:rPr>
          <w:rFonts w:asciiTheme="minorHAnsi" w:hAnsiTheme="minorHAnsi"/>
          <w:sz w:val="22"/>
          <w:szCs w:val="22"/>
        </w:rPr>
        <w:t xml:space="preserve"> further indicated that</w:t>
      </w:r>
      <w:r w:rsidR="000577DB">
        <w:rPr>
          <w:rFonts w:asciiTheme="minorHAnsi" w:hAnsiTheme="minorHAnsi"/>
          <w:sz w:val="22"/>
          <w:szCs w:val="22"/>
        </w:rPr>
        <w:t>,</w:t>
      </w:r>
      <w:r w:rsidR="005C3B80">
        <w:rPr>
          <w:rFonts w:asciiTheme="minorHAnsi" w:hAnsiTheme="minorHAnsi"/>
          <w:sz w:val="22"/>
          <w:szCs w:val="22"/>
        </w:rPr>
        <w:t xml:space="preserve"> through their sample, it is expected that about half would be looking to move into adult housing upon turning age 22, the remaining half in their mid to late 20’s/early 30’s. </w:t>
      </w:r>
    </w:p>
    <w:p w14:paraId="00701D59" w14:textId="77777777" w:rsidR="00B60720" w:rsidRPr="00FE05B4" w:rsidRDefault="00B60720" w:rsidP="00DE29B8">
      <w:pPr>
        <w:pStyle w:val="ListParagraph"/>
        <w:tabs>
          <w:tab w:val="left" w:pos="0"/>
        </w:tabs>
        <w:contextualSpacing w:val="0"/>
        <w:jc w:val="both"/>
        <w:rPr>
          <w:rFonts w:asciiTheme="minorHAnsi" w:hAnsiTheme="minorHAnsi"/>
          <w:sz w:val="22"/>
          <w:szCs w:val="22"/>
        </w:rPr>
      </w:pPr>
    </w:p>
    <w:p w14:paraId="4BE900A5" w14:textId="69E3E196" w:rsidR="00C5773D" w:rsidRDefault="00DE29B8" w:rsidP="00244466">
      <w:pPr>
        <w:pStyle w:val="ListParagraph"/>
        <w:numPr>
          <w:ilvl w:val="0"/>
          <w:numId w:val="53"/>
        </w:numPr>
        <w:tabs>
          <w:tab w:val="left" w:pos="0"/>
        </w:tabs>
        <w:ind w:hanging="360"/>
        <w:contextualSpacing w:val="0"/>
        <w:jc w:val="both"/>
        <w:rPr>
          <w:rFonts w:asciiTheme="minorHAnsi" w:hAnsiTheme="minorHAnsi"/>
          <w:sz w:val="22"/>
          <w:szCs w:val="22"/>
        </w:rPr>
      </w:pPr>
      <w:r w:rsidRPr="00C5773D">
        <w:rPr>
          <w:rFonts w:asciiTheme="minorHAnsi" w:hAnsiTheme="minorHAnsi"/>
          <w:i/>
          <w:sz w:val="22"/>
          <w:szCs w:val="22"/>
        </w:rPr>
        <w:t xml:space="preserve">Very limited inventory of barrier-free units – </w:t>
      </w:r>
      <w:r w:rsidR="00842F21">
        <w:rPr>
          <w:rFonts w:asciiTheme="minorHAnsi" w:hAnsiTheme="minorHAnsi"/>
          <w:iCs/>
          <w:sz w:val="22"/>
          <w:szCs w:val="22"/>
        </w:rPr>
        <w:t>Only the</w:t>
      </w:r>
      <w:r w:rsidR="006056C9">
        <w:rPr>
          <w:rFonts w:asciiTheme="minorHAnsi" w:hAnsiTheme="minorHAnsi"/>
          <w:iCs/>
          <w:sz w:val="22"/>
          <w:szCs w:val="22"/>
        </w:rPr>
        <w:t xml:space="preserve"> NHA’s</w:t>
      </w:r>
      <w:r w:rsidR="00842F21">
        <w:rPr>
          <w:rFonts w:asciiTheme="minorHAnsi" w:hAnsiTheme="minorHAnsi"/>
          <w:iCs/>
          <w:sz w:val="22"/>
          <w:szCs w:val="22"/>
        </w:rPr>
        <w:t xml:space="preserve"> federal project, Seabed’s Way</w:t>
      </w:r>
      <w:r w:rsidR="006056C9">
        <w:rPr>
          <w:rFonts w:asciiTheme="minorHAnsi" w:hAnsiTheme="minorHAnsi"/>
          <w:iCs/>
          <w:sz w:val="22"/>
          <w:szCs w:val="22"/>
        </w:rPr>
        <w:t>,</w:t>
      </w:r>
      <w:r w:rsidR="00842F21">
        <w:rPr>
          <w:rFonts w:asciiTheme="minorHAnsi" w:hAnsiTheme="minorHAnsi"/>
          <w:iCs/>
          <w:sz w:val="22"/>
          <w:szCs w:val="22"/>
        </w:rPr>
        <w:t xml:space="preserve"> has </w:t>
      </w:r>
      <w:r w:rsidR="009A54F7">
        <w:rPr>
          <w:rFonts w:asciiTheme="minorHAnsi" w:hAnsiTheme="minorHAnsi"/>
          <w:iCs/>
          <w:sz w:val="22"/>
          <w:szCs w:val="22"/>
        </w:rPr>
        <w:t xml:space="preserve">subsidized </w:t>
      </w:r>
      <w:r w:rsidRPr="00C5773D">
        <w:rPr>
          <w:rFonts w:asciiTheme="minorHAnsi" w:hAnsiTheme="minorHAnsi"/>
          <w:sz w:val="22"/>
          <w:szCs w:val="22"/>
        </w:rPr>
        <w:t>handicapped-accessible units</w:t>
      </w:r>
      <w:r w:rsidR="00842F21">
        <w:rPr>
          <w:rFonts w:asciiTheme="minorHAnsi" w:hAnsiTheme="minorHAnsi"/>
          <w:sz w:val="22"/>
          <w:szCs w:val="22"/>
        </w:rPr>
        <w:t xml:space="preserve"> </w:t>
      </w:r>
      <w:r w:rsidR="00342632">
        <w:rPr>
          <w:rFonts w:asciiTheme="minorHAnsi" w:hAnsiTheme="minorHAnsi"/>
          <w:sz w:val="22"/>
          <w:szCs w:val="22"/>
        </w:rPr>
        <w:t xml:space="preserve">that </w:t>
      </w:r>
      <w:r w:rsidR="00842F21">
        <w:rPr>
          <w:rFonts w:asciiTheme="minorHAnsi" w:hAnsiTheme="minorHAnsi"/>
          <w:sz w:val="22"/>
          <w:szCs w:val="22"/>
        </w:rPr>
        <w:t>includ</w:t>
      </w:r>
      <w:r w:rsidR="00342632">
        <w:rPr>
          <w:rFonts w:asciiTheme="minorHAnsi" w:hAnsiTheme="minorHAnsi"/>
          <w:sz w:val="22"/>
          <w:szCs w:val="22"/>
        </w:rPr>
        <w:t>e</w:t>
      </w:r>
      <w:r w:rsidR="00842F21">
        <w:rPr>
          <w:rFonts w:asciiTheme="minorHAnsi" w:hAnsiTheme="minorHAnsi"/>
          <w:sz w:val="22"/>
          <w:szCs w:val="22"/>
        </w:rPr>
        <w:t xml:space="preserve"> 23 one-bedroom units</w:t>
      </w:r>
      <w:r w:rsidR="00C5773D">
        <w:rPr>
          <w:rFonts w:asciiTheme="minorHAnsi" w:hAnsiTheme="minorHAnsi"/>
          <w:sz w:val="22"/>
          <w:szCs w:val="22"/>
        </w:rPr>
        <w:t>.  Of particular concern have been the second</w:t>
      </w:r>
      <w:r w:rsidR="00997CF1">
        <w:rPr>
          <w:rFonts w:asciiTheme="minorHAnsi" w:hAnsiTheme="minorHAnsi"/>
          <w:sz w:val="22"/>
          <w:szCs w:val="22"/>
        </w:rPr>
        <w:t>-</w:t>
      </w:r>
      <w:r w:rsidR="00C5773D">
        <w:rPr>
          <w:rFonts w:asciiTheme="minorHAnsi" w:hAnsiTheme="minorHAnsi"/>
          <w:sz w:val="22"/>
          <w:szCs w:val="22"/>
        </w:rPr>
        <w:t xml:space="preserve">floor units in senior housing </w:t>
      </w:r>
      <w:r w:rsidR="00842F21">
        <w:rPr>
          <w:rFonts w:asciiTheme="minorHAnsi" w:hAnsiTheme="minorHAnsi"/>
          <w:sz w:val="22"/>
          <w:szCs w:val="22"/>
        </w:rPr>
        <w:t xml:space="preserve">at Chambers Street </w:t>
      </w:r>
      <w:r w:rsidR="00C5773D">
        <w:rPr>
          <w:rFonts w:asciiTheme="minorHAnsi" w:hAnsiTheme="minorHAnsi"/>
          <w:sz w:val="22"/>
          <w:szCs w:val="22"/>
        </w:rPr>
        <w:t>that can only be accessed by stairs</w:t>
      </w:r>
      <w:r w:rsidR="00342632">
        <w:rPr>
          <w:rFonts w:asciiTheme="minorHAnsi" w:hAnsiTheme="minorHAnsi"/>
          <w:sz w:val="22"/>
          <w:szCs w:val="22"/>
        </w:rPr>
        <w:t xml:space="preserve"> </w:t>
      </w:r>
      <w:r w:rsidR="00AE74EC">
        <w:rPr>
          <w:rFonts w:asciiTheme="minorHAnsi" w:hAnsiTheme="minorHAnsi"/>
          <w:sz w:val="22"/>
          <w:szCs w:val="22"/>
        </w:rPr>
        <w:t>and</w:t>
      </w:r>
      <w:r w:rsidR="00342632">
        <w:rPr>
          <w:rFonts w:asciiTheme="minorHAnsi" w:hAnsiTheme="minorHAnsi"/>
          <w:sz w:val="22"/>
          <w:szCs w:val="22"/>
        </w:rPr>
        <w:t xml:space="preserve"> hopefully can be resolved at some point </w:t>
      </w:r>
      <w:r w:rsidR="00AE74EC">
        <w:rPr>
          <w:rFonts w:asciiTheme="minorHAnsi" w:hAnsiTheme="minorHAnsi"/>
          <w:sz w:val="22"/>
          <w:szCs w:val="22"/>
        </w:rPr>
        <w:t>as part of</w:t>
      </w:r>
      <w:r w:rsidR="00342632">
        <w:rPr>
          <w:rFonts w:asciiTheme="minorHAnsi" w:hAnsiTheme="minorHAnsi"/>
          <w:sz w:val="22"/>
          <w:szCs w:val="22"/>
        </w:rPr>
        <w:t xml:space="preserve"> NHA’s modernization plans</w:t>
      </w:r>
      <w:r w:rsidR="00C5773D">
        <w:rPr>
          <w:rFonts w:asciiTheme="minorHAnsi" w:hAnsiTheme="minorHAnsi"/>
          <w:sz w:val="22"/>
          <w:szCs w:val="22"/>
        </w:rPr>
        <w:t>.</w:t>
      </w:r>
    </w:p>
    <w:p w14:paraId="432489B2" w14:textId="58518F08" w:rsidR="00FE05B4" w:rsidRPr="00C5773D" w:rsidRDefault="00DE29B8" w:rsidP="00C5773D">
      <w:pPr>
        <w:pStyle w:val="ListParagraph"/>
        <w:tabs>
          <w:tab w:val="left" w:pos="0"/>
        </w:tabs>
        <w:contextualSpacing w:val="0"/>
        <w:jc w:val="both"/>
        <w:rPr>
          <w:rFonts w:asciiTheme="minorHAnsi" w:hAnsiTheme="minorHAnsi"/>
          <w:sz w:val="22"/>
          <w:szCs w:val="22"/>
        </w:rPr>
      </w:pPr>
      <w:r w:rsidRPr="00C5773D">
        <w:rPr>
          <w:rFonts w:asciiTheme="minorHAnsi" w:hAnsiTheme="minorHAnsi"/>
          <w:sz w:val="22"/>
          <w:szCs w:val="22"/>
        </w:rPr>
        <w:t xml:space="preserve"> </w:t>
      </w:r>
    </w:p>
    <w:p w14:paraId="7D298251" w14:textId="6BDE271E" w:rsidR="00DE29B8" w:rsidRPr="00FE05B4" w:rsidRDefault="00DE29B8" w:rsidP="00244466">
      <w:pPr>
        <w:pStyle w:val="ListParagraph"/>
        <w:numPr>
          <w:ilvl w:val="0"/>
          <w:numId w:val="53"/>
        </w:numPr>
        <w:tabs>
          <w:tab w:val="left" w:pos="0"/>
        </w:tabs>
        <w:ind w:hanging="360"/>
        <w:contextualSpacing w:val="0"/>
        <w:jc w:val="both"/>
        <w:rPr>
          <w:rFonts w:asciiTheme="minorHAnsi" w:hAnsiTheme="minorHAnsi" w:cs="Lucida Sans Unicode"/>
          <w:sz w:val="22"/>
          <w:szCs w:val="22"/>
        </w:rPr>
      </w:pPr>
      <w:r w:rsidRPr="00FE05B4">
        <w:rPr>
          <w:rFonts w:asciiTheme="minorHAnsi" w:hAnsiTheme="minorHAnsi" w:cs="Lucida Sans Unicode"/>
          <w:i/>
          <w:sz w:val="22"/>
          <w:szCs w:val="22"/>
        </w:rPr>
        <w:t xml:space="preserve">Growing senior population - </w:t>
      </w:r>
      <w:r w:rsidRPr="00FE05B4">
        <w:rPr>
          <w:rFonts w:asciiTheme="minorHAnsi" w:hAnsiTheme="minorHAnsi" w:cs="Lucida Sans Unicode"/>
          <w:sz w:val="22"/>
          <w:szCs w:val="22"/>
        </w:rPr>
        <w:t>As the number of seniors continues to increase with the aging of the Baby Boomers and longer life expectancies, growing numbers of residents will need better access to housing that includes on-site supportive services and/or barrier-free accessibility.  Local assisted living units are also typically expensive.</w:t>
      </w:r>
      <w:r w:rsidR="00C5773D">
        <w:rPr>
          <w:rFonts w:asciiTheme="minorHAnsi" w:hAnsiTheme="minorHAnsi" w:cs="Lucida Sans Unicode"/>
          <w:sz w:val="22"/>
          <w:szCs w:val="22"/>
        </w:rPr>
        <w:t xml:space="preserve">  The </w:t>
      </w:r>
      <w:r w:rsidR="00342632">
        <w:rPr>
          <w:rFonts w:asciiTheme="minorHAnsi" w:hAnsiTheme="minorHAnsi" w:cs="Lucida Sans Unicode"/>
          <w:sz w:val="22"/>
          <w:szCs w:val="22"/>
        </w:rPr>
        <w:t xml:space="preserve">assisted living and independent living </w:t>
      </w:r>
      <w:r w:rsidR="00C5773D">
        <w:rPr>
          <w:rFonts w:asciiTheme="minorHAnsi" w:hAnsiTheme="minorHAnsi" w:cs="Lucida Sans Unicode"/>
          <w:sz w:val="22"/>
          <w:szCs w:val="22"/>
        </w:rPr>
        <w:t xml:space="preserve">units as part of Needham Residences at Wingate and </w:t>
      </w:r>
      <w:r w:rsidR="00EE73E2">
        <w:rPr>
          <w:rFonts w:asciiTheme="minorHAnsi" w:hAnsiTheme="minorHAnsi" w:cs="Lucida Sans Unicode"/>
          <w:sz w:val="22"/>
          <w:szCs w:val="22"/>
        </w:rPr>
        <w:t>the Residences at Carter Mill</w:t>
      </w:r>
      <w:r w:rsidR="00AE74EC">
        <w:rPr>
          <w:rFonts w:asciiTheme="minorHAnsi" w:hAnsiTheme="minorHAnsi" w:cs="Lucida Sans Unicode"/>
          <w:sz w:val="22"/>
          <w:szCs w:val="22"/>
        </w:rPr>
        <w:t xml:space="preserve"> (may not include independent living units)</w:t>
      </w:r>
      <w:r w:rsidR="00EE73E2">
        <w:rPr>
          <w:rFonts w:asciiTheme="minorHAnsi" w:hAnsiTheme="minorHAnsi" w:cs="Lucida Sans Unicode"/>
          <w:sz w:val="22"/>
          <w:szCs w:val="22"/>
        </w:rPr>
        <w:t xml:space="preserve"> will help address some of these needs.</w:t>
      </w:r>
    </w:p>
    <w:p w14:paraId="3C7969B1" w14:textId="79F19C61" w:rsidR="00DE29B8" w:rsidRDefault="00DE29B8" w:rsidP="00DE29B8">
      <w:pPr>
        <w:pStyle w:val="BodyTextIndent"/>
        <w:tabs>
          <w:tab w:val="left" w:pos="0"/>
        </w:tabs>
        <w:spacing w:after="0"/>
        <w:ind w:left="0"/>
        <w:jc w:val="both"/>
        <w:rPr>
          <w:rFonts w:asciiTheme="minorHAnsi" w:hAnsiTheme="minorHAnsi"/>
          <w:sz w:val="22"/>
          <w:szCs w:val="22"/>
        </w:rPr>
      </w:pPr>
    </w:p>
    <w:p w14:paraId="45092A6D" w14:textId="2ADBCEB7" w:rsidR="005821D1" w:rsidRDefault="005821D1" w:rsidP="00244466">
      <w:pPr>
        <w:pStyle w:val="BodyTextIndent"/>
        <w:numPr>
          <w:ilvl w:val="0"/>
          <w:numId w:val="53"/>
        </w:numPr>
        <w:tabs>
          <w:tab w:val="left" w:pos="720"/>
        </w:tabs>
        <w:spacing w:after="0"/>
        <w:ind w:left="720" w:hanging="360"/>
        <w:jc w:val="both"/>
        <w:rPr>
          <w:rFonts w:asciiTheme="minorHAnsi" w:hAnsiTheme="minorHAnsi" w:cstheme="minorHAnsi"/>
          <w:sz w:val="22"/>
          <w:szCs w:val="22"/>
        </w:rPr>
      </w:pPr>
      <w:r>
        <w:rPr>
          <w:rFonts w:asciiTheme="minorHAnsi" w:hAnsiTheme="minorHAnsi" w:cstheme="minorHAnsi"/>
          <w:i/>
          <w:iCs/>
          <w:sz w:val="22"/>
          <w:szCs w:val="22"/>
        </w:rPr>
        <w:t xml:space="preserve">Barriers to aging in place – </w:t>
      </w:r>
      <w:r>
        <w:rPr>
          <w:rFonts w:asciiTheme="minorHAnsi" w:hAnsiTheme="minorHAnsi" w:cstheme="minorHAnsi"/>
          <w:sz w:val="22"/>
          <w:szCs w:val="22"/>
        </w:rPr>
        <w:t>The Assessment of Housing and Transit Options for Needham Seniors, prepared by the Council on Aging and Public Health Department in 2016, identified s</w:t>
      </w:r>
      <w:r w:rsidRPr="005821D1">
        <w:rPr>
          <w:rFonts w:asciiTheme="minorHAnsi" w:hAnsiTheme="minorHAnsi" w:cstheme="minorHAnsi"/>
          <w:sz w:val="22"/>
          <w:szCs w:val="22"/>
        </w:rPr>
        <w:t>pecific barriers to aging in place</w:t>
      </w:r>
      <w:r>
        <w:rPr>
          <w:rFonts w:asciiTheme="minorHAnsi" w:hAnsiTheme="minorHAnsi" w:cstheme="minorHAnsi"/>
          <w:sz w:val="22"/>
          <w:szCs w:val="22"/>
        </w:rPr>
        <w:t>.  In addition to the high cost of housing, these barriers include</w:t>
      </w:r>
      <w:r w:rsidRPr="005821D1">
        <w:rPr>
          <w:rFonts w:asciiTheme="minorHAnsi" w:hAnsiTheme="minorHAnsi" w:cstheme="minorHAnsi"/>
          <w:sz w:val="22"/>
          <w:szCs w:val="22"/>
        </w:rPr>
        <w:t xml:space="preserve"> the scarcity of </w:t>
      </w:r>
      <w:r>
        <w:rPr>
          <w:rFonts w:asciiTheme="minorHAnsi" w:hAnsiTheme="minorHAnsi" w:cstheme="minorHAnsi"/>
          <w:sz w:val="22"/>
          <w:szCs w:val="22"/>
        </w:rPr>
        <w:t>accessible</w:t>
      </w:r>
      <w:r w:rsidRPr="005821D1">
        <w:rPr>
          <w:rFonts w:asciiTheme="minorHAnsi" w:hAnsiTheme="minorHAnsi" w:cstheme="minorHAnsi"/>
          <w:sz w:val="22"/>
          <w:szCs w:val="22"/>
        </w:rPr>
        <w:t xml:space="preserve"> housing; the high cost of upkeep; costliness of modifying existing homes to increase accessibility; and zoning regulations that</w:t>
      </w:r>
      <w:r>
        <w:rPr>
          <w:rFonts w:asciiTheme="minorHAnsi" w:hAnsiTheme="minorHAnsi" w:cstheme="minorHAnsi"/>
          <w:sz w:val="22"/>
          <w:szCs w:val="22"/>
        </w:rPr>
        <w:t xml:space="preserve"> at the time</w:t>
      </w:r>
      <w:r w:rsidRPr="005821D1">
        <w:rPr>
          <w:rFonts w:asciiTheme="minorHAnsi" w:hAnsiTheme="minorHAnsi" w:cstheme="minorHAnsi"/>
          <w:sz w:val="22"/>
          <w:szCs w:val="22"/>
        </w:rPr>
        <w:t xml:space="preserve"> prohibit</w:t>
      </w:r>
      <w:r>
        <w:rPr>
          <w:rFonts w:asciiTheme="minorHAnsi" w:hAnsiTheme="minorHAnsi" w:cstheme="minorHAnsi"/>
          <w:sz w:val="22"/>
          <w:szCs w:val="22"/>
        </w:rPr>
        <w:t>ed</w:t>
      </w:r>
      <w:r w:rsidRPr="005821D1">
        <w:rPr>
          <w:rFonts w:asciiTheme="minorHAnsi" w:hAnsiTheme="minorHAnsi" w:cstheme="minorHAnsi"/>
          <w:sz w:val="22"/>
          <w:szCs w:val="22"/>
        </w:rPr>
        <w:t xml:space="preserve"> </w:t>
      </w:r>
      <w:r>
        <w:rPr>
          <w:rFonts w:asciiTheme="minorHAnsi" w:hAnsiTheme="minorHAnsi" w:cstheme="minorHAnsi"/>
          <w:sz w:val="22"/>
          <w:szCs w:val="22"/>
        </w:rPr>
        <w:t>A</w:t>
      </w:r>
      <w:r w:rsidRPr="005821D1">
        <w:rPr>
          <w:rFonts w:asciiTheme="minorHAnsi" w:hAnsiTheme="minorHAnsi" w:cstheme="minorHAnsi"/>
          <w:sz w:val="22"/>
          <w:szCs w:val="22"/>
        </w:rPr>
        <w:t xml:space="preserve">ccessory </w:t>
      </w:r>
      <w:r>
        <w:rPr>
          <w:rFonts w:asciiTheme="minorHAnsi" w:hAnsiTheme="minorHAnsi" w:cstheme="minorHAnsi"/>
          <w:sz w:val="22"/>
          <w:szCs w:val="22"/>
        </w:rPr>
        <w:lastRenderedPageBreak/>
        <w:t>D</w:t>
      </w:r>
      <w:r w:rsidRPr="005821D1">
        <w:rPr>
          <w:rFonts w:asciiTheme="minorHAnsi" w:hAnsiTheme="minorHAnsi" w:cstheme="minorHAnsi"/>
          <w:sz w:val="22"/>
          <w:szCs w:val="22"/>
        </w:rPr>
        <w:t xml:space="preserve">welling </w:t>
      </w:r>
      <w:r>
        <w:rPr>
          <w:rFonts w:asciiTheme="minorHAnsi" w:hAnsiTheme="minorHAnsi" w:cstheme="minorHAnsi"/>
          <w:sz w:val="22"/>
          <w:szCs w:val="22"/>
        </w:rPr>
        <w:t>U</w:t>
      </w:r>
      <w:r w:rsidRPr="005821D1">
        <w:rPr>
          <w:rFonts w:asciiTheme="minorHAnsi" w:hAnsiTheme="minorHAnsi" w:cstheme="minorHAnsi"/>
          <w:sz w:val="22"/>
          <w:szCs w:val="22"/>
        </w:rPr>
        <w:t xml:space="preserve">nits, also known as, in-law apartments. </w:t>
      </w:r>
      <w:r>
        <w:rPr>
          <w:rFonts w:asciiTheme="minorHAnsi" w:hAnsiTheme="minorHAnsi" w:cstheme="minorHAnsi"/>
          <w:sz w:val="22"/>
          <w:szCs w:val="22"/>
        </w:rPr>
        <w:t>The report defined a</w:t>
      </w:r>
      <w:r w:rsidRPr="005821D1">
        <w:rPr>
          <w:rFonts w:asciiTheme="minorHAnsi" w:hAnsiTheme="minorHAnsi" w:cstheme="minorHAnsi"/>
          <w:sz w:val="22"/>
          <w:szCs w:val="22"/>
        </w:rPr>
        <w:t xml:space="preserve">n age-friendly home </w:t>
      </w:r>
      <w:r>
        <w:rPr>
          <w:rFonts w:asciiTheme="minorHAnsi" w:hAnsiTheme="minorHAnsi" w:cstheme="minorHAnsi"/>
          <w:sz w:val="22"/>
          <w:szCs w:val="22"/>
        </w:rPr>
        <w:t>as one with</w:t>
      </w:r>
      <w:r w:rsidRPr="005821D1">
        <w:rPr>
          <w:rFonts w:asciiTheme="minorHAnsi" w:hAnsiTheme="minorHAnsi" w:cstheme="minorHAnsi"/>
          <w:sz w:val="22"/>
          <w:szCs w:val="22"/>
        </w:rPr>
        <w:t xml:space="preserve"> universal design elements that make living comfortable, safe, and accessible for all people regardless of ability. Key elements include: at least one no-step entry; single-floor living; wide hallways and doors; lever-style door and faucet handles; storage within easy reach; and bathrooms with walk-in showers and higher toilets. Although minor modifications can make a home safer for older adults (installing banisters on both sides of stairways, grab bars in bathrooms, slip-proof floors, etc.), many changes are significant and costly (such as adding full bathrooms, laundry facilities, and master bedrooms to the first floor of a house, etc.)</w:t>
      </w:r>
      <w:r w:rsidR="00997CF1">
        <w:rPr>
          <w:rFonts w:asciiTheme="minorHAnsi" w:hAnsiTheme="minorHAnsi" w:cstheme="minorHAnsi"/>
          <w:sz w:val="22"/>
          <w:szCs w:val="22"/>
        </w:rPr>
        <w:t xml:space="preserve">.  </w:t>
      </w:r>
    </w:p>
    <w:p w14:paraId="269D0632" w14:textId="77777777" w:rsidR="005821D1" w:rsidRPr="005821D1" w:rsidRDefault="005821D1" w:rsidP="005821D1">
      <w:pPr>
        <w:pStyle w:val="BodyTextIndent"/>
        <w:tabs>
          <w:tab w:val="left" w:pos="720"/>
        </w:tabs>
        <w:spacing w:after="0"/>
        <w:ind w:left="720"/>
        <w:jc w:val="both"/>
        <w:rPr>
          <w:rFonts w:asciiTheme="minorHAnsi" w:hAnsiTheme="minorHAnsi" w:cstheme="minorHAnsi"/>
          <w:sz w:val="22"/>
          <w:szCs w:val="22"/>
        </w:rPr>
      </w:pPr>
    </w:p>
    <w:p w14:paraId="18D88657" w14:textId="0C056E99" w:rsidR="00DE29B8" w:rsidRDefault="00DE29B8" w:rsidP="00DE29B8">
      <w:pPr>
        <w:pStyle w:val="BodyTextIndent"/>
        <w:tabs>
          <w:tab w:val="left" w:pos="0"/>
        </w:tabs>
        <w:spacing w:after="0"/>
        <w:ind w:left="0"/>
        <w:jc w:val="both"/>
        <w:rPr>
          <w:rFonts w:asciiTheme="minorHAnsi" w:hAnsiTheme="minorHAnsi"/>
          <w:sz w:val="22"/>
          <w:szCs w:val="22"/>
        </w:rPr>
      </w:pPr>
      <w:r w:rsidRPr="00F64AAB">
        <w:rPr>
          <w:rFonts w:asciiTheme="minorHAnsi" w:hAnsiTheme="minorHAnsi"/>
          <w:sz w:val="22"/>
          <w:szCs w:val="22"/>
        </w:rPr>
        <w:t xml:space="preserve">Table </w:t>
      </w:r>
      <w:r w:rsidR="00EE73E2">
        <w:rPr>
          <w:rFonts w:asciiTheme="minorHAnsi" w:hAnsiTheme="minorHAnsi"/>
          <w:sz w:val="22"/>
          <w:szCs w:val="22"/>
        </w:rPr>
        <w:t>III-43</w:t>
      </w:r>
      <w:r w:rsidRPr="00F64AAB">
        <w:rPr>
          <w:rFonts w:asciiTheme="minorHAnsi" w:hAnsiTheme="minorHAnsi"/>
          <w:sz w:val="22"/>
          <w:szCs w:val="22"/>
        </w:rPr>
        <w:t xml:space="preserve"> provides a summary of unmet housing needs according to income level and type of household, focusing on households that are paying too much of their income on housing costs.  While there are many more owner-occupied units than rentals in </w:t>
      </w:r>
      <w:r w:rsidR="00EE73E2">
        <w:rPr>
          <w:rFonts w:asciiTheme="minorHAnsi" w:hAnsiTheme="minorHAnsi"/>
          <w:sz w:val="22"/>
          <w:szCs w:val="22"/>
        </w:rPr>
        <w:t>Needham</w:t>
      </w:r>
      <w:r w:rsidRPr="00F64AAB">
        <w:rPr>
          <w:rFonts w:asciiTheme="minorHAnsi" w:hAnsiTheme="minorHAnsi"/>
          <w:sz w:val="22"/>
          <w:szCs w:val="22"/>
        </w:rPr>
        <w:t xml:space="preserve">, the number of unmet housing needs is proportionately considerably higher for rentals.  For example, </w:t>
      </w:r>
      <w:r w:rsidR="008D5AD8">
        <w:rPr>
          <w:rFonts w:asciiTheme="minorHAnsi" w:hAnsiTheme="minorHAnsi"/>
          <w:sz w:val="22"/>
          <w:szCs w:val="22"/>
        </w:rPr>
        <w:t xml:space="preserve">41% </w:t>
      </w:r>
      <w:r w:rsidRPr="00F64AAB">
        <w:rPr>
          <w:rFonts w:asciiTheme="minorHAnsi" w:hAnsiTheme="minorHAnsi"/>
          <w:sz w:val="22"/>
          <w:szCs w:val="22"/>
        </w:rPr>
        <w:t>of renters had cost burdens</w:t>
      </w:r>
      <w:r w:rsidR="00B9682B">
        <w:rPr>
          <w:rFonts w:asciiTheme="minorHAnsi" w:hAnsiTheme="minorHAnsi"/>
          <w:sz w:val="22"/>
          <w:szCs w:val="22"/>
        </w:rPr>
        <w:t xml:space="preserve"> which is</w:t>
      </w:r>
      <w:r w:rsidR="008D5AD8">
        <w:rPr>
          <w:rFonts w:asciiTheme="minorHAnsi" w:hAnsiTheme="minorHAnsi"/>
          <w:sz w:val="22"/>
          <w:szCs w:val="22"/>
        </w:rPr>
        <w:t xml:space="preserve"> double the percentage of owners.  In regard to severe cost burdens, more than one-quarter of renters were experiencing such affordability challenges compared to 8% of owners.</w:t>
      </w:r>
      <w:r w:rsidRPr="00F64AAB">
        <w:rPr>
          <w:rFonts w:asciiTheme="minorHAnsi" w:hAnsiTheme="minorHAnsi"/>
          <w:sz w:val="22"/>
          <w:szCs w:val="22"/>
        </w:rPr>
        <w:t xml:space="preserve">  </w:t>
      </w:r>
    </w:p>
    <w:p w14:paraId="3461A005" w14:textId="640E363C" w:rsidR="008D5AD8" w:rsidRDefault="008D5AD8" w:rsidP="00DE29B8">
      <w:pPr>
        <w:pStyle w:val="BodyTextIndent"/>
        <w:tabs>
          <w:tab w:val="left" w:pos="0"/>
        </w:tabs>
        <w:spacing w:after="0"/>
        <w:ind w:left="0"/>
        <w:jc w:val="both"/>
        <w:rPr>
          <w:rFonts w:asciiTheme="minorHAnsi" w:hAnsiTheme="minorHAnsi"/>
          <w:sz w:val="22"/>
          <w:szCs w:val="22"/>
        </w:rPr>
      </w:pPr>
    </w:p>
    <w:p w14:paraId="104380E1" w14:textId="74872990" w:rsidR="008D5AD8" w:rsidRDefault="002A3237" w:rsidP="00DE29B8">
      <w:pPr>
        <w:pStyle w:val="BodyTextIndent"/>
        <w:tabs>
          <w:tab w:val="left" w:pos="0"/>
        </w:tabs>
        <w:spacing w:after="0"/>
        <w:ind w:left="0"/>
        <w:jc w:val="both"/>
        <w:rPr>
          <w:rFonts w:asciiTheme="minorHAnsi" w:hAnsiTheme="minorHAnsi"/>
          <w:sz w:val="22"/>
          <w:szCs w:val="22"/>
        </w:rPr>
      </w:pPr>
      <w:r>
        <w:rPr>
          <w:rFonts w:asciiTheme="minorHAnsi" w:hAnsiTheme="minorHAnsi"/>
          <w:sz w:val="22"/>
          <w:szCs w:val="22"/>
        </w:rPr>
        <w:t>Nevertheless, the level of cost burdens among owners is considerable, particularly for those with incomes at or below 80% AMI.  For example, almost all extremely low-income owners were spending more than half their income on housing costs.  An estimated 46% of owners with incomes at or below 80% AMI had severe cost burdens</w:t>
      </w:r>
      <w:r w:rsidR="00EA5EC9">
        <w:rPr>
          <w:rFonts w:asciiTheme="minorHAnsi" w:hAnsiTheme="minorHAnsi"/>
          <w:sz w:val="22"/>
          <w:szCs w:val="22"/>
        </w:rPr>
        <w:t xml:space="preserve"> compared to 38.4% of renters.  This data </w:t>
      </w:r>
      <w:r w:rsidR="00B9682B">
        <w:rPr>
          <w:rFonts w:asciiTheme="minorHAnsi" w:hAnsiTheme="minorHAnsi"/>
          <w:sz w:val="22"/>
          <w:szCs w:val="22"/>
        </w:rPr>
        <w:t xml:space="preserve">also </w:t>
      </w:r>
      <w:r w:rsidR="00EA5EC9">
        <w:rPr>
          <w:rFonts w:asciiTheme="minorHAnsi" w:hAnsiTheme="minorHAnsi"/>
          <w:sz w:val="22"/>
          <w:szCs w:val="22"/>
        </w:rPr>
        <w:t>suggests a need for housing that would be targeted to those in the 80% to 100% AMI range, sometimes referred to as community housing, as there were 180 owners with cost burdens that included 100 with severe cost burdens.</w:t>
      </w:r>
      <w:r w:rsidR="006012EB">
        <w:rPr>
          <w:rFonts w:asciiTheme="minorHAnsi" w:hAnsiTheme="minorHAnsi"/>
          <w:sz w:val="22"/>
          <w:szCs w:val="22"/>
        </w:rPr>
        <w:t xml:space="preserve">  As noted earlier, there are greater challenges in developing owner-occupied housing as opposed to rentals, however, some attention to the development of new affordable condominiums is certainly warranted.</w:t>
      </w:r>
    </w:p>
    <w:p w14:paraId="005271E0" w14:textId="75E75BE3" w:rsidR="00116C56" w:rsidRDefault="00116C56" w:rsidP="00DE29B8">
      <w:pPr>
        <w:pStyle w:val="BodyTextIndent"/>
        <w:tabs>
          <w:tab w:val="left" w:pos="0"/>
        </w:tabs>
        <w:spacing w:after="0"/>
        <w:ind w:left="0"/>
        <w:jc w:val="both"/>
        <w:rPr>
          <w:rFonts w:asciiTheme="minorHAnsi" w:hAnsiTheme="minorHAnsi"/>
          <w:sz w:val="22"/>
          <w:szCs w:val="22"/>
        </w:rPr>
      </w:pPr>
    </w:p>
    <w:p w14:paraId="3C3D76D7" w14:textId="77777777" w:rsidR="009A54F7" w:rsidRDefault="009A54F7" w:rsidP="009A54F7">
      <w:pPr>
        <w:pStyle w:val="BodyTextIndent"/>
        <w:tabs>
          <w:tab w:val="left" w:pos="0"/>
        </w:tabs>
        <w:spacing w:after="0"/>
        <w:ind w:left="0"/>
        <w:jc w:val="both"/>
        <w:rPr>
          <w:rFonts w:asciiTheme="minorHAnsi" w:hAnsiTheme="minorHAnsi"/>
          <w:sz w:val="22"/>
          <w:szCs w:val="22"/>
        </w:rPr>
      </w:pPr>
      <w:r w:rsidRPr="00F64AAB">
        <w:rPr>
          <w:rFonts w:asciiTheme="minorHAnsi" w:hAnsiTheme="minorHAnsi"/>
          <w:sz w:val="22"/>
          <w:szCs w:val="22"/>
        </w:rPr>
        <w:t xml:space="preserve">Table </w:t>
      </w:r>
      <w:r>
        <w:rPr>
          <w:rFonts w:asciiTheme="minorHAnsi" w:hAnsiTheme="minorHAnsi"/>
          <w:sz w:val="22"/>
          <w:szCs w:val="22"/>
        </w:rPr>
        <w:t>III-43</w:t>
      </w:r>
      <w:r w:rsidRPr="00F64AAB">
        <w:rPr>
          <w:rFonts w:asciiTheme="minorHAnsi" w:hAnsiTheme="minorHAnsi"/>
          <w:sz w:val="22"/>
          <w:szCs w:val="22"/>
        </w:rPr>
        <w:t xml:space="preserve"> also provides numbers on the unmet housing needs of seniors, families</w:t>
      </w:r>
      <w:r>
        <w:rPr>
          <w:rFonts w:asciiTheme="minorHAnsi" w:hAnsiTheme="minorHAnsi"/>
          <w:sz w:val="22"/>
          <w:szCs w:val="22"/>
        </w:rPr>
        <w:t>,</w:t>
      </w:r>
      <w:r w:rsidRPr="00F64AAB">
        <w:rPr>
          <w:rFonts w:asciiTheme="minorHAnsi" w:hAnsiTheme="minorHAnsi"/>
          <w:sz w:val="22"/>
          <w:szCs w:val="22"/>
        </w:rPr>
        <w:t xml:space="preserve"> and non-elderly single individuals. In regards to seniors</w:t>
      </w:r>
      <w:r>
        <w:rPr>
          <w:rFonts w:asciiTheme="minorHAnsi" w:hAnsiTheme="minorHAnsi"/>
          <w:sz w:val="22"/>
          <w:szCs w:val="22"/>
        </w:rPr>
        <w:t xml:space="preserve"> with unmet housing needs</w:t>
      </w:r>
      <w:r w:rsidRPr="00F64AAB">
        <w:rPr>
          <w:rFonts w:asciiTheme="minorHAnsi" w:hAnsiTheme="minorHAnsi"/>
          <w:sz w:val="22"/>
          <w:szCs w:val="22"/>
        </w:rPr>
        <w:t xml:space="preserve">, </w:t>
      </w:r>
      <w:r>
        <w:rPr>
          <w:rFonts w:asciiTheme="minorHAnsi" w:hAnsiTheme="minorHAnsi"/>
          <w:sz w:val="22"/>
          <w:szCs w:val="22"/>
        </w:rPr>
        <w:t xml:space="preserve">there were more seniors who were owners than renters, at 715 and 570, respectively.  Additionally, 68.4% of owners had unmet housing needs compared to 59.6% of renters. </w:t>
      </w:r>
    </w:p>
    <w:p w14:paraId="466C0733" w14:textId="77777777" w:rsidR="00116C56" w:rsidRDefault="00116C56" w:rsidP="00116C56">
      <w:pPr>
        <w:pStyle w:val="BodyTextIndent"/>
        <w:tabs>
          <w:tab w:val="left" w:pos="0"/>
        </w:tabs>
        <w:spacing w:after="0"/>
        <w:ind w:left="0"/>
        <w:jc w:val="both"/>
        <w:rPr>
          <w:rFonts w:asciiTheme="minorHAnsi" w:hAnsiTheme="minorHAnsi"/>
          <w:sz w:val="22"/>
          <w:szCs w:val="22"/>
        </w:rPr>
      </w:pPr>
    </w:p>
    <w:p w14:paraId="395CFE21" w14:textId="77777777" w:rsidR="00116C56" w:rsidRPr="00F64AAB" w:rsidRDefault="00116C56" w:rsidP="00116C56">
      <w:pPr>
        <w:pStyle w:val="BodyTextIndent"/>
        <w:tabs>
          <w:tab w:val="left" w:pos="0"/>
        </w:tabs>
        <w:spacing w:after="0"/>
        <w:ind w:left="0"/>
        <w:jc w:val="both"/>
        <w:rPr>
          <w:rFonts w:asciiTheme="minorHAnsi" w:hAnsiTheme="minorHAnsi"/>
          <w:sz w:val="22"/>
          <w:szCs w:val="22"/>
        </w:rPr>
      </w:pPr>
      <w:r>
        <w:rPr>
          <w:rFonts w:asciiTheme="minorHAnsi" w:hAnsiTheme="minorHAnsi"/>
          <w:sz w:val="22"/>
          <w:szCs w:val="22"/>
        </w:rPr>
        <w:t>Seniors comprised the greatest number of households with incomes at or below 80% AMI, including renters and homeowners, compared to families and single individuals under age 62.  This is not surprising given the number of seniors who are retired and living on fixed incomes, also reflected in lower median household incomes.</w:t>
      </w:r>
    </w:p>
    <w:p w14:paraId="3F8E0038" w14:textId="77777777" w:rsidR="00116C56" w:rsidRPr="00F64AAB" w:rsidRDefault="00116C56" w:rsidP="00116C56">
      <w:pPr>
        <w:pStyle w:val="BodyTextIndent"/>
        <w:tabs>
          <w:tab w:val="left" w:pos="0"/>
        </w:tabs>
        <w:spacing w:after="0"/>
        <w:ind w:left="0"/>
        <w:jc w:val="both"/>
        <w:rPr>
          <w:rFonts w:asciiTheme="minorHAnsi" w:hAnsiTheme="minorHAnsi"/>
          <w:sz w:val="22"/>
          <w:szCs w:val="22"/>
        </w:rPr>
      </w:pPr>
    </w:p>
    <w:p w14:paraId="45AB4214" w14:textId="77777777" w:rsidR="00116C56" w:rsidRDefault="00116C56" w:rsidP="00116C56">
      <w:pPr>
        <w:pStyle w:val="BodyTextIndent"/>
        <w:tabs>
          <w:tab w:val="left" w:pos="0"/>
        </w:tabs>
        <w:spacing w:after="0"/>
        <w:ind w:left="0"/>
        <w:jc w:val="both"/>
        <w:rPr>
          <w:rFonts w:asciiTheme="minorHAnsi" w:hAnsiTheme="minorHAnsi"/>
          <w:sz w:val="22"/>
          <w:szCs w:val="22"/>
        </w:rPr>
      </w:pPr>
      <w:r w:rsidRPr="00F64AAB">
        <w:rPr>
          <w:rFonts w:asciiTheme="minorHAnsi" w:hAnsiTheme="minorHAnsi"/>
          <w:sz w:val="22"/>
          <w:szCs w:val="22"/>
        </w:rPr>
        <w:t>In regard to families in this income range, there</w:t>
      </w:r>
      <w:r>
        <w:rPr>
          <w:rFonts w:asciiTheme="minorHAnsi" w:hAnsiTheme="minorHAnsi"/>
          <w:sz w:val="22"/>
          <w:szCs w:val="22"/>
        </w:rPr>
        <w:t xml:space="preserve"> were also more owners with incomes at or below 80% AMI, at 300 owners compared to 215 renter households.</w:t>
      </w:r>
      <w:r w:rsidRPr="00F64AAB">
        <w:rPr>
          <w:rFonts w:asciiTheme="minorHAnsi" w:hAnsiTheme="minorHAnsi"/>
          <w:sz w:val="22"/>
          <w:szCs w:val="22"/>
        </w:rPr>
        <w:t xml:space="preserve"> </w:t>
      </w:r>
      <w:r>
        <w:rPr>
          <w:rFonts w:asciiTheme="minorHAnsi" w:hAnsiTheme="minorHAnsi"/>
          <w:sz w:val="22"/>
          <w:szCs w:val="22"/>
        </w:rPr>
        <w:t>Owner households also were experiencing</w:t>
      </w:r>
      <w:r w:rsidRPr="00F64AAB">
        <w:rPr>
          <w:rFonts w:asciiTheme="minorHAnsi" w:hAnsiTheme="minorHAnsi"/>
          <w:sz w:val="22"/>
          <w:szCs w:val="22"/>
        </w:rPr>
        <w:t xml:space="preserve"> a higher proportion of unmet housing needs at </w:t>
      </w:r>
      <w:r>
        <w:rPr>
          <w:rFonts w:asciiTheme="minorHAnsi" w:hAnsiTheme="minorHAnsi"/>
          <w:sz w:val="22"/>
          <w:szCs w:val="22"/>
        </w:rPr>
        <w:t>63.3</w:t>
      </w:r>
      <w:r w:rsidRPr="00F64AAB">
        <w:rPr>
          <w:rFonts w:asciiTheme="minorHAnsi" w:hAnsiTheme="minorHAnsi"/>
          <w:sz w:val="22"/>
          <w:szCs w:val="22"/>
        </w:rPr>
        <w:t xml:space="preserve">% </w:t>
      </w:r>
      <w:r>
        <w:rPr>
          <w:rFonts w:asciiTheme="minorHAnsi" w:hAnsiTheme="minorHAnsi"/>
          <w:sz w:val="22"/>
          <w:szCs w:val="22"/>
        </w:rPr>
        <w:t xml:space="preserve">compared to 40.0% </w:t>
      </w:r>
      <w:r w:rsidRPr="00F64AAB">
        <w:rPr>
          <w:rFonts w:asciiTheme="minorHAnsi" w:hAnsiTheme="minorHAnsi"/>
          <w:sz w:val="22"/>
          <w:szCs w:val="22"/>
        </w:rPr>
        <w:t xml:space="preserve">for renters.  </w:t>
      </w:r>
    </w:p>
    <w:p w14:paraId="5612DC05" w14:textId="77777777" w:rsidR="00116C56" w:rsidRDefault="00116C56" w:rsidP="00116C56">
      <w:pPr>
        <w:pStyle w:val="BodyTextIndent"/>
        <w:tabs>
          <w:tab w:val="left" w:pos="0"/>
        </w:tabs>
        <w:spacing w:after="0"/>
        <w:ind w:left="0"/>
        <w:jc w:val="both"/>
        <w:rPr>
          <w:rFonts w:asciiTheme="minorHAnsi" w:hAnsiTheme="minorHAnsi"/>
          <w:sz w:val="22"/>
          <w:szCs w:val="22"/>
        </w:rPr>
      </w:pPr>
      <w:r>
        <w:rPr>
          <w:rFonts w:asciiTheme="minorHAnsi" w:hAnsiTheme="minorHAnsi"/>
          <w:sz w:val="22"/>
          <w:szCs w:val="22"/>
        </w:rPr>
        <w:t xml:space="preserve"> </w:t>
      </w:r>
    </w:p>
    <w:p w14:paraId="2C8F9518" w14:textId="755F3736" w:rsidR="00116C56" w:rsidRPr="00F64AAB" w:rsidRDefault="00116C56" w:rsidP="00116C56">
      <w:pPr>
        <w:pStyle w:val="BodyTextIndent"/>
        <w:tabs>
          <w:tab w:val="left" w:pos="0"/>
        </w:tabs>
        <w:spacing w:after="0"/>
        <w:ind w:left="0"/>
        <w:jc w:val="both"/>
        <w:rPr>
          <w:rFonts w:asciiTheme="minorHAnsi" w:hAnsiTheme="minorHAnsi"/>
          <w:bCs/>
          <w:sz w:val="22"/>
          <w:szCs w:val="22"/>
        </w:rPr>
      </w:pPr>
      <w:r>
        <w:rPr>
          <w:rFonts w:asciiTheme="minorHAnsi" w:hAnsiTheme="minorHAnsi"/>
          <w:bCs/>
          <w:sz w:val="22"/>
          <w:szCs w:val="22"/>
        </w:rPr>
        <w:t>There w</w:t>
      </w:r>
      <w:r w:rsidR="009A54F7">
        <w:rPr>
          <w:rFonts w:asciiTheme="minorHAnsi" w:hAnsiTheme="minorHAnsi"/>
          <w:bCs/>
          <w:sz w:val="22"/>
          <w:szCs w:val="22"/>
        </w:rPr>
        <w:t>ere</w:t>
      </w:r>
      <w:r>
        <w:rPr>
          <w:rFonts w:asciiTheme="minorHAnsi" w:hAnsiTheme="minorHAnsi"/>
          <w:bCs/>
          <w:sz w:val="22"/>
          <w:szCs w:val="22"/>
        </w:rPr>
        <w:t xml:space="preserve"> many more n</w:t>
      </w:r>
      <w:r w:rsidRPr="00F64AAB">
        <w:rPr>
          <w:rFonts w:asciiTheme="minorHAnsi" w:hAnsiTheme="minorHAnsi"/>
          <w:bCs/>
          <w:sz w:val="22"/>
          <w:szCs w:val="22"/>
        </w:rPr>
        <w:t>on-elderly, non-family households, mainly single individuals,</w:t>
      </w:r>
      <w:r>
        <w:rPr>
          <w:rFonts w:asciiTheme="minorHAnsi" w:hAnsiTheme="minorHAnsi"/>
          <w:bCs/>
          <w:sz w:val="22"/>
          <w:szCs w:val="22"/>
        </w:rPr>
        <w:t xml:space="preserve"> who were renting as opposed to owning their home, at 235 to 45 households, respectively.  Renters also had a higher</w:t>
      </w:r>
      <w:r w:rsidRPr="00F64AAB">
        <w:rPr>
          <w:rFonts w:asciiTheme="minorHAnsi" w:hAnsiTheme="minorHAnsi"/>
          <w:bCs/>
          <w:sz w:val="22"/>
          <w:szCs w:val="22"/>
        </w:rPr>
        <w:t xml:space="preserve"> </w:t>
      </w:r>
      <w:r>
        <w:rPr>
          <w:rFonts w:asciiTheme="minorHAnsi" w:hAnsiTheme="minorHAnsi"/>
          <w:bCs/>
          <w:sz w:val="22"/>
          <w:szCs w:val="22"/>
        </w:rPr>
        <w:t>level of</w:t>
      </w:r>
      <w:r w:rsidRPr="00F64AAB">
        <w:rPr>
          <w:rFonts w:asciiTheme="minorHAnsi" w:hAnsiTheme="minorHAnsi"/>
          <w:bCs/>
          <w:sz w:val="22"/>
          <w:szCs w:val="22"/>
        </w:rPr>
        <w:t xml:space="preserve"> unmet housing need at </w:t>
      </w:r>
      <w:r>
        <w:rPr>
          <w:rFonts w:asciiTheme="minorHAnsi" w:hAnsiTheme="minorHAnsi"/>
          <w:bCs/>
          <w:sz w:val="22"/>
          <w:szCs w:val="22"/>
        </w:rPr>
        <w:t>80.8% versus</w:t>
      </w:r>
      <w:r w:rsidRPr="00F64AAB">
        <w:rPr>
          <w:rFonts w:asciiTheme="minorHAnsi" w:hAnsiTheme="minorHAnsi"/>
          <w:bCs/>
          <w:sz w:val="22"/>
          <w:szCs w:val="22"/>
        </w:rPr>
        <w:t xml:space="preserve"> 6</w:t>
      </w:r>
      <w:r>
        <w:rPr>
          <w:rFonts w:asciiTheme="minorHAnsi" w:hAnsiTheme="minorHAnsi"/>
          <w:bCs/>
          <w:sz w:val="22"/>
          <w:szCs w:val="22"/>
        </w:rPr>
        <w:t>4.4</w:t>
      </w:r>
      <w:r w:rsidRPr="00F64AAB">
        <w:rPr>
          <w:rFonts w:asciiTheme="minorHAnsi" w:hAnsiTheme="minorHAnsi"/>
          <w:bCs/>
          <w:sz w:val="22"/>
          <w:szCs w:val="22"/>
        </w:rPr>
        <w:t>% for owners</w:t>
      </w:r>
      <w:r>
        <w:rPr>
          <w:rFonts w:asciiTheme="minorHAnsi" w:hAnsiTheme="minorHAnsi"/>
          <w:bCs/>
          <w:sz w:val="22"/>
          <w:szCs w:val="22"/>
        </w:rPr>
        <w:t xml:space="preserve"> or 29 owner households</w:t>
      </w:r>
      <w:r w:rsidRPr="00F64AAB">
        <w:rPr>
          <w:rFonts w:asciiTheme="minorHAnsi" w:hAnsiTheme="minorHAnsi"/>
          <w:bCs/>
          <w:sz w:val="22"/>
          <w:szCs w:val="22"/>
        </w:rPr>
        <w:t>.</w:t>
      </w:r>
    </w:p>
    <w:p w14:paraId="464B2340" w14:textId="77777777" w:rsidR="00842F21" w:rsidRDefault="00842F21" w:rsidP="00116C56">
      <w:pPr>
        <w:pStyle w:val="BodyTextIndent"/>
        <w:tabs>
          <w:tab w:val="left" w:pos="0"/>
        </w:tabs>
        <w:spacing w:after="0"/>
        <w:ind w:left="0"/>
        <w:jc w:val="both"/>
        <w:rPr>
          <w:rFonts w:asciiTheme="minorHAnsi" w:hAnsiTheme="minorHAnsi"/>
          <w:b/>
          <w:bCs/>
          <w:sz w:val="22"/>
          <w:szCs w:val="22"/>
        </w:rPr>
      </w:pPr>
    </w:p>
    <w:p w14:paraId="0532BB43" w14:textId="01921DD7" w:rsidR="00116C56" w:rsidRDefault="00116C56" w:rsidP="00116C56">
      <w:pPr>
        <w:pStyle w:val="BodyTextIndent"/>
        <w:tabs>
          <w:tab w:val="left" w:pos="0"/>
        </w:tabs>
        <w:spacing w:after="0"/>
        <w:ind w:left="0"/>
        <w:jc w:val="both"/>
        <w:rPr>
          <w:rFonts w:asciiTheme="minorHAnsi" w:hAnsiTheme="minorHAnsi"/>
          <w:b/>
          <w:bCs/>
          <w:sz w:val="22"/>
          <w:szCs w:val="22"/>
        </w:rPr>
      </w:pPr>
      <w:r w:rsidRPr="00F64AAB">
        <w:rPr>
          <w:rFonts w:asciiTheme="minorHAnsi" w:hAnsiTheme="minorHAnsi"/>
          <w:b/>
          <w:bCs/>
          <w:sz w:val="22"/>
          <w:szCs w:val="22"/>
        </w:rPr>
        <w:t>What is compellin</w:t>
      </w:r>
      <w:r>
        <w:rPr>
          <w:rFonts w:asciiTheme="minorHAnsi" w:hAnsiTheme="minorHAnsi"/>
          <w:b/>
          <w:bCs/>
          <w:sz w:val="22"/>
          <w:szCs w:val="22"/>
        </w:rPr>
        <w:t>g about this documentation</w:t>
      </w:r>
      <w:r w:rsidRPr="00F64AAB">
        <w:rPr>
          <w:rFonts w:asciiTheme="minorHAnsi" w:hAnsiTheme="minorHAnsi"/>
          <w:b/>
          <w:bCs/>
          <w:sz w:val="22"/>
          <w:szCs w:val="22"/>
        </w:rPr>
        <w:t xml:space="preserve"> is the very high level of unmet housing need for those </w:t>
      </w:r>
      <w:r>
        <w:rPr>
          <w:rFonts w:asciiTheme="minorHAnsi" w:hAnsiTheme="minorHAnsi"/>
          <w:b/>
          <w:bCs/>
          <w:sz w:val="22"/>
          <w:szCs w:val="22"/>
        </w:rPr>
        <w:t>with incomes</w:t>
      </w:r>
      <w:r w:rsidRPr="00F64AAB">
        <w:rPr>
          <w:rFonts w:asciiTheme="minorHAnsi" w:hAnsiTheme="minorHAnsi"/>
          <w:b/>
          <w:bCs/>
          <w:sz w:val="22"/>
          <w:szCs w:val="22"/>
        </w:rPr>
        <w:t xml:space="preserve"> at or below the 80% </w:t>
      </w:r>
      <w:r>
        <w:rPr>
          <w:rFonts w:asciiTheme="minorHAnsi" w:hAnsiTheme="minorHAnsi"/>
          <w:b/>
          <w:bCs/>
          <w:sz w:val="22"/>
          <w:szCs w:val="22"/>
        </w:rPr>
        <w:t>AM</w:t>
      </w:r>
      <w:r w:rsidRPr="00F64AAB">
        <w:rPr>
          <w:rFonts w:asciiTheme="minorHAnsi" w:hAnsiTheme="minorHAnsi"/>
          <w:b/>
          <w:bCs/>
          <w:sz w:val="22"/>
          <w:szCs w:val="22"/>
        </w:rPr>
        <w:t xml:space="preserve">I level.  Within these limited incomes, </w:t>
      </w:r>
      <w:r>
        <w:rPr>
          <w:rFonts w:asciiTheme="minorHAnsi" w:hAnsiTheme="minorHAnsi"/>
          <w:b/>
          <w:bCs/>
          <w:sz w:val="22"/>
          <w:szCs w:val="22"/>
        </w:rPr>
        <w:t xml:space="preserve">many </w:t>
      </w:r>
      <w:r w:rsidRPr="00F64AAB">
        <w:rPr>
          <w:rFonts w:asciiTheme="minorHAnsi" w:hAnsiTheme="minorHAnsi"/>
          <w:b/>
          <w:bCs/>
          <w:sz w:val="22"/>
          <w:szCs w:val="22"/>
        </w:rPr>
        <w:t xml:space="preserve">residents are struggling to </w:t>
      </w:r>
      <w:r>
        <w:rPr>
          <w:rFonts w:asciiTheme="minorHAnsi" w:hAnsiTheme="minorHAnsi"/>
          <w:b/>
          <w:bCs/>
          <w:sz w:val="22"/>
          <w:szCs w:val="22"/>
        </w:rPr>
        <w:t>remain</w:t>
      </w:r>
      <w:r w:rsidRPr="00F64AAB">
        <w:rPr>
          <w:rFonts w:asciiTheme="minorHAnsi" w:hAnsiTheme="minorHAnsi"/>
          <w:b/>
          <w:bCs/>
          <w:sz w:val="22"/>
          <w:szCs w:val="22"/>
        </w:rPr>
        <w:t xml:space="preserve"> in the community, </w:t>
      </w:r>
      <w:r w:rsidR="00000356">
        <w:rPr>
          <w:rFonts w:asciiTheme="minorHAnsi" w:hAnsiTheme="minorHAnsi"/>
          <w:b/>
          <w:bCs/>
          <w:sz w:val="22"/>
          <w:szCs w:val="22"/>
        </w:rPr>
        <w:t>some</w:t>
      </w:r>
      <w:r w:rsidRPr="00F64AAB">
        <w:rPr>
          <w:rFonts w:asciiTheme="minorHAnsi" w:hAnsiTheme="minorHAnsi"/>
          <w:b/>
          <w:bCs/>
          <w:sz w:val="22"/>
          <w:szCs w:val="22"/>
        </w:rPr>
        <w:t xml:space="preserve"> likely having to decide whether they pay their rent or mortgage versus </w:t>
      </w:r>
      <w:r w:rsidR="00000356">
        <w:rPr>
          <w:rFonts w:asciiTheme="minorHAnsi" w:hAnsiTheme="minorHAnsi"/>
          <w:b/>
          <w:bCs/>
          <w:sz w:val="22"/>
          <w:szCs w:val="22"/>
        </w:rPr>
        <w:t>utility bills</w:t>
      </w:r>
      <w:r w:rsidRPr="00F64AAB">
        <w:rPr>
          <w:rFonts w:asciiTheme="minorHAnsi" w:hAnsiTheme="minorHAnsi"/>
          <w:b/>
          <w:bCs/>
          <w:sz w:val="22"/>
          <w:szCs w:val="22"/>
        </w:rPr>
        <w:t>, medical prescriptions</w:t>
      </w:r>
      <w:r>
        <w:rPr>
          <w:rFonts w:asciiTheme="minorHAnsi" w:hAnsiTheme="minorHAnsi"/>
          <w:b/>
          <w:bCs/>
          <w:sz w:val="22"/>
          <w:szCs w:val="22"/>
        </w:rPr>
        <w:t>,</w:t>
      </w:r>
      <w:r w:rsidRPr="00F64AAB">
        <w:rPr>
          <w:rFonts w:asciiTheme="minorHAnsi" w:hAnsiTheme="minorHAnsi"/>
          <w:b/>
          <w:bCs/>
          <w:sz w:val="22"/>
          <w:szCs w:val="22"/>
        </w:rPr>
        <w:t xml:space="preserve"> or food</w:t>
      </w:r>
      <w:r>
        <w:rPr>
          <w:rFonts w:asciiTheme="minorHAnsi" w:hAnsiTheme="minorHAnsi"/>
          <w:b/>
          <w:bCs/>
          <w:sz w:val="22"/>
          <w:szCs w:val="22"/>
        </w:rPr>
        <w:t>.</w:t>
      </w:r>
    </w:p>
    <w:p w14:paraId="6A537304" w14:textId="77777777" w:rsidR="00DE60F9" w:rsidRDefault="00DE60F9" w:rsidP="00116C56">
      <w:pPr>
        <w:pStyle w:val="BodyTextIndent"/>
        <w:tabs>
          <w:tab w:val="left" w:pos="0"/>
        </w:tabs>
        <w:spacing w:after="0"/>
        <w:ind w:left="0"/>
        <w:jc w:val="both"/>
        <w:rPr>
          <w:rFonts w:asciiTheme="minorHAnsi" w:hAnsiTheme="minorHAnsi"/>
          <w:b/>
          <w:bCs/>
          <w:sz w:val="22"/>
          <w:szCs w:val="22"/>
        </w:rPr>
      </w:pPr>
    </w:p>
    <w:p w14:paraId="0737F2FF" w14:textId="1873F590" w:rsidR="00DE29B8" w:rsidRDefault="00DE29B8" w:rsidP="00DE29B8">
      <w:pPr>
        <w:ind w:right="-720"/>
        <w:jc w:val="center"/>
        <w:rPr>
          <w:rFonts w:ascii="Calibri" w:hAnsi="Calibri"/>
          <w:b/>
          <w:bCs/>
          <w:sz w:val="22"/>
          <w:szCs w:val="22"/>
        </w:rPr>
      </w:pPr>
      <w:r>
        <w:rPr>
          <w:rFonts w:ascii="Calibri" w:hAnsi="Calibri"/>
          <w:b/>
          <w:bCs/>
          <w:sz w:val="22"/>
          <w:szCs w:val="22"/>
        </w:rPr>
        <w:t xml:space="preserve">Table </w:t>
      </w:r>
      <w:r w:rsidR="00712F41">
        <w:rPr>
          <w:rFonts w:ascii="Calibri" w:hAnsi="Calibri"/>
          <w:b/>
          <w:bCs/>
          <w:sz w:val="22"/>
          <w:szCs w:val="22"/>
        </w:rPr>
        <w:t>III-43</w:t>
      </w:r>
      <w:r>
        <w:rPr>
          <w:rFonts w:ascii="Calibri" w:hAnsi="Calibri"/>
          <w:b/>
          <w:bCs/>
          <w:sz w:val="22"/>
          <w:szCs w:val="22"/>
        </w:rPr>
        <w:t xml:space="preserve">:  Unmet Housing Needs </w:t>
      </w: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1863"/>
        <w:gridCol w:w="2025"/>
        <w:gridCol w:w="2371"/>
      </w:tblGrid>
      <w:tr w:rsidR="00DE29B8" w14:paraId="3A074803" w14:textId="77777777" w:rsidTr="000C2892">
        <w:trPr>
          <w:jc w:val="center"/>
        </w:trPr>
        <w:tc>
          <w:tcPr>
            <w:tcW w:w="1486" w:type="pct"/>
          </w:tcPr>
          <w:p w14:paraId="0871D5D7" w14:textId="77777777" w:rsidR="00DE29B8" w:rsidRPr="00F64AAB" w:rsidRDefault="00DE29B8" w:rsidP="000A6E84">
            <w:pPr>
              <w:pStyle w:val="Heading8"/>
              <w:ind w:left="1440" w:hanging="1440"/>
              <w:rPr>
                <w:rFonts w:ascii="Calibri" w:hAnsi="Calibri"/>
                <w:b/>
                <w:bCs/>
                <w:szCs w:val="22"/>
              </w:rPr>
            </w:pPr>
          </w:p>
          <w:p w14:paraId="12254B3C" w14:textId="2522807C" w:rsidR="00DE29B8" w:rsidRPr="00F64AAB" w:rsidRDefault="00F677CD" w:rsidP="000A6E84">
            <w:pPr>
              <w:pStyle w:val="Heading8"/>
              <w:ind w:left="1440" w:hanging="1440"/>
              <w:rPr>
                <w:rFonts w:ascii="Calibri" w:hAnsi="Calibri"/>
                <w:b/>
                <w:bCs/>
                <w:szCs w:val="22"/>
              </w:rPr>
            </w:pPr>
            <w:r>
              <w:rPr>
                <w:rFonts w:ascii="Calibri" w:hAnsi="Calibri"/>
                <w:b/>
                <w:szCs w:val="22"/>
              </w:rPr>
              <w:t>Ta</w:t>
            </w:r>
            <w:r w:rsidR="00686300">
              <w:rPr>
                <w:rFonts w:ascii="Calibri" w:hAnsi="Calibri"/>
                <w:b/>
                <w:szCs w:val="22"/>
              </w:rPr>
              <w:t>r</w:t>
            </w:r>
            <w:r>
              <w:rPr>
                <w:rFonts w:ascii="Calibri" w:hAnsi="Calibri"/>
                <w:b/>
                <w:szCs w:val="22"/>
              </w:rPr>
              <w:t>get Populations</w:t>
            </w:r>
          </w:p>
        </w:tc>
        <w:tc>
          <w:tcPr>
            <w:tcW w:w="1046" w:type="pct"/>
          </w:tcPr>
          <w:p w14:paraId="3BC40421" w14:textId="77777777" w:rsidR="00DE29B8" w:rsidRPr="00F64AAB" w:rsidRDefault="00DE29B8" w:rsidP="000A6E84">
            <w:pPr>
              <w:ind w:right="-720"/>
              <w:rPr>
                <w:rFonts w:ascii="Calibri" w:hAnsi="Calibri"/>
                <w:b/>
                <w:bCs/>
              </w:rPr>
            </w:pPr>
          </w:p>
          <w:p w14:paraId="2A316B76" w14:textId="77777777" w:rsidR="00F677CD" w:rsidRDefault="00F677CD" w:rsidP="000A6E84">
            <w:pPr>
              <w:ind w:right="-720"/>
              <w:rPr>
                <w:rFonts w:ascii="Calibri" w:hAnsi="Calibri"/>
                <w:b/>
                <w:bCs/>
              </w:rPr>
            </w:pPr>
          </w:p>
          <w:p w14:paraId="69DF3CD4" w14:textId="5BB78335" w:rsidR="00DE29B8" w:rsidRPr="00F64AAB" w:rsidRDefault="00DE29B8" w:rsidP="000A6E84">
            <w:pPr>
              <w:ind w:right="-720"/>
              <w:rPr>
                <w:rFonts w:ascii="Calibri" w:hAnsi="Calibri"/>
                <w:b/>
                <w:bCs/>
              </w:rPr>
            </w:pPr>
            <w:r w:rsidRPr="00F64AAB">
              <w:rPr>
                <w:rFonts w:ascii="Calibri" w:hAnsi="Calibri"/>
                <w:b/>
                <w:bCs/>
                <w:sz w:val="22"/>
                <w:szCs w:val="22"/>
              </w:rPr>
              <w:t>All Units</w:t>
            </w:r>
          </w:p>
        </w:tc>
        <w:tc>
          <w:tcPr>
            <w:tcW w:w="1137" w:type="pct"/>
          </w:tcPr>
          <w:p w14:paraId="112BCE20" w14:textId="77777777" w:rsidR="00686300" w:rsidRDefault="00686300" w:rsidP="000A6E84">
            <w:pPr>
              <w:ind w:right="-720"/>
              <w:rPr>
                <w:rFonts w:ascii="Calibri" w:hAnsi="Calibri"/>
                <w:b/>
                <w:bCs/>
              </w:rPr>
            </w:pPr>
            <w:r>
              <w:rPr>
                <w:rFonts w:ascii="Calibri" w:hAnsi="Calibri"/>
                <w:b/>
                <w:bCs/>
                <w:sz w:val="22"/>
                <w:szCs w:val="22"/>
              </w:rPr>
              <w:t xml:space="preserve">Market Affordable </w:t>
            </w:r>
          </w:p>
          <w:p w14:paraId="7AE26FCB" w14:textId="0F44A6A9" w:rsidR="00F677CD" w:rsidRDefault="00686300" w:rsidP="000A6E84">
            <w:pPr>
              <w:ind w:right="-720"/>
              <w:rPr>
                <w:rFonts w:ascii="Calibri" w:hAnsi="Calibri"/>
                <w:b/>
                <w:bCs/>
              </w:rPr>
            </w:pPr>
            <w:r>
              <w:rPr>
                <w:rFonts w:ascii="Calibri" w:hAnsi="Calibri"/>
                <w:b/>
                <w:bCs/>
                <w:sz w:val="22"/>
                <w:szCs w:val="22"/>
              </w:rPr>
              <w:t xml:space="preserve">Units </w:t>
            </w:r>
            <w:r w:rsidR="00F677CD">
              <w:rPr>
                <w:rFonts w:ascii="Calibri" w:hAnsi="Calibri"/>
                <w:b/>
                <w:bCs/>
                <w:sz w:val="22"/>
                <w:szCs w:val="22"/>
              </w:rPr>
              <w:t xml:space="preserve">(Without Cost </w:t>
            </w:r>
          </w:p>
          <w:p w14:paraId="5068A2B3" w14:textId="18E7422D" w:rsidR="00F677CD" w:rsidRPr="00F64AAB" w:rsidRDefault="00F677CD" w:rsidP="00686300">
            <w:pPr>
              <w:ind w:right="-720"/>
              <w:rPr>
                <w:rFonts w:ascii="Calibri" w:hAnsi="Calibri"/>
                <w:b/>
                <w:bCs/>
              </w:rPr>
            </w:pPr>
            <w:r>
              <w:rPr>
                <w:rFonts w:ascii="Calibri" w:hAnsi="Calibri"/>
                <w:b/>
                <w:bCs/>
                <w:sz w:val="22"/>
                <w:szCs w:val="22"/>
              </w:rPr>
              <w:t>Burdens)</w:t>
            </w:r>
          </w:p>
        </w:tc>
        <w:tc>
          <w:tcPr>
            <w:tcW w:w="1331" w:type="pct"/>
          </w:tcPr>
          <w:p w14:paraId="593692A1" w14:textId="77777777" w:rsidR="00DE29B8" w:rsidRPr="00F64AAB" w:rsidRDefault="00DE29B8" w:rsidP="000A6E84">
            <w:pPr>
              <w:pStyle w:val="Heading8"/>
              <w:ind w:left="1440"/>
              <w:rPr>
                <w:rFonts w:ascii="Calibri" w:hAnsi="Calibri"/>
                <w:b/>
                <w:bCs/>
                <w:szCs w:val="22"/>
              </w:rPr>
            </w:pPr>
          </w:p>
          <w:p w14:paraId="1DA41005" w14:textId="77777777" w:rsidR="00DE29B8" w:rsidRPr="00F64AAB" w:rsidRDefault="00DE29B8" w:rsidP="000A6E84">
            <w:pPr>
              <w:pStyle w:val="Heading8"/>
              <w:ind w:left="1440" w:hanging="1440"/>
              <w:rPr>
                <w:rFonts w:ascii="Calibri" w:hAnsi="Calibri"/>
                <w:b/>
                <w:bCs/>
                <w:szCs w:val="22"/>
              </w:rPr>
            </w:pPr>
            <w:r w:rsidRPr="00F64AAB">
              <w:rPr>
                <w:rFonts w:ascii="Calibri" w:hAnsi="Calibri"/>
                <w:b/>
                <w:szCs w:val="22"/>
              </w:rPr>
              <w:t>Unmet Need*</w:t>
            </w:r>
          </w:p>
        </w:tc>
      </w:tr>
      <w:tr w:rsidR="00DE29B8" w14:paraId="117FD0E0" w14:textId="77777777" w:rsidTr="000C2892">
        <w:trPr>
          <w:jc w:val="center"/>
        </w:trPr>
        <w:tc>
          <w:tcPr>
            <w:tcW w:w="5000" w:type="pct"/>
            <w:gridSpan w:val="4"/>
            <w:shd w:val="clear" w:color="auto" w:fill="B6DDE8" w:themeFill="accent5" w:themeFillTint="66"/>
          </w:tcPr>
          <w:p w14:paraId="44627DC5" w14:textId="77777777" w:rsidR="00DE29B8" w:rsidRPr="00F64AAB" w:rsidRDefault="00DE29B8" w:rsidP="00F677CD">
            <w:pPr>
              <w:pStyle w:val="Heading8"/>
              <w:spacing w:before="0"/>
              <w:ind w:left="1440" w:hanging="1450"/>
              <w:rPr>
                <w:rFonts w:ascii="Calibri" w:hAnsi="Calibri"/>
                <w:b/>
                <w:bCs/>
              </w:rPr>
            </w:pPr>
            <w:r w:rsidRPr="00F64AAB">
              <w:rPr>
                <w:rFonts w:ascii="Calibri" w:hAnsi="Calibri"/>
                <w:b/>
              </w:rPr>
              <w:t>Rentals</w:t>
            </w:r>
          </w:p>
        </w:tc>
      </w:tr>
      <w:tr w:rsidR="00DE29B8" w14:paraId="0CEB8C44" w14:textId="77777777" w:rsidTr="000C2892">
        <w:trPr>
          <w:cantSplit/>
          <w:jc w:val="center"/>
        </w:trPr>
        <w:tc>
          <w:tcPr>
            <w:tcW w:w="1486" w:type="pct"/>
          </w:tcPr>
          <w:p w14:paraId="6F7CE0D6" w14:textId="77777777" w:rsidR="00DE29B8" w:rsidRDefault="00DE29B8" w:rsidP="000A6E84">
            <w:pPr>
              <w:ind w:right="-720"/>
              <w:rPr>
                <w:rFonts w:ascii="Calibri" w:hAnsi="Calibri"/>
                <w:sz w:val="20"/>
              </w:rPr>
            </w:pPr>
            <w:r>
              <w:rPr>
                <w:rFonts w:ascii="Calibri" w:hAnsi="Calibri"/>
                <w:sz w:val="20"/>
                <w:szCs w:val="22"/>
              </w:rPr>
              <w:t xml:space="preserve">Extremely Low Income </w:t>
            </w:r>
          </w:p>
          <w:p w14:paraId="24CA6C2D" w14:textId="77777777" w:rsidR="00DE29B8" w:rsidRDefault="00DE29B8" w:rsidP="000A6E84">
            <w:pPr>
              <w:ind w:right="-720"/>
              <w:rPr>
                <w:rFonts w:ascii="Calibri" w:hAnsi="Calibri"/>
                <w:sz w:val="20"/>
              </w:rPr>
            </w:pPr>
            <w:r>
              <w:rPr>
                <w:rFonts w:ascii="Calibri" w:hAnsi="Calibri"/>
                <w:sz w:val="20"/>
                <w:szCs w:val="22"/>
              </w:rPr>
              <w:t>(Within 30% AMI)</w:t>
            </w:r>
          </w:p>
        </w:tc>
        <w:tc>
          <w:tcPr>
            <w:tcW w:w="1046" w:type="pct"/>
            <w:vAlign w:val="center"/>
          </w:tcPr>
          <w:p w14:paraId="04A4CCB3" w14:textId="0DFF15AF" w:rsidR="00DE29B8" w:rsidRDefault="00EE73E2" w:rsidP="000A6E84">
            <w:pPr>
              <w:tabs>
                <w:tab w:val="left" w:pos="0"/>
              </w:tabs>
              <w:rPr>
                <w:rFonts w:ascii="Calibri" w:hAnsi="Calibri"/>
                <w:sz w:val="20"/>
              </w:rPr>
            </w:pPr>
            <w:r>
              <w:rPr>
                <w:rFonts w:ascii="Calibri" w:hAnsi="Calibri"/>
                <w:sz w:val="20"/>
              </w:rPr>
              <w:t>450</w:t>
            </w:r>
          </w:p>
        </w:tc>
        <w:tc>
          <w:tcPr>
            <w:tcW w:w="1137" w:type="pct"/>
            <w:vAlign w:val="center"/>
          </w:tcPr>
          <w:p w14:paraId="414D940B" w14:textId="5BA11B50" w:rsidR="00DE29B8" w:rsidRDefault="00EE73E2" w:rsidP="000A6E84">
            <w:pPr>
              <w:tabs>
                <w:tab w:val="left" w:pos="0"/>
              </w:tabs>
              <w:rPr>
                <w:rFonts w:ascii="Calibri" w:hAnsi="Calibri"/>
                <w:sz w:val="20"/>
              </w:rPr>
            </w:pPr>
            <w:r>
              <w:rPr>
                <w:rFonts w:ascii="Calibri" w:hAnsi="Calibri"/>
                <w:sz w:val="20"/>
              </w:rPr>
              <w:t>205</w:t>
            </w:r>
          </w:p>
        </w:tc>
        <w:tc>
          <w:tcPr>
            <w:tcW w:w="1331" w:type="pct"/>
            <w:vAlign w:val="center"/>
          </w:tcPr>
          <w:p w14:paraId="59DDD3B7" w14:textId="77777777" w:rsidR="00DE29B8" w:rsidRDefault="00EE73E2" w:rsidP="000A6E84">
            <w:pPr>
              <w:pStyle w:val="FootnoteText"/>
              <w:tabs>
                <w:tab w:val="left" w:pos="0"/>
              </w:tabs>
              <w:rPr>
                <w:rFonts w:ascii="Calibri" w:hAnsi="Calibri"/>
                <w:szCs w:val="24"/>
              </w:rPr>
            </w:pPr>
            <w:r>
              <w:rPr>
                <w:rFonts w:ascii="Calibri" w:hAnsi="Calibri"/>
                <w:szCs w:val="24"/>
              </w:rPr>
              <w:t>245</w:t>
            </w:r>
            <w:r w:rsidR="00DE29B8">
              <w:rPr>
                <w:rFonts w:ascii="Calibri" w:hAnsi="Calibri"/>
                <w:szCs w:val="24"/>
              </w:rPr>
              <w:t xml:space="preserve"> (</w:t>
            </w:r>
            <w:r>
              <w:rPr>
                <w:rFonts w:ascii="Calibri" w:hAnsi="Calibri"/>
                <w:szCs w:val="24"/>
              </w:rPr>
              <w:t>54.4</w:t>
            </w:r>
            <w:r w:rsidR="00DE29B8">
              <w:rPr>
                <w:rFonts w:ascii="Calibri" w:hAnsi="Calibri"/>
                <w:szCs w:val="24"/>
              </w:rPr>
              <w:t>% of units)</w:t>
            </w:r>
          </w:p>
          <w:p w14:paraId="5835397E" w14:textId="0912C847" w:rsidR="000C2892" w:rsidRDefault="000C2892" w:rsidP="000A6E84">
            <w:pPr>
              <w:pStyle w:val="FootnoteText"/>
              <w:tabs>
                <w:tab w:val="left" w:pos="0"/>
              </w:tabs>
              <w:rPr>
                <w:rFonts w:ascii="Calibri" w:hAnsi="Calibri"/>
                <w:szCs w:val="24"/>
              </w:rPr>
            </w:pPr>
            <w:r>
              <w:rPr>
                <w:rFonts w:ascii="Calibri" w:hAnsi="Calibri"/>
                <w:szCs w:val="24"/>
              </w:rPr>
              <w:t>215 with severe burdens</w:t>
            </w:r>
          </w:p>
        </w:tc>
      </w:tr>
      <w:tr w:rsidR="00DE29B8" w14:paraId="40CA9093" w14:textId="77777777" w:rsidTr="000C2892">
        <w:trPr>
          <w:cantSplit/>
          <w:jc w:val="center"/>
        </w:trPr>
        <w:tc>
          <w:tcPr>
            <w:tcW w:w="1486" w:type="pct"/>
          </w:tcPr>
          <w:p w14:paraId="4370B8FC" w14:textId="77777777" w:rsidR="00DE29B8" w:rsidRDefault="00DE29B8" w:rsidP="000A6E84">
            <w:pPr>
              <w:ind w:right="-720"/>
              <w:rPr>
                <w:rFonts w:ascii="Calibri" w:hAnsi="Calibri"/>
                <w:sz w:val="20"/>
              </w:rPr>
            </w:pPr>
            <w:r>
              <w:rPr>
                <w:rFonts w:ascii="Calibri" w:hAnsi="Calibri"/>
                <w:sz w:val="20"/>
                <w:szCs w:val="22"/>
              </w:rPr>
              <w:t>Very Low Income (30% to</w:t>
            </w:r>
          </w:p>
          <w:p w14:paraId="567582CC" w14:textId="77777777" w:rsidR="00DE29B8" w:rsidRDefault="00DE29B8" w:rsidP="000A6E84">
            <w:pPr>
              <w:ind w:right="-720"/>
              <w:rPr>
                <w:rFonts w:ascii="Calibri" w:hAnsi="Calibri"/>
                <w:sz w:val="20"/>
              </w:rPr>
            </w:pPr>
            <w:r>
              <w:rPr>
                <w:rFonts w:ascii="Calibri" w:hAnsi="Calibri"/>
                <w:sz w:val="20"/>
                <w:szCs w:val="22"/>
              </w:rPr>
              <w:t>50% AMI)</w:t>
            </w:r>
          </w:p>
        </w:tc>
        <w:tc>
          <w:tcPr>
            <w:tcW w:w="1046" w:type="pct"/>
            <w:vAlign w:val="center"/>
          </w:tcPr>
          <w:p w14:paraId="7527B17C" w14:textId="1301C690" w:rsidR="00DE29B8" w:rsidRDefault="00EE73E2" w:rsidP="000A6E84">
            <w:pPr>
              <w:tabs>
                <w:tab w:val="left" w:pos="0"/>
              </w:tabs>
              <w:rPr>
                <w:rFonts w:ascii="Calibri" w:hAnsi="Calibri"/>
                <w:sz w:val="20"/>
              </w:rPr>
            </w:pPr>
            <w:r>
              <w:rPr>
                <w:rFonts w:ascii="Calibri" w:hAnsi="Calibri"/>
                <w:sz w:val="20"/>
              </w:rPr>
              <w:t>405</w:t>
            </w:r>
          </w:p>
        </w:tc>
        <w:tc>
          <w:tcPr>
            <w:tcW w:w="1137" w:type="pct"/>
            <w:vAlign w:val="center"/>
          </w:tcPr>
          <w:p w14:paraId="0ED0D909" w14:textId="7DD9BE99" w:rsidR="00DE29B8" w:rsidRDefault="00EE73E2" w:rsidP="000A6E84">
            <w:pPr>
              <w:tabs>
                <w:tab w:val="left" w:pos="0"/>
              </w:tabs>
              <w:rPr>
                <w:rFonts w:ascii="Calibri" w:hAnsi="Calibri"/>
                <w:sz w:val="20"/>
              </w:rPr>
            </w:pPr>
            <w:r>
              <w:rPr>
                <w:rFonts w:ascii="Calibri" w:hAnsi="Calibri"/>
                <w:sz w:val="20"/>
              </w:rPr>
              <w:t>150</w:t>
            </w:r>
          </w:p>
        </w:tc>
        <w:tc>
          <w:tcPr>
            <w:tcW w:w="1331" w:type="pct"/>
            <w:vAlign w:val="center"/>
          </w:tcPr>
          <w:p w14:paraId="2094D836" w14:textId="77777777" w:rsidR="00DE29B8" w:rsidRDefault="000C2892" w:rsidP="000A6E84">
            <w:pPr>
              <w:tabs>
                <w:tab w:val="left" w:pos="0"/>
              </w:tabs>
              <w:rPr>
                <w:rFonts w:ascii="Calibri" w:hAnsi="Calibri"/>
                <w:sz w:val="20"/>
              </w:rPr>
            </w:pPr>
            <w:r>
              <w:rPr>
                <w:rFonts w:ascii="Calibri" w:hAnsi="Calibri"/>
                <w:sz w:val="20"/>
              </w:rPr>
              <w:t>255</w:t>
            </w:r>
            <w:r w:rsidR="00DE29B8">
              <w:rPr>
                <w:rFonts w:ascii="Calibri" w:hAnsi="Calibri"/>
                <w:sz w:val="20"/>
              </w:rPr>
              <w:t xml:space="preserve"> (</w:t>
            </w:r>
            <w:r>
              <w:rPr>
                <w:rFonts w:ascii="Calibri" w:hAnsi="Calibri"/>
                <w:sz w:val="20"/>
              </w:rPr>
              <w:t>63.0</w:t>
            </w:r>
            <w:r w:rsidR="00DE29B8">
              <w:rPr>
                <w:rFonts w:ascii="Calibri" w:hAnsi="Calibri"/>
                <w:sz w:val="20"/>
              </w:rPr>
              <w:t>%)</w:t>
            </w:r>
          </w:p>
          <w:p w14:paraId="7D22F2D3" w14:textId="4C88F811" w:rsidR="000C2892" w:rsidRDefault="000C2892" w:rsidP="000A6E84">
            <w:pPr>
              <w:tabs>
                <w:tab w:val="left" w:pos="0"/>
              </w:tabs>
              <w:rPr>
                <w:rFonts w:ascii="Calibri" w:hAnsi="Calibri"/>
                <w:sz w:val="20"/>
              </w:rPr>
            </w:pPr>
            <w:r>
              <w:rPr>
                <w:rFonts w:ascii="Calibri" w:hAnsi="Calibri"/>
                <w:sz w:val="20"/>
              </w:rPr>
              <w:t>180 with severe burdens</w:t>
            </w:r>
          </w:p>
        </w:tc>
      </w:tr>
      <w:tr w:rsidR="00DE29B8" w14:paraId="30FF953F" w14:textId="77777777" w:rsidTr="000C2892">
        <w:trPr>
          <w:cantSplit/>
          <w:jc w:val="center"/>
        </w:trPr>
        <w:tc>
          <w:tcPr>
            <w:tcW w:w="1486" w:type="pct"/>
            <w:tcBorders>
              <w:bottom w:val="single" w:sz="4" w:space="0" w:color="auto"/>
            </w:tcBorders>
          </w:tcPr>
          <w:p w14:paraId="36191E10" w14:textId="77777777" w:rsidR="00DE29B8" w:rsidRDefault="00DE29B8" w:rsidP="000A6E84">
            <w:pPr>
              <w:ind w:right="-720"/>
              <w:rPr>
                <w:rFonts w:ascii="Calibri" w:hAnsi="Calibri"/>
                <w:sz w:val="20"/>
              </w:rPr>
            </w:pPr>
            <w:r>
              <w:rPr>
                <w:rFonts w:ascii="Calibri" w:hAnsi="Calibri"/>
                <w:sz w:val="20"/>
                <w:szCs w:val="22"/>
              </w:rPr>
              <w:t>Low to Moderate</w:t>
            </w:r>
          </w:p>
          <w:p w14:paraId="7CA30A4D" w14:textId="77777777" w:rsidR="00DE29B8" w:rsidRDefault="00DE29B8" w:rsidP="000A6E84">
            <w:pPr>
              <w:ind w:right="-720"/>
              <w:rPr>
                <w:rFonts w:ascii="Calibri" w:hAnsi="Calibri"/>
                <w:sz w:val="20"/>
              </w:rPr>
            </w:pPr>
            <w:r>
              <w:rPr>
                <w:rFonts w:ascii="Calibri" w:hAnsi="Calibri"/>
                <w:sz w:val="20"/>
                <w:szCs w:val="22"/>
              </w:rPr>
              <w:t>Income (50% to 80% AMI)</w:t>
            </w:r>
          </w:p>
        </w:tc>
        <w:tc>
          <w:tcPr>
            <w:tcW w:w="1046" w:type="pct"/>
            <w:tcBorders>
              <w:bottom w:val="single" w:sz="4" w:space="0" w:color="auto"/>
            </w:tcBorders>
            <w:vAlign w:val="center"/>
          </w:tcPr>
          <w:p w14:paraId="15CF188C" w14:textId="3EC7D7DA" w:rsidR="00DE29B8" w:rsidRDefault="00EE73E2" w:rsidP="000A6E84">
            <w:pPr>
              <w:tabs>
                <w:tab w:val="left" w:pos="0"/>
              </w:tabs>
              <w:rPr>
                <w:rFonts w:ascii="Calibri" w:hAnsi="Calibri"/>
                <w:sz w:val="20"/>
              </w:rPr>
            </w:pPr>
            <w:r>
              <w:rPr>
                <w:rFonts w:ascii="Calibri" w:hAnsi="Calibri"/>
                <w:sz w:val="20"/>
              </w:rPr>
              <w:t>175</w:t>
            </w:r>
          </w:p>
        </w:tc>
        <w:tc>
          <w:tcPr>
            <w:tcW w:w="1137" w:type="pct"/>
            <w:tcBorders>
              <w:bottom w:val="single" w:sz="4" w:space="0" w:color="auto"/>
            </w:tcBorders>
            <w:vAlign w:val="center"/>
          </w:tcPr>
          <w:p w14:paraId="44ED6DFA" w14:textId="43932FF1" w:rsidR="00DE29B8" w:rsidRDefault="000C2892" w:rsidP="000A6E84">
            <w:pPr>
              <w:tabs>
                <w:tab w:val="left" w:pos="0"/>
              </w:tabs>
              <w:rPr>
                <w:rFonts w:ascii="Calibri" w:hAnsi="Calibri"/>
                <w:sz w:val="20"/>
              </w:rPr>
            </w:pPr>
            <w:r>
              <w:rPr>
                <w:rFonts w:ascii="Calibri" w:hAnsi="Calibri"/>
                <w:sz w:val="20"/>
              </w:rPr>
              <w:t>55</w:t>
            </w:r>
          </w:p>
        </w:tc>
        <w:tc>
          <w:tcPr>
            <w:tcW w:w="1331" w:type="pct"/>
            <w:tcBorders>
              <w:bottom w:val="single" w:sz="4" w:space="0" w:color="auto"/>
            </w:tcBorders>
            <w:vAlign w:val="center"/>
          </w:tcPr>
          <w:p w14:paraId="77EAAB6E" w14:textId="77777777" w:rsidR="00DE29B8" w:rsidRDefault="000C2892" w:rsidP="000A6E84">
            <w:pPr>
              <w:tabs>
                <w:tab w:val="left" w:pos="0"/>
              </w:tabs>
              <w:rPr>
                <w:rFonts w:ascii="Calibri" w:hAnsi="Calibri"/>
                <w:sz w:val="20"/>
              </w:rPr>
            </w:pPr>
            <w:r>
              <w:rPr>
                <w:rFonts w:ascii="Calibri" w:hAnsi="Calibri"/>
                <w:sz w:val="20"/>
              </w:rPr>
              <w:t>120</w:t>
            </w:r>
            <w:r w:rsidR="00DE29B8">
              <w:rPr>
                <w:rFonts w:ascii="Calibri" w:hAnsi="Calibri"/>
                <w:sz w:val="20"/>
              </w:rPr>
              <w:t xml:space="preserve"> (</w:t>
            </w:r>
            <w:r>
              <w:rPr>
                <w:rFonts w:ascii="Calibri" w:hAnsi="Calibri"/>
                <w:sz w:val="20"/>
              </w:rPr>
              <w:t>68.6</w:t>
            </w:r>
            <w:r w:rsidR="00DE29B8">
              <w:rPr>
                <w:rFonts w:ascii="Calibri" w:hAnsi="Calibri"/>
                <w:sz w:val="20"/>
              </w:rPr>
              <w:t>%)</w:t>
            </w:r>
          </w:p>
          <w:p w14:paraId="63A0F5B9" w14:textId="7E698685" w:rsidR="000C2892" w:rsidRDefault="000C2892" w:rsidP="000A6E84">
            <w:pPr>
              <w:tabs>
                <w:tab w:val="left" w:pos="0"/>
              </w:tabs>
              <w:rPr>
                <w:rFonts w:ascii="Calibri" w:hAnsi="Calibri"/>
                <w:sz w:val="20"/>
              </w:rPr>
            </w:pPr>
            <w:r>
              <w:rPr>
                <w:rFonts w:ascii="Calibri" w:hAnsi="Calibri"/>
                <w:sz w:val="20"/>
              </w:rPr>
              <w:t>None with severe burdens</w:t>
            </w:r>
          </w:p>
        </w:tc>
      </w:tr>
      <w:tr w:rsidR="00DE29B8" w14:paraId="1D3D029F" w14:textId="77777777" w:rsidTr="000C2892">
        <w:trPr>
          <w:cantSplit/>
          <w:jc w:val="center"/>
        </w:trPr>
        <w:tc>
          <w:tcPr>
            <w:tcW w:w="1486" w:type="pct"/>
            <w:tcBorders>
              <w:bottom w:val="single" w:sz="4" w:space="0" w:color="auto"/>
            </w:tcBorders>
          </w:tcPr>
          <w:p w14:paraId="1E771BA7" w14:textId="77777777" w:rsidR="00650AE4" w:rsidRDefault="00650AE4" w:rsidP="000A6E84">
            <w:pPr>
              <w:ind w:right="-720"/>
              <w:rPr>
                <w:rFonts w:ascii="Calibri" w:hAnsi="Calibri"/>
                <w:i/>
                <w:sz w:val="20"/>
              </w:rPr>
            </w:pPr>
          </w:p>
          <w:p w14:paraId="580D5FF6" w14:textId="75F6F738" w:rsidR="00DE29B8" w:rsidRPr="00101E50" w:rsidRDefault="00DE29B8" w:rsidP="000A6E84">
            <w:pPr>
              <w:ind w:right="-720"/>
              <w:rPr>
                <w:rFonts w:ascii="Calibri" w:hAnsi="Calibri"/>
                <w:i/>
                <w:sz w:val="20"/>
              </w:rPr>
            </w:pPr>
            <w:r w:rsidRPr="00101E50">
              <w:rPr>
                <w:rFonts w:ascii="Calibri" w:hAnsi="Calibri"/>
                <w:i/>
                <w:sz w:val="20"/>
                <w:szCs w:val="22"/>
              </w:rPr>
              <w:t>Subtotal</w:t>
            </w:r>
          </w:p>
        </w:tc>
        <w:tc>
          <w:tcPr>
            <w:tcW w:w="1046" w:type="pct"/>
            <w:tcBorders>
              <w:bottom w:val="single" w:sz="4" w:space="0" w:color="auto"/>
            </w:tcBorders>
            <w:vAlign w:val="center"/>
          </w:tcPr>
          <w:p w14:paraId="1427448D" w14:textId="08C7398A" w:rsidR="00DE29B8" w:rsidRPr="00E81F2E" w:rsidRDefault="00EE73E2" w:rsidP="000A6E84">
            <w:pPr>
              <w:tabs>
                <w:tab w:val="left" w:pos="0"/>
              </w:tabs>
              <w:rPr>
                <w:rFonts w:ascii="Calibri" w:hAnsi="Calibri"/>
                <w:i/>
                <w:sz w:val="20"/>
              </w:rPr>
            </w:pPr>
            <w:r>
              <w:rPr>
                <w:rFonts w:ascii="Calibri" w:hAnsi="Calibri"/>
                <w:i/>
                <w:sz w:val="20"/>
              </w:rPr>
              <w:t>1,030</w:t>
            </w:r>
          </w:p>
        </w:tc>
        <w:tc>
          <w:tcPr>
            <w:tcW w:w="1137" w:type="pct"/>
            <w:tcBorders>
              <w:bottom w:val="single" w:sz="4" w:space="0" w:color="auto"/>
            </w:tcBorders>
            <w:vAlign w:val="center"/>
          </w:tcPr>
          <w:p w14:paraId="417D8314" w14:textId="440DBAFF" w:rsidR="00DE29B8" w:rsidRPr="00E81F2E" w:rsidRDefault="000C2892" w:rsidP="000A6E84">
            <w:pPr>
              <w:tabs>
                <w:tab w:val="left" w:pos="0"/>
              </w:tabs>
              <w:rPr>
                <w:rFonts w:ascii="Calibri" w:hAnsi="Calibri"/>
                <w:i/>
                <w:sz w:val="20"/>
              </w:rPr>
            </w:pPr>
            <w:r>
              <w:rPr>
                <w:rFonts w:ascii="Calibri" w:hAnsi="Calibri"/>
                <w:i/>
                <w:sz w:val="20"/>
              </w:rPr>
              <w:t>410</w:t>
            </w:r>
          </w:p>
        </w:tc>
        <w:tc>
          <w:tcPr>
            <w:tcW w:w="1331" w:type="pct"/>
            <w:tcBorders>
              <w:bottom w:val="single" w:sz="4" w:space="0" w:color="auto"/>
            </w:tcBorders>
            <w:vAlign w:val="center"/>
          </w:tcPr>
          <w:p w14:paraId="4558722D" w14:textId="77777777" w:rsidR="00DE29B8" w:rsidRDefault="000C2892" w:rsidP="000A6E84">
            <w:pPr>
              <w:tabs>
                <w:tab w:val="left" w:pos="0"/>
              </w:tabs>
              <w:rPr>
                <w:rFonts w:ascii="Calibri" w:hAnsi="Calibri"/>
                <w:i/>
                <w:sz w:val="20"/>
              </w:rPr>
            </w:pPr>
            <w:r>
              <w:rPr>
                <w:rFonts w:ascii="Calibri" w:hAnsi="Calibri"/>
                <w:i/>
                <w:sz w:val="20"/>
              </w:rPr>
              <w:t>620</w:t>
            </w:r>
            <w:r w:rsidR="00DE29B8">
              <w:rPr>
                <w:rFonts w:ascii="Calibri" w:hAnsi="Calibri"/>
                <w:i/>
                <w:sz w:val="20"/>
              </w:rPr>
              <w:t xml:space="preserve"> (</w:t>
            </w:r>
            <w:r>
              <w:rPr>
                <w:rFonts w:ascii="Calibri" w:hAnsi="Calibri"/>
                <w:i/>
                <w:sz w:val="20"/>
              </w:rPr>
              <w:t>60.2</w:t>
            </w:r>
            <w:r w:rsidR="00DE29B8">
              <w:rPr>
                <w:rFonts w:ascii="Calibri" w:hAnsi="Calibri"/>
                <w:i/>
                <w:sz w:val="20"/>
              </w:rPr>
              <w:t>%)</w:t>
            </w:r>
          </w:p>
          <w:p w14:paraId="03BE9D0D" w14:textId="77777777" w:rsidR="000C2892" w:rsidRDefault="000C2892" w:rsidP="000A6E84">
            <w:pPr>
              <w:tabs>
                <w:tab w:val="left" w:pos="0"/>
              </w:tabs>
              <w:rPr>
                <w:rFonts w:ascii="Calibri" w:hAnsi="Calibri"/>
                <w:i/>
                <w:sz w:val="20"/>
              </w:rPr>
            </w:pPr>
            <w:r>
              <w:rPr>
                <w:rFonts w:ascii="Calibri" w:hAnsi="Calibri"/>
                <w:i/>
                <w:sz w:val="20"/>
              </w:rPr>
              <w:t>395 or 38.4% with severe</w:t>
            </w:r>
          </w:p>
          <w:p w14:paraId="071A7667" w14:textId="4EFA7CD5" w:rsidR="000C2892" w:rsidRPr="00E81F2E" w:rsidRDefault="000C2892" w:rsidP="000A6E84">
            <w:pPr>
              <w:tabs>
                <w:tab w:val="left" w:pos="0"/>
              </w:tabs>
              <w:rPr>
                <w:rFonts w:ascii="Calibri" w:hAnsi="Calibri"/>
                <w:i/>
                <w:sz w:val="20"/>
              </w:rPr>
            </w:pPr>
            <w:r>
              <w:rPr>
                <w:rFonts w:ascii="Calibri" w:hAnsi="Calibri"/>
                <w:i/>
                <w:sz w:val="20"/>
              </w:rPr>
              <w:t>burdens</w:t>
            </w:r>
          </w:p>
        </w:tc>
      </w:tr>
      <w:tr w:rsidR="00DE29B8" w14:paraId="7D53F7DA" w14:textId="77777777" w:rsidTr="000C2892">
        <w:trPr>
          <w:cantSplit/>
          <w:jc w:val="center"/>
        </w:trPr>
        <w:tc>
          <w:tcPr>
            <w:tcW w:w="1486" w:type="pct"/>
            <w:tcBorders>
              <w:bottom w:val="single" w:sz="4" w:space="0" w:color="auto"/>
            </w:tcBorders>
          </w:tcPr>
          <w:p w14:paraId="489A3FE3" w14:textId="77777777" w:rsidR="00DE29B8" w:rsidRDefault="00DE29B8" w:rsidP="000A6E84">
            <w:pPr>
              <w:ind w:right="-720"/>
              <w:rPr>
                <w:rFonts w:ascii="Calibri" w:hAnsi="Calibri"/>
                <w:sz w:val="20"/>
              </w:rPr>
            </w:pPr>
            <w:r>
              <w:rPr>
                <w:rFonts w:ascii="Calibri" w:hAnsi="Calibri"/>
                <w:sz w:val="20"/>
                <w:szCs w:val="22"/>
              </w:rPr>
              <w:t>80% to 100% AMI</w:t>
            </w:r>
          </w:p>
        </w:tc>
        <w:tc>
          <w:tcPr>
            <w:tcW w:w="1046" w:type="pct"/>
            <w:tcBorders>
              <w:bottom w:val="single" w:sz="4" w:space="0" w:color="auto"/>
            </w:tcBorders>
            <w:vAlign w:val="center"/>
          </w:tcPr>
          <w:p w14:paraId="6091D528" w14:textId="3216246F" w:rsidR="00DE29B8" w:rsidRDefault="00EE73E2" w:rsidP="000A6E84">
            <w:pPr>
              <w:tabs>
                <w:tab w:val="left" w:pos="0"/>
              </w:tabs>
              <w:rPr>
                <w:rFonts w:ascii="Calibri" w:hAnsi="Calibri"/>
                <w:sz w:val="20"/>
              </w:rPr>
            </w:pPr>
            <w:r>
              <w:rPr>
                <w:rFonts w:ascii="Calibri" w:hAnsi="Calibri"/>
                <w:sz w:val="20"/>
              </w:rPr>
              <w:t>205</w:t>
            </w:r>
          </w:p>
        </w:tc>
        <w:tc>
          <w:tcPr>
            <w:tcW w:w="1137" w:type="pct"/>
            <w:tcBorders>
              <w:bottom w:val="single" w:sz="4" w:space="0" w:color="auto"/>
            </w:tcBorders>
            <w:vAlign w:val="center"/>
          </w:tcPr>
          <w:p w14:paraId="55AB5CBC" w14:textId="0B0EE824" w:rsidR="00DE29B8" w:rsidRDefault="000C2892" w:rsidP="000A6E84">
            <w:pPr>
              <w:tabs>
                <w:tab w:val="left" w:pos="0"/>
              </w:tabs>
              <w:rPr>
                <w:rFonts w:ascii="Calibri" w:hAnsi="Calibri"/>
                <w:sz w:val="20"/>
              </w:rPr>
            </w:pPr>
            <w:r>
              <w:rPr>
                <w:rFonts w:ascii="Calibri" w:hAnsi="Calibri"/>
                <w:sz w:val="20"/>
              </w:rPr>
              <w:t>145</w:t>
            </w:r>
          </w:p>
        </w:tc>
        <w:tc>
          <w:tcPr>
            <w:tcW w:w="1331" w:type="pct"/>
            <w:tcBorders>
              <w:bottom w:val="single" w:sz="4" w:space="0" w:color="auto"/>
            </w:tcBorders>
            <w:vAlign w:val="center"/>
          </w:tcPr>
          <w:p w14:paraId="0FCB83E8" w14:textId="77777777" w:rsidR="00DE29B8" w:rsidRDefault="000C2892" w:rsidP="000A6E84">
            <w:pPr>
              <w:tabs>
                <w:tab w:val="left" w:pos="0"/>
              </w:tabs>
              <w:rPr>
                <w:rFonts w:ascii="Calibri" w:hAnsi="Calibri"/>
                <w:sz w:val="20"/>
              </w:rPr>
            </w:pPr>
            <w:r>
              <w:rPr>
                <w:rFonts w:ascii="Calibri" w:hAnsi="Calibri"/>
                <w:sz w:val="20"/>
              </w:rPr>
              <w:t>60</w:t>
            </w:r>
            <w:r w:rsidR="00DE29B8">
              <w:rPr>
                <w:rFonts w:ascii="Calibri" w:hAnsi="Calibri"/>
                <w:sz w:val="20"/>
              </w:rPr>
              <w:t xml:space="preserve"> (</w:t>
            </w:r>
            <w:r w:rsidR="00EA031F">
              <w:rPr>
                <w:rFonts w:ascii="Calibri" w:hAnsi="Calibri"/>
                <w:sz w:val="20"/>
              </w:rPr>
              <w:t>29.3</w:t>
            </w:r>
            <w:r w:rsidR="00DE29B8">
              <w:rPr>
                <w:rFonts w:ascii="Calibri" w:hAnsi="Calibri"/>
                <w:sz w:val="20"/>
              </w:rPr>
              <w:t>%)</w:t>
            </w:r>
          </w:p>
          <w:p w14:paraId="2A118625" w14:textId="1F07838A" w:rsidR="00EA031F" w:rsidRDefault="00EA031F" w:rsidP="000A6E84">
            <w:pPr>
              <w:tabs>
                <w:tab w:val="left" w:pos="0"/>
              </w:tabs>
              <w:rPr>
                <w:rFonts w:ascii="Calibri" w:hAnsi="Calibri"/>
                <w:sz w:val="20"/>
              </w:rPr>
            </w:pPr>
            <w:r>
              <w:rPr>
                <w:rFonts w:ascii="Calibri" w:hAnsi="Calibri"/>
                <w:sz w:val="20"/>
              </w:rPr>
              <w:t>35 with severe burdens</w:t>
            </w:r>
          </w:p>
        </w:tc>
      </w:tr>
      <w:tr w:rsidR="00DE29B8" w14:paraId="031CC6A6" w14:textId="77777777" w:rsidTr="000C2892">
        <w:trPr>
          <w:cantSplit/>
          <w:jc w:val="center"/>
        </w:trPr>
        <w:tc>
          <w:tcPr>
            <w:tcW w:w="1486" w:type="pct"/>
            <w:tcBorders>
              <w:bottom w:val="single" w:sz="4" w:space="0" w:color="auto"/>
            </w:tcBorders>
          </w:tcPr>
          <w:p w14:paraId="1958722A" w14:textId="77777777" w:rsidR="00DE29B8" w:rsidRDefault="00DE29B8" w:rsidP="000A6E84">
            <w:pPr>
              <w:ind w:right="-720"/>
              <w:rPr>
                <w:rFonts w:ascii="Calibri" w:hAnsi="Calibri"/>
                <w:sz w:val="20"/>
              </w:rPr>
            </w:pPr>
            <w:r>
              <w:rPr>
                <w:rFonts w:ascii="Calibri" w:hAnsi="Calibri"/>
                <w:sz w:val="20"/>
                <w:szCs w:val="22"/>
              </w:rPr>
              <w:t>Above 100% AMI</w:t>
            </w:r>
          </w:p>
        </w:tc>
        <w:tc>
          <w:tcPr>
            <w:tcW w:w="1046" w:type="pct"/>
            <w:tcBorders>
              <w:bottom w:val="single" w:sz="4" w:space="0" w:color="auto"/>
            </w:tcBorders>
            <w:vAlign w:val="center"/>
          </w:tcPr>
          <w:p w14:paraId="7120746B" w14:textId="5096C231" w:rsidR="00DE29B8" w:rsidRDefault="00EE73E2" w:rsidP="000A6E84">
            <w:pPr>
              <w:tabs>
                <w:tab w:val="left" w:pos="0"/>
              </w:tabs>
              <w:rPr>
                <w:rFonts w:ascii="Calibri" w:hAnsi="Calibri"/>
                <w:sz w:val="20"/>
              </w:rPr>
            </w:pPr>
            <w:r>
              <w:rPr>
                <w:rFonts w:ascii="Calibri" w:hAnsi="Calibri"/>
                <w:sz w:val="20"/>
              </w:rPr>
              <w:t>575</w:t>
            </w:r>
          </w:p>
        </w:tc>
        <w:tc>
          <w:tcPr>
            <w:tcW w:w="1137" w:type="pct"/>
            <w:tcBorders>
              <w:bottom w:val="single" w:sz="4" w:space="0" w:color="auto"/>
            </w:tcBorders>
            <w:vAlign w:val="center"/>
          </w:tcPr>
          <w:p w14:paraId="051F31CC" w14:textId="140904F5" w:rsidR="00DE29B8" w:rsidRDefault="00EA031F" w:rsidP="000A6E84">
            <w:pPr>
              <w:tabs>
                <w:tab w:val="left" w:pos="0"/>
              </w:tabs>
              <w:rPr>
                <w:rFonts w:ascii="Calibri" w:hAnsi="Calibri"/>
                <w:sz w:val="20"/>
              </w:rPr>
            </w:pPr>
            <w:r>
              <w:rPr>
                <w:rFonts w:ascii="Calibri" w:hAnsi="Calibri"/>
                <w:sz w:val="20"/>
              </w:rPr>
              <w:t>515</w:t>
            </w:r>
          </w:p>
        </w:tc>
        <w:tc>
          <w:tcPr>
            <w:tcW w:w="1331" w:type="pct"/>
            <w:tcBorders>
              <w:bottom w:val="single" w:sz="4" w:space="0" w:color="auto"/>
            </w:tcBorders>
            <w:vAlign w:val="center"/>
          </w:tcPr>
          <w:p w14:paraId="2CA3FCF5" w14:textId="77777777" w:rsidR="00DE29B8" w:rsidRDefault="00EA031F" w:rsidP="000A6E84">
            <w:pPr>
              <w:tabs>
                <w:tab w:val="left" w:pos="0"/>
              </w:tabs>
              <w:rPr>
                <w:rFonts w:ascii="Calibri" w:hAnsi="Calibri"/>
                <w:sz w:val="20"/>
              </w:rPr>
            </w:pPr>
            <w:r>
              <w:rPr>
                <w:rFonts w:ascii="Calibri" w:hAnsi="Calibri"/>
                <w:sz w:val="20"/>
              </w:rPr>
              <w:t>60</w:t>
            </w:r>
            <w:r w:rsidR="00DE29B8">
              <w:rPr>
                <w:rFonts w:ascii="Calibri" w:hAnsi="Calibri"/>
                <w:sz w:val="20"/>
              </w:rPr>
              <w:t xml:space="preserve"> (</w:t>
            </w:r>
            <w:r>
              <w:rPr>
                <w:rFonts w:ascii="Calibri" w:hAnsi="Calibri"/>
                <w:sz w:val="20"/>
              </w:rPr>
              <w:t>10</w:t>
            </w:r>
            <w:r w:rsidR="00DE29B8">
              <w:rPr>
                <w:rFonts w:ascii="Calibri" w:hAnsi="Calibri"/>
                <w:sz w:val="20"/>
              </w:rPr>
              <w:t>.4%)</w:t>
            </w:r>
          </w:p>
          <w:p w14:paraId="18C61B94" w14:textId="5586AA10" w:rsidR="00EA031F" w:rsidRDefault="00EA031F" w:rsidP="000A6E84">
            <w:pPr>
              <w:tabs>
                <w:tab w:val="left" w:pos="0"/>
              </w:tabs>
              <w:rPr>
                <w:rFonts w:ascii="Calibri" w:hAnsi="Calibri"/>
                <w:sz w:val="20"/>
              </w:rPr>
            </w:pPr>
            <w:r>
              <w:rPr>
                <w:rFonts w:ascii="Calibri" w:hAnsi="Calibri"/>
                <w:sz w:val="20"/>
              </w:rPr>
              <w:t>30 with severe burdens</w:t>
            </w:r>
          </w:p>
        </w:tc>
      </w:tr>
      <w:tr w:rsidR="00DE29B8" w14:paraId="1F7E9703" w14:textId="77777777" w:rsidTr="000C2892">
        <w:trPr>
          <w:cantSplit/>
          <w:jc w:val="center"/>
        </w:trPr>
        <w:tc>
          <w:tcPr>
            <w:tcW w:w="1486" w:type="pct"/>
            <w:tcBorders>
              <w:bottom w:val="single" w:sz="4" w:space="0" w:color="auto"/>
            </w:tcBorders>
          </w:tcPr>
          <w:p w14:paraId="13E1B568" w14:textId="77777777" w:rsidR="009B6AC7" w:rsidRDefault="009B6AC7" w:rsidP="000A6E84">
            <w:pPr>
              <w:ind w:right="-720"/>
              <w:rPr>
                <w:rFonts w:ascii="Calibri" w:hAnsi="Calibri"/>
                <w:b/>
                <w:i/>
                <w:sz w:val="20"/>
              </w:rPr>
            </w:pPr>
          </w:p>
          <w:p w14:paraId="01FD8588" w14:textId="78093275" w:rsidR="00DE29B8" w:rsidRPr="00101E50" w:rsidRDefault="00DE29B8" w:rsidP="000A6E84">
            <w:pPr>
              <w:ind w:right="-720"/>
              <w:rPr>
                <w:rFonts w:ascii="Calibri" w:hAnsi="Calibri"/>
                <w:b/>
                <w:i/>
                <w:sz w:val="20"/>
              </w:rPr>
            </w:pPr>
            <w:r w:rsidRPr="00101E50">
              <w:rPr>
                <w:rFonts w:ascii="Calibri" w:hAnsi="Calibri"/>
                <w:b/>
                <w:i/>
                <w:sz w:val="20"/>
                <w:szCs w:val="22"/>
              </w:rPr>
              <w:t>Total</w:t>
            </w:r>
          </w:p>
        </w:tc>
        <w:tc>
          <w:tcPr>
            <w:tcW w:w="1046" w:type="pct"/>
            <w:tcBorders>
              <w:bottom w:val="single" w:sz="4" w:space="0" w:color="auto"/>
            </w:tcBorders>
            <w:vAlign w:val="center"/>
          </w:tcPr>
          <w:p w14:paraId="75F860DC" w14:textId="077B22BD" w:rsidR="00DE29B8" w:rsidRPr="009B6AC7" w:rsidRDefault="00EE73E2" w:rsidP="000A6E84">
            <w:pPr>
              <w:tabs>
                <w:tab w:val="left" w:pos="0"/>
              </w:tabs>
              <w:rPr>
                <w:rFonts w:ascii="Calibri" w:hAnsi="Calibri"/>
                <w:b/>
                <w:bCs/>
                <w:i/>
                <w:iCs/>
                <w:sz w:val="20"/>
              </w:rPr>
            </w:pPr>
            <w:r w:rsidRPr="009B6AC7">
              <w:rPr>
                <w:rFonts w:ascii="Calibri" w:hAnsi="Calibri"/>
                <w:b/>
                <w:bCs/>
                <w:i/>
                <w:iCs/>
                <w:sz w:val="20"/>
              </w:rPr>
              <w:t>1,810</w:t>
            </w:r>
          </w:p>
        </w:tc>
        <w:tc>
          <w:tcPr>
            <w:tcW w:w="1137" w:type="pct"/>
            <w:tcBorders>
              <w:bottom w:val="single" w:sz="4" w:space="0" w:color="auto"/>
            </w:tcBorders>
            <w:vAlign w:val="center"/>
          </w:tcPr>
          <w:p w14:paraId="54A8E070" w14:textId="675ACA11" w:rsidR="00DE29B8" w:rsidRPr="009B6AC7" w:rsidRDefault="00EA031F" w:rsidP="000A6E84">
            <w:pPr>
              <w:tabs>
                <w:tab w:val="left" w:pos="0"/>
              </w:tabs>
              <w:rPr>
                <w:rFonts w:ascii="Calibri" w:hAnsi="Calibri"/>
                <w:b/>
                <w:bCs/>
                <w:i/>
                <w:iCs/>
                <w:sz w:val="20"/>
              </w:rPr>
            </w:pPr>
            <w:r w:rsidRPr="009B6AC7">
              <w:rPr>
                <w:rFonts w:ascii="Calibri" w:hAnsi="Calibri"/>
                <w:b/>
                <w:bCs/>
                <w:i/>
                <w:iCs/>
                <w:sz w:val="20"/>
              </w:rPr>
              <w:t>1,070</w:t>
            </w:r>
          </w:p>
        </w:tc>
        <w:tc>
          <w:tcPr>
            <w:tcW w:w="1331" w:type="pct"/>
            <w:tcBorders>
              <w:bottom w:val="single" w:sz="4" w:space="0" w:color="auto"/>
            </w:tcBorders>
            <w:vAlign w:val="center"/>
          </w:tcPr>
          <w:p w14:paraId="0F9738F3" w14:textId="77777777" w:rsidR="00DE29B8" w:rsidRPr="009B6AC7" w:rsidRDefault="00EA031F" w:rsidP="000A6E84">
            <w:pPr>
              <w:tabs>
                <w:tab w:val="left" w:pos="0"/>
              </w:tabs>
              <w:rPr>
                <w:rFonts w:ascii="Calibri" w:hAnsi="Calibri"/>
                <w:b/>
                <w:bCs/>
                <w:i/>
                <w:iCs/>
                <w:sz w:val="20"/>
              </w:rPr>
            </w:pPr>
            <w:r w:rsidRPr="009B6AC7">
              <w:rPr>
                <w:rFonts w:ascii="Calibri" w:hAnsi="Calibri"/>
                <w:b/>
                <w:bCs/>
                <w:i/>
                <w:iCs/>
                <w:sz w:val="20"/>
              </w:rPr>
              <w:t>740</w:t>
            </w:r>
            <w:r w:rsidR="00DE29B8" w:rsidRPr="009B6AC7">
              <w:rPr>
                <w:rFonts w:ascii="Calibri" w:hAnsi="Calibri"/>
                <w:b/>
                <w:bCs/>
                <w:i/>
                <w:iCs/>
                <w:sz w:val="20"/>
              </w:rPr>
              <w:t xml:space="preserve"> (</w:t>
            </w:r>
            <w:r w:rsidRPr="009B6AC7">
              <w:rPr>
                <w:rFonts w:ascii="Calibri" w:hAnsi="Calibri"/>
                <w:b/>
                <w:bCs/>
                <w:i/>
                <w:iCs/>
                <w:sz w:val="20"/>
              </w:rPr>
              <w:t>40.9</w:t>
            </w:r>
            <w:r w:rsidR="00DE29B8" w:rsidRPr="009B6AC7">
              <w:rPr>
                <w:rFonts w:ascii="Calibri" w:hAnsi="Calibri"/>
                <w:b/>
                <w:bCs/>
                <w:i/>
                <w:iCs/>
                <w:sz w:val="20"/>
              </w:rPr>
              <w:t>%)</w:t>
            </w:r>
          </w:p>
          <w:p w14:paraId="6DB6F915" w14:textId="55848EF5" w:rsidR="00EA031F" w:rsidRPr="009B6AC7" w:rsidRDefault="00EA031F" w:rsidP="000A6E84">
            <w:pPr>
              <w:tabs>
                <w:tab w:val="left" w:pos="0"/>
              </w:tabs>
              <w:rPr>
                <w:rFonts w:ascii="Calibri" w:hAnsi="Calibri"/>
                <w:b/>
                <w:bCs/>
                <w:i/>
                <w:iCs/>
                <w:sz w:val="20"/>
              </w:rPr>
            </w:pPr>
            <w:r w:rsidRPr="009B6AC7">
              <w:rPr>
                <w:rFonts w:ascii="Calibri" w:hAnsi="Calibri"/>
                <w:b/>
                <w:bCs/>
                <w:i/>
                <w:iCs/>
                <w:sz w:val="20"/>
              </w:rPr>
              <w:t>460 or 25.4% with severe burdens</w:t>
            </w:r>
          </w:p>
        </w:tc>
      </w:tr>
      <w:tr w:rsidR="00DE29B8" w14:paraId="3E6F46B0" w14:textId="77777777" w:rsidTr="000C2892">
        <w:trPr>
          <w:cantSplit/>
          <w:jc w:val="center"/>
        </w:trPr>
        <w:tc>
          <w:tcPr>
            <w:tcW w:w="5000" w:type="pct"/>
            <w:gridSpan w:val="4"/>
            <w:tcBorders>
              <w:bottom w:val="single" w:sz="4" w:space="0" w:color="auto"/>
            </w:tcBorders>
            <w:shd w:val="clear" w:color="auto" w:fill="B6DDE8" w:themeFill="accent5" w:themeFillTint="66"/>
          </w:tcPr>
          <w:p w14:paraId="567415A5" w14:textId="209295A5" w:rsidR="00DE29B8" w:rsidRPr="00862D7F" w:rsidRDefault="00EA031F" w:rsidP="000A6E84">
            <w:pPr>
              <w:ind w:right="-720"/>
              <w:rPr>
                <w:rFonts w:ascii="Calibri" w:hAnsi="Calibri"/>
                <w:b/>
                <w:sz w:val="20"/>
              </w:rPr>
            </w:pPr>
            <w:r>
              <w:rPr>
                <w:rFonts w:ascii="Calibri" w:hAnsi="Calibri"/>
                <w:b/>
                <w:sz w:val="20"/>
                <w:szCs w:val="22"/>
              </w:rPr>
              <w:t>Owners</w:t>
            </w:r>
          </w:p>
        </w:tc>
      </w:tr>
      <w:tr w:rsidR="00DE29B8" w14:paraId="53D914B1" w14:textId="77777777" w:rsidTr="000C2892">
        <w:trPr>
          <w:cantSplit/>
          <w:jc w:val="center"/>
        </w:trPr>
        <w:tc>
          <w:tcPr>
            <w:tcW w:w="1486" w:type="pct"/>
            <w:tcBorders>
              <w:bottom w:val="single" w:sz="4" w:space="0" w:color="auto"/>
            </w:tcBorders>
          </w:tcPr>
          <w:p w14:paraId="4DF7AF6B" w14:textId="77777777" w:rsidR="00DE29B8" w:rsidRDefault="00DE29B8" w:rsidP="000A6E84">
            <w:pPr>
              <w:ind w:right="-720"/>
              <w:rPr>
                <w:rFonts w:ascii="Calibri" w:hAnsi="Calibri"/>
                <w:sz w:val="20"/>
              </w:rPr>
            </w:pPr>
            <w:r>
              <w:rPr>
                <w:rFonts w:ascii="Calibri" w:hAnsi="Calibri"/>
                <w:sz w:val="20"/>
                <w:szCs w:val="22"/>
              </w:rPr>
              <w:t xml:space="preserve">Extremely Low Income </w:t>
            </w:r>
          </w:p>
          <w:p w14:paraId="321181C6" w14:textId="77777777" w:rsidR="00DE29B8" w:rsidRDefault="00DE29B8" w:rsidP="000A6E84">
            <w:pPr>
              <w:ind w:right="-720"/>
              <w:rPr>
                <w:rFonts w:ascii="Calibri" w:hAnsi="Calibri"/>
                <w:sz w:val="20"/>
              </w:rPr>
            </w:pPr>
            <w:r>
              <w:rPr>
                <w:rFonts w:ascii="Calibri" w:hAnsi="Calibri"/>
                <w:sz w:val="20"/>
                <w:szCs w:val="22"/>
              </w:rPr>
              <w:t>(Within 30% AMI)</w:t>
            </w:r>
          </w:p>
        </w:tc>
        <w:tc>
          <w:tcPr>
            <w:tcW w:w="1046" w:type="pct"/>
            <w:tcBorders>
              <w:bottom w:val="single" w:sz="4" w:space="0" w:color="auto"/>
            </w:tcBorders>
            <w:vAlign w:val="center"/>
          </w:tcPr>
          <w:p w14:paraId="64AC63F7" w14:textId="6D7132F1" w:rsidR="00DE29B8" w:rsidRPr="00101E50" w:rsidRDefault="00EA031F" w:rsidP="000A6E84">
            <w:pPr>
              <w:ind w:right="-720"/>
              <w:rPr>
                <w:rFonts w:ascii="Calibri" w:hAnsi="Calibri"/>
                <w:sz w:val="20"/>
              </w:rPr>
            </w:pPr>
            <w:r>
              <w:rPr>
                <w:rFonts w:ascii="Calibri" w:hAnsi="Calibri"/>
                <w:sz w:val="20"/>
                <w:szCs w:val="22"/>
              </w:rPr>
              <w:t>330</w:t>
            </w:r>
          </w:p>
        </w:tc>
        <w:tc>
          <w:tcPr>
            <w:tcW w:w="1137" w:type="pct"/>
            <w:tcBorders>
              <w:bottom w:val="single" w:sz="4" w:space="0" w:color="auto"/>
            </w:tcBorders>
            <w:vAlign w:val="center"/>
          </w:tcPr>
          <w:p w14:paraId="4483EF2B" w14:textId="55C11035" w:rsidR="00DE29B8" w:rsidRPr="00101E50" w:rsidRDefault="00EA031F" w:rsidP="000A6E84">
            <w:pPr>
              <w:ind w:right="-720"/>
              <w:rPr>
                <w:rFonts w:ascii="Calibri" w:hAnsi="Calibri"/>
                <w:sz w:val="20"/>
              </w:rPr>
            </w:pPr>
            <w:r>
              <w:rPr>
                <w:rFonts w:ascii="Calibri" w:hAnsi="Calibri"/>
                <w:sz w:val="20"/>
                <w:szCs w:val="22"/>
              </w:rPr>
              <w:t>10</w:t>
            </w:r>
          </w:p>
        </w:tc>
        <w:tc>
          <w:tcPr>
            <w:tcW w:w="1331" w:type="pct"/>
            <w:tcBorders>
              <w:bottom w:val="single" w:sz="4" w:space="0" w:color="auto"/>
            </w:tcBorders>
            <w:vAlign w:val="center"/>
          </w:tcPr>
          <w:p w14:paraId="7672D0C7" w14:textId="77777777" w:rsidR="00DE29B8" w:rsidRDefault="00EA031F" w:rsidP="000A6E84">
            <w:pPr>
              <w:ind w:right="-720"/>
              <w:rPr>
                <w:rFonts w:ascii="Calibri" w:hAnsi="Calibri"/>
                <w:sz w:val="20"/>
              </w:rPr>
            </w:pPr>
            <w:r>
              <w:rPr>
                <w:rFonts w:ascii="Calibri" w:hAnsi="Calibri"/>
                <w:sz w:val="20"/>
                <w:szCs w:val="22"/>
              </w:rPr>
              <w:t>320</w:t>
            </w:r>
            <w:r w:rsidR="00DE29B8">
              <w:rPr>
                <w:rFonts w:ascii="Calibri" w:hAnsi="Calibri"/>
                <w:sz w:val="20"/>
                <w:szCs w:val="22"/>
              </w:rPr>
              <w:t xml:space="preserve"> (</w:t>
            </w:r>
            <w:r w:rsidR="004531E0">
              <w:rPr>
                <w:rFonts w:ascii="Calibri" w:hAnsi="Calibri"/>
                <w:sz w:val="20"/>
                <w:szCs w:val="22"/>
              </w:rPr>
              <w:t>97.0</w:t>
            </w:r>
            <w:r w:rsidR="00DE29B8">
              <w:rPr>
                <w:rFonts w:ascii="Calibri" w:hAnsi="Calibri"/>
                <w:sz w:val="20"/>
                <w:szCs w:val="22"/>
              </w:rPr>
              <w:t>%)</w:t>
            </w:r>
          </w:p>
          <w:p w14:paraId="147B28CE" w14:textId="4C3DE404" w:rsidR="004531E0" w:rsidRPr="00101E50" w:rsidRDefault="004531E0" w:rsidP="000A6E84">
            <w:pPr>
              <w:ind w:right="-720"/>
              <w:rPr>
                <w:rFonts w:ascii="Calibri" w:hAnsi="Calibri"/>
                <w:sz w:val="20"/>
              </w:rPr>
            </w:pPr>
            <w:r>
              <w:rPr>
                <w:rFonts w:ascii="Calibri" w:hAnsi="Calibri"/>
                <w:sz w:val="20"/>
                <w:szCs w:val="22"/>
              </w:rPr>
              <w:t>305 with severe burdens</w:t>
            </w:r>
          </w:p>
        </w:tc>
      </w:tr>
      <w:tr w:rsidR="00DE29B8" w14:paraId="1DE34E8D" w14:textId="77777777" w:rsidTr="000C2892">
        <w:trPr>
          <w:cantSplit/>
          <w:jc w:val="center"/>
        </w:trPr>
        <w:tc>
          <w:tcPr>
            <w:tcW w:w="1486" w:type="pct"/>
            <w:tcBorders>
              <w:bottom w:val="single" w:sz="4" w:space="0" w:color="auto"/>
            </w:tcBorders>
          </w:tcPr>
          <w:p w14:paraId="49FBAA6F" w14:textId="77777777" w:rsidR="00DE29B8" w:rsidRDefault="00DE29B8" w:rsidP="000A6E84">
            <w:pPr>
              <w:ind w:right="-720"/>
              <w:rPr>
                <w:rFonts w:ascii="Calibri" w:hAnsi="Calibri"/>
                <w:sz w:val="20"/>
              </w:rPr>
            </w:pPr>
            <w:r>
              <w:rPr>
                <w:rFonts w:ascii="Calibri" w:hAnsi="Calibri"/>
                <w:sz w:val="20"/>
                <w:szCs w:val="22"/>
              </w:rPr>
              <w:t>Very Low Income (30% to</w:t>
            </w:r>
          </w:p>
          <w:p w14:paraId="56C63FE3" w14:textId="77777777" w:rsidR="00DE29B8" w:rsidRDefault="00DE29B8" w:rsidP="000A6E84">
            <w:pPr>
              <w:ind w:right="-720"/>
              <w:rPr>
                <w:rFonts w:ascii="Calibri" w:hAnsi="Calibri"/>
                <w:sz w:val="20"/>
              </w:rPr>
            </w:pPr>
            <w:r>
              <w:rPr>
                <w:rFonts w:ascii="Calibri" w:hAnsi="Calibri"/>
                <w:sz w:val="20"/>
                <w:szCs w:val="22"/>
              </w:rPr>
              <w:t>50% AMI)</w:t>
            </w:r>
          </w:p>
        </w:tc>
        <w:tc>
          <w:tcPr>
            <w:tcW w:w="1046" w:type="pct"/>
            <w:tcBorders>
              <w:bottom w:val="single" w:sz="4" w:space="0" w:color="auto"/>
            </w:tcBorders>
            <w:vAlign w:val="center"/>
          </w:tcPr>
          <w:p w14:paraId="0E8DBFF5" w14:textId="66653068" w:rsidR="00DE29B8" w:rsidRPr="00101E50" w:rsidRDefault="004531E0" w:rsidP="000A6E84">
            <w:pPr>
              <w:ind w:right="-720"/>
              <w:rPr>
                <w:rFonts w:ascii="Calibri" w:hAnsi="Calibri"/>
                <w:sz w:val="20"/>
              </w:rPr>
            </w:pPr>
            <w:r>
              <w:rPr>
                <w:rFonts w:ascii="Calibri" w:hAnsi="Calibri"/>
                <w:sz w:val="20"/>
                <w:szCs w:val="22"/>
              </w:rPr>
              <w:t>220</w:t>
            </w:r>
          </w:p>
        </w:tc>
        <w:tc>
          <w:tcPr>
            <w:tcW w:w="1137" w:type="pct"/>
            <w:tcBorders>
              <w:bottom w:val="single" w:sz="4" w:space="0" w:color="auto"/>
            </w:tcBorders>
            <w:vAlign w:val="center"/>
          </w:tcPr>
          <w:p w14:paraId="6F09E155" w14:textId="3CCE0B80" w:rsidR="00DE29B8" w:rsidRPr="00101E50" w:rsidRDefault="004531E0" w:rsidP="000A6E84">
            <w:pPr>
              <w:ind w:right="-720"/>
              <w:rPr>
                <w:rFonts w:ascii="Calibri" w:hAnsi="Calibri"/>
                <w:sz w:val="20"/>
              </w:rPr>
            </w:pPr>
            <w:r>
              <w:rPr>
                <w:rFonts w:ascii="Calibri" w:hAnsi="Calibri"/>
                <w:sz w:val="20"/>
                <w:szCs w:val="22"/>
              </w:rPr>
              <w:t>37</w:t>
            </w:r>
          </w:p>
        </w:tc>
        <w:tc>
          <w:tcPr>
            <w:tcW w:w="1331" w:type="pct"/>
            <w:tcBorders>
              <w:bottom w:val="single" w:sz="4" w:space="0" w:color="auto"/>
            </w:tcBorders>
            <w:vAlign w:val="center"/>
          </w:tcPr>
          <w:p w14:paraId="462BD94A" w14:textId="77777777" w:rsidR="00DE29B8" w:rsidRDefault="004531E0" w:rsidP="000A6E84">
            <w:pPr>
              <w:ind w:right="-720"/>
              <w:rPr>
                <w:rFonts w:ascii="Calibri" w:hAnsi="Calibri"/>
                <w:sz w:val="20"/>
              </w:rPr>
            </w:pPr>
            <w:r>
              <w:rPr>
                <w:rFonts w:ascii="Calibri" w:hAnsi="Calibri"/>
                <w:sz w:val="20"/>
                <w:szCs w:val="22"/>
              </w:rPr>
              <w:t>183</w:t>
            </w:r>
            <w:r w:rsidR="00DE29B8">
              <w:rPr>
                <w:rFonts w:ascii="Calibri" w:hAnsi="Calibri"/>
                <w:sz w:val="20"/>
                <w:szCs w:val="22"/>
              </w:rPr>
              <w:t xml:space="preserve"> (8</w:t>
            </w:r>
            <w:r>
              <w:rPr>
                <w:rFonts w:ascii="Calibri" w:hAnsi="Calibri"/>
                <w:sz w:val="20"/>
                <w:szCs w:val="22"/>
              </w:rPr>
              <w:t>3.2</w:t>
            </w:r>
            <w:r w:rsidR="00DE29B8">
              <w:rPr>
                <w:rFonts w:ascii="Calibri" w:hAnsi="Calibri"/>
                <w:sz w:val="20"/>
                <w:szCs w:val="22"/>
              </w:rPr>
              <w:t>%)</w:t>
            </w:r>
          </w:p>
          <w:p w14:paraId="69167715" w14:textId="1E21856E" w:rsidR="004531E0" w:rsidRPr="00101E50" w:rsidRDefault="004531E0" w:rsidP="000A6E84">
            <w:pPr>
              <w:ind w:right="-720"/>
              <w:rPr>
                <w:rFonts w:ascii="Calibri" w:hAnsi="Calibri"/>
                <w:sz w:val="20"/>
              </w:rPr>
            </w:pPr>
            <w:r>
              <w:rPr>
                <w:rFonts w:ascii="Calibri" w:hAnsi="Calibri"/>
                <w:sz w:val="20"/>
                <w:szCs w:val="22"/>
              </w:rPr>
              <w:t>58 with severe burdens</w:t>
            </w:r>
          </w:p>
        </w:tc>
      </w:tr>
      <w:tr w:rsidR="00DE29B8" w14:paraId="1096675D" w14:textId="77777777" w:rsidTr="000C2892">
        <w:trPr>
          <w:cantSplit/>
          <w:jc w:val="center"/>
        </w:trPr>
        <w:tc>
          <w:tcPr>
            <w:tcW w:w="1486" w:type="pct"/>
            <w:tcBorders>
              <w:bottom w:val="single" w:sz="4" w:space="0" w:color="auto"/>
            </w:tcBorders>
          </w:tcPr>
          <w:p w14:paraId="34493C9B" w14:textId="77777777" w:rsidR="00DE29B8" w:rsidRDefault="00DE29B8" w:rsidP="000A6E84">
            <w:pPr>
              <w:ind w:right="-720"/>
              <w:rPr>
                <w:rFonts w:ascii="Calibri" w:hAnsi="Calibri"/>
                <w:sz w:val="20"/>
              </w:rPr>
            </w:pPr>
            <w:r>
              <w:rPr>
                <w:rFonts w:ascii="Calibri" w:hAnsi="Calibri"/>
                <w:sz w:val="20"/>
                <w:szCs w:val="22"/>
              </w:rPr>
              <w:t>Low to Moderate</w:t>
            </w:r>
          </w:p>
          <w:p w14:paraId="78A6E7CA" w14:textId="77777777" w:rsidR="00DE29B8" w:rsidRDefault="00DE29B8" w:rsidP="000A6E84">
            <w:pPr>
              <w:ind w:right="-720"/>
              <w:rPr>
                <w:rFonts w:ascii="Calibri" w:hAnsi="Calibri"/>
                <w:sz w:val="20"/>
              </w:rPr>
            </w:pPr>
            <w:r>
              <w:rPr>
                <w:rFonts w:ascii="Calibri" w:hAnsi="Calibri"/>
                <w:sz w:val="20"/>
                <w:szCs w:val="22"/>
              </w:rPr>
              <w:t>Income (50% to 80% AMI)</w:t>
            </w:r>
          </w:p>
        </w:tc>
        <w:tc>
          <w:tcPr>
            <w:tcW w:w="1046" w:type="pct"/>
            <w:tcBorders>
              <w:bottom w:val="single" w:sz="4" w:space="0" w:color="auto"/>
            </w:tcBorders>
            <w:vAlign w:val="center"/>
          </w:tcPr>
          <w:p w14:paraId="36171649" w14:textId="6309BEB7" w:rsidR="00DE29B8" w:rsidRPr="00101E50" w:rsidRDefault="004531E0" w:rsidP="000A6E84">
            <w:pPr>
              <w:ind w:right="-720"/>
              <w:rPr>
                <w:rFonts w:ascii="Calibri" w:hAnsi="Calibri"/>
                <w:sz w:val="20"/>
              </w:rPr>
            </w:pPr>
            <w:r>
              <w:rPr>
                <w:rFonts w:ascii="Calibri" w:hAnsi="Calibri"/>
                <w:sz w:val="20"/>
                <w:szCs w:val="22"/>
              </w:rPr>
              <w:t>510</w:t>
            </w:r>
          </w:p>
        </w:tc>
        <w:tc>
          <w:tcPr>
            <w:tcW w:w="1137" w:type="pct"/>
            <w:tcBorders>
              <w:bottom w:val="single" w:sz="4" w:space="0" w:color="auto"/>
            </w:tcBorders>
            <w:vAlign w:val="center"/>
          </w:tcPr>
          <w:p w14:paraId="2EBEC98F" w14:textId="1BC1897D" w:rsidR="00DE29B8" w:rsidRPr="00101E50" w:rsidRDefault="004531E0" w:rsidP="000A6E84">
            <w:pPr>
              <w:ind w:right="-720"/>
              <w:rPr>
                <w:rFonts w:ascii="Calibri" w:hAnsi="Calibri"/>
                <w:sz w:val="20"/>
              </w:rPr>
            </w:pPr>
            <w:r>
              <w:rPr>
                <w:rFonts w:ascii="Calibri" w:hAnsi="Calibri"/>
                <w:sz w:val="20"/>
                <w:szCs w:val="22"/>
              </w:rPr>
              <w:t>305</w:t>
            </w:r>
          </w:p>
        </w:tc>
        <w:tc>
          <w:tcPr>
            <w:tcW w:w="1331" w:type="pct"/>
            <w:tcBorders>
              <w:bottom w:val="single" w:sz="4" w:space="0" w:color="auto"/>
            </w:tcBorders>
            <w:vAlign w:val="center"/>
          </w:tcPr>
          <w:p w14:paraId="1CE10703" w14:textId="77777777" w:rsidR="00DE29B8" w:rsidRDefault="004531E0" w:rsidP="000A6E84">
            <w:pPr>
              <w:ind w:right="-720"/>
              <w:rPr>
                <w:rFonts w:ascii="Calibri" w:hAnsi="Calibri"/>
                <w:sz w:val="20"/>
              </w:rPr>
            </w:pPr>
            <w:r>
              <w:rPr>
                <w:rFonts w:ascii="Calibri" w:hAnsi="Calibri"/>
                <w:sz w:val="20"/>
                <w:szCs w:val="22"/>
              </w:rPr>
              <w:t>205</w:t>
            </w:r>
            <w:r w:rsidR="00DE29B8">
              <w:rPr>
                <w:rFonts w:ascii="Calibri" w:hAnsi="Calibri"/>
                <w:sz w:val="20"/>
                <w:szCs w:val="22"/>
              </w:rPr>
              <w:t xml:space="preserve"> (</w:t>
            </w:r>
            <w:r>
              <w:rPr>
                <w:rFonts w:ascii="Calibri" w:hAnsi="Calibri"/>
                <w:sz w:val="20"/>
                <w:szCs w:val="22"/>
              </w:rPr>
              <w:t>40.2</w:t>
            </w:r>
            <w:r w:rsidR="00DE29B8">
              <w:rPr>
                <w:rFonts w:ascii="Calibri" w:hAnsi="Calibri"/>
                <w:sz w:val="20"/>
                <w:szCs w:val="22"/>
              </w:rPr>
              <w:t>%)</w:t>
            </w:r>
          </w:p>
          <w:p w14:paraId="68474106" w14:textId="2C4F1A2D" w:rsidR="004531E0" w:rsidRPr="00101E50" w:rsidRDefault="004531E0" w:rsidP="000A6E84">
            <w:pPr>
              <w:ind w:right="-720"/>
              <w:rPr>
                <w:rFonts w:ascii="Calibri" w:hAnsi="Calibri"/>
                <w:sz w:val="20"/>
              </w:rPr>
            </w:pPr>
            <w:r>
              <w:rPr>
                <w:rFonts w:ascii="Calibri" w:hAnsi="Calibri"/>
                <w:sz w:val="20"/>
                <w:szCs w:val="22"/>
              </w:rPr>
              <w:t>125 with severe burdens</w:t>
            </w:r>
          </w:p>
        </w:tc>
      </w:tr>
      <w:tr w:rsidR="00DE29B8" w14:paraId="18AC399E" w14:textId="77777777" w:rsidTr="000C2892">
        <w:trPr>
          <w:cantSplit/>
          <w:jc w:val="center"/>
        </w:trPr>
        <w:tc>
          <w:tcPr>
            <w:tcW w:w="1486" w:type="pct"/>
            <w:tcBorders>
              <w:bottom w:val="single" w:sz="4" w:space="0" w:color="auto"/>
            </w:tcBorders>
          </w:tcPr>
          <w:p w14:paraId="7DF94694" w14:textId="77777777" w:rsidR="004D6C87" w:rsidRDefault="004D6C87" w:rsidP="000A6E84">
            <w:pPr>
              <w:ind w:right="-720"/>
              <w:rPr>
                <w:rFonts w:ascii="Calibri" w:hAnsi="Calibri"/>
                <w:i/>
                <w:sz w:val="20"/>
              </w:rPr>
            </w:pPr>
          </w:p>
          <w:p w14:paraId="750808A3" w14:textId="5B1634ED" w:rsidR="00DE29B8" w:rsidRPr="00A5125C" w:rsidRDefault="00DE29B8" w:rsidP="000A6E84">
            <w:pPr>
              <w:ind w:right="-720"/>
              <w:rPr>
                <w:rFonts w:ascii="Calibri" w:hAnsi="Calibri"/>
                <w:i/>
                <w:sz w:val="20"/>
              </w:rPr>
            </w:pPr>
            <w:r w:rsidRPr="00A5125C">
              <w:rPr>
                <w:rFonts w:ascii="Calibri" w:hAnsi="Calibri"/>
                <w:i/>
                <w:sz w:val="20"/>
                <w:szCs w:val="22"/>
              </w:rPr>
              <w:t>Subtotal</w:t>
            </w:r>
          </w:p>
        </w:tc>
        <w:tc>
          <w:tcPr>
            <w:tcW w:w="1046" w:type="pct"/>
            <w:tcBorders>
              <w:bottom w:val="single" w:sz="4" w:space="0" w:color="auto"/>
            </w:tcBorders>
            <w:vAlign w:val="center"/>
          </w:tcPr>
          <w:p w14:paraId="50405BB6" w14:textId="136CC0B1" w:rsidR="00DE29B8" w:rsidRPr="00123A1B" w:rsidRDefault="004531E0" w:rsidP="000A6E84">
            <w:pPr>
              <w:ind w:right="-720"/>
              <w:rPr>
                <w:rFonts w:ascii="Calibri" w:hAnsi="Calibri"/>
                <w:i/>
                <w:sz w:val="20"/>
              </w:rPr>
            </w:pPr>
            <w:r>
              <w:rPr>
                <w:rFonts w:ascii="Calibri" w:hAnsi="Calibri"/>
                <w:i/>
                <w:sz w:val="20"/>
                <w:szCs w:val="22"/>
              </w:rPr>
              <w:t>1,060</w:t>
            </w:r>
          </w:p>
        </w:tc>
        <w:tc>
          <w:tcPr>
            <w:tcW w:w="1137" w:type="pct"/>
            <w:tcBorders>
              <w:bottom w:val="single" w:sz="4" w:space="0" w:color="auto"/>
            </w:tcBorders>
            <w:vAlign w:val="center"/>
          </w:tcPr>
          <w:p w14:paraId="500B30C1" w14:textId="08DFF0F7" w:rsidR="00DE29B8" w:rsidRPr="00123A1B" w:rsidRDefault="004531E0" w:rsidP="000A6E84">
            <w:pPr>
              <w:ind w:right="-720"/>
              <w:rPr>
                <w:rFonts w:ascii="Calibri" w:hAnsi="Calibri"/>
                <w:i/>
                <w:sz w:val="20"/>
              </w:rPr>
            </w:pPr>
            <w:r>
              <w:rPr>
                <w:rFonts w:ascii="Calibri" w:hAnsi="Calibri"/>
                <w:i/>
                <w:sz w:val="20"/>
                <w:szCs w:val="22"/>
              </w:rPr>
              <w:t>352</w:t>
            </w:r>
          </w:p>
        </w:tc>
        <w:tc>
          <w:tcPr>
            <w:tcW w:w="1331" w:type="pct"/>
            <w:tcBorders>
              <w:bottom w:val="single" w:sz="4" w:space="0" w:color="auto"/>
            </w:tcBorders>
            <w:vAlign w:val="center"/>
          </w:tcPr>
          <w:p w14:paraId="48F608B0" w14:textId="77777777" w:rsidR="00DE29B8" w:rsidRDefault="004531E0" w:rsidP="000A6E84">
            <w:pPr>
              <w:ind w:right="-720"/>
              <w:rPr>
                <w:rFonts w:ascii="Calibri" w:hAnsi="Calibri"/>
                <w:i/>
                <w:sz w:val="20"/>
              </w:rPr>
            </w:pPr>
            <w:r>
              <w:rPr>
                <w:rFonts w:ascii="Calibri" w:hAnsi="Calibri"/>
                <w:i/>
                <w:sz w:val="20"/>
                <w:szCs w:val="22"/>
              </w:rPr>
              <w:t>708</w:t>
            </w:r>
            <w:r w:rsidR="00DE29B8">
              <w:rPr>
                <w:rFonts w:ascii="Calibri" w:hAnsi="Calibri"/>
                <w:i/>
                <w:sz w:val="20"/>
                <w:szCs w:val="22"/>
              </w:rPr>
              <w:t xml:space="preserve"> (</w:t>
            </w:r>
            <w:r>
              <w:rPr>
                <w:rFonts w:ascii="Calibri" w:hAnsi="Calibri"/>
                <w:i/>
                <w:sz w:val="20"/>
                <w:szCs w:val="22"/>
              </w:rPr>
              <w:t>66.8</w:t>
            </w:r>
            <w:r w:rsidR="00DE29B8">
              <w:rPr>
                <w:rFonts w:ascii="Calibri" w:hAnsi="Calibri"/>
                <w:i/>
                <w:sz w:val="20"/>
                <w:szCs w:val="22"/>
              </w:rPr>
              <w:t>%)</w:t>
            </w:r>
          </w:p>
          <w:p w14:paraId="5204F88F" w14:textId="77777777" w:rsidR="004531E0" w:rsidRDefault="004531E0" w:rsidP="000A6E84">
            <w:pPr>
              <w:ind w:right="-720"/>
              <w:rPr>
                <w:rFonts w:ascii="Calibri" w:hAnsi="Calibri"/>
                <w:i/>
                <w:sz w:val="20"/>
              </w:rPr>
            </w:pPr>
            <w:r>
              <w:rPr>
                <w:rFonts w:ascii="Calibri" w:hAnsi="Calibri"/>
                <w:i/>
                <w:sz w:val="20"/>
                <w:szCs w:val="22"/>
              </w:rPr>
              <w:t xml:space="preserve">488 or 46.0% with severe </w:t>
            </w:r>
          </w:p>
          <w:p w14:paraId="585A3B92" w14:textId="0EA4595D" w:rsidR="004531E0" w:rsidRPr="00123A1B" w:rsidRDefault="004531E0" w:rsidP="000A6E84">
            <w:pPr>
              <w:ind w:right="-720"/>
              <w:rPr>
                <w:rFonts w:ascii="Calibri" w:hAnsi="Calibri"/>
                <w:i/>
                <w:sz w:val="20"/>
              </w:rPr>
            </w:pPr>
            <w:r>
              <w:rPr>
                <w:rFonts w:ascii="Calibri" w:hAnsi="Calibri"/>
                <w:i/>
                <w:sz w:val="20"/>
                <w:szCs w:val="22"/>
              </w:rPr>
              <w:t>burdens</w:t>
            </w:r>
          </w:p>
        </w:tc>
      </w:tr>
      <w:tr w:rsidR="00DE29B8" w14:paraId="1F50D8A9" w14:textId="77777777" w:rsidTr="000C2892">
        <w:trPr>
          <w:cantSplit/>
          <w:jc w:val="center"/>
        </w:trPr>
        <w:tc>
          <w:tcPr>
            <w:tcW w:w="1486" w:type="pct"/>
            <w:tcBorders>
              <w:bottom w:val="single" w:sz="4" w:space="0" w:color="auto"/>
            </w:tcBorders>
          </w:tcPr>
          <w:p w14:paraId="222B1341" w14:textId="77777777" w:rsidR="00DE29B8" w:rsidRDefault="00DE29B8" w:rsidP="000A6E84">
            <w:pPr>
              <w:ind w:right="-720"/>
              <w:rPr>
                <w:rFonts w:ascii="Calibri" w:hAnsi="Calibri"/>
                <w:sz w:val="20"/>
              </w:rPr>
            </w:pPr>
            <w:r>
              <w:rPr>
                <w:rFonts w:ascii="Calibri" w:hAnsi="Calibri"/>
                <w:sz w:val="20"/>
                <w:szCs w:val="22"/>
              </w:rPr>
              <w:t>80% to 100% AMI</w:t>
            </w:r>
          </w:p>
        </w:tc>
        <w:tc>
          <w:tcPr>
            <w:tcW w:w="1046" w:type="pct"/>
            <w:tcBorders>
              <w:bottom w:val="single" w:sz="4" w:space="0" w:color="auto"/>
            </w:tcBorders>
            <w:vAlign w:val="center"/>
          </w:tcPr>
          <w:p w14:paraId="698E6892" w14:textId="22A4ADB9" w:rsidR="00DE29B8" w:rsidRPr="00632459" w:rsidRDefault="004531E0" w:rsidP="000A6E84">
            <w:pPr>
              <w:ind w:right="-720"/>
              <w:rPr>
                <w:rFonts w:ascii="Calibri" w:hAnsi="Calibri"/>
                <w:sz w:val="20"/>
              </w:rPr>
            </w:pPr>
            <w:r>
              <w:rPr>
                <w:rFonts w:ascii="Calibri" w:hAnsi="Calibri"/>
                <w:sz w:val="20"/>
                <w:szCs w:val="22"/>
              </w:rPr>
              <w:t>375</w:t>
            </w:r>
          </w:p>
        </w:tc>
        <w:tc>
          <w:tcPr>
            <w:tcW w:w="1137" w:type="pct"/>
            <w:tcBorders>
              <w:bottom w:val="single" w:sz="4" w:space="0" w:color="auto"/>
            </w:tcBorders>
            <w:vAlign w:val="center"/>
          </w:tcPr>
          <w:p w14:paraId="174E9F94" w14:textId="01FDEEC8" w:rsidR="00DE29B8" w:rsidRPr="00101E50" w:rsidRDefault="009B6AC7" w:rsidP="000A6E84">
            <w:pPr>
              <w:ind w:right="-720"/>
              <w:rPr>
                <w:rFonts w:ascii="Calibri" w:hAnsi="Calibri"/>
                <w:sz w:val="20"/>
              </w:rPr>
            </w:pPr>
            <w:r>
              <w:rPr>
                <w:rFonts w:ascii="Calibri" w:hAnsi="Calibri"/>
                <w:sz w:val="20"/>
                <w:szCs w:val="22"/>
              </w:rPr>
              <w:t>195</w:t>
            </w:r>
          </w:p>
        </w:tc>
        <w:tc>
          <w:tcPr>
            <w:tcW w:w="1331" w:type="pct"/>
            <w:tcBorders>
              <w:bottom w:val="single" w:sz="4" w:space="0" w:color="auto"/>
            </w:tcBorders>
            <w:vAlign w:val="center"/>
          </w:tcPr>
          <w:p w14:paraId="11EC6320" w14:textId="77777777" w:rsidR="00DE29B8" w:rsidRDefault="004531E0" w:rsidP="000A6E84">
            <w:pPr>
              <w:ind w:right="-720"/>
              <w:rPr>
                <w:rFonts w:ascii="Calibri" w:hAnsi="Calibri"/>
                <w:sz w:val="20"/>
              </w:rPr>
            </w:pPr>
            <w:r>
              <w:rPr>
                <w:rFonts w:ascii="Calibri" w:hAnsi="Calibri"/>
                <w:sz w:val="20"/>
                <w:szCs w:val="22"/>
              </w:rPr>
              <w:t>180</w:t>
            </w:r>
            <w:r w:rsidR="00DE29B8">
              <w:rPr>
                <w:rFonts w:ascii="Calibri" w:hAnsi="Calibri"/>
                <w:sz w:val="20"/>
                <w:szCs w:val="22"/>
              </w:rPr>
              <w:t xml:space="preserve"> (</w:t>
            </w:r>
            <w:r>
              <w:rPr>
                <w:rFonts w:ascii="Calibri" w:hAnsi="Calibri"/>
                <w:sz w:val="20"/>
                <w:szCs w:val="22"/>
              </w:rPr>
              <w:t>48.0</w:t>
            </w:r>
            <w:r w:rsidR="00DE29B8">
              <w:rPr>
                <w:rFonts w:ascii="Calibri" w:hAnsi="Calibri"/>
                <w:sz w:val="20"/>
                <w:szCs w:val="22"/>
              </w:rPr>
              <w:t>%)</w:t>
            </w:r>
          </w:p>
          <w:p w14:paraId="3E4CB1E1" w14:textId="4A7FF9EA" w:rsidR="004531E0" w:rsidRPr="00123A1B" w:rsidRDefault="004531E0" w:rsidP="000A6E84">
            <w:pPr>
              <w:ind w:right="-720"/>
              <w:rPr>
                <w:rFonts w:ascii="Calibri" w:hAnsi="Calibri"/>
                <w:sz w:val="20"/>
              </w:rPr>
            </w:pPr>
            <w:r>
              <w:rPr>
                <w:rFonts w:ascii="Calibri" w:hAnsi="Calibri"/>
                <w:sz w:val="20"/>
                <w:szCs w:val="22"/>
              </w:rPr>
              <w:t>100 with severe burdens</w:t>
            </w:r>
          </w:p>
        </w:tc>
      </w:tr>
      <w:tr w:rsidR="00DE29B8" w14:paraId="2044E232" w14:textId="77777777" w:rsidTr="000C2892">
        <w:trPr>
          <w:cantSplit/>
          <w:jc w:val="center"/>
        </w:trPr>
        <w:tc>
          <w:tcPr>
            <w:tcW w:w="1486" w:type="pct"/>
            <w:tcBorders>
              <w:bottom w:val="single" w:sz="4" w:space="0" w:color="auto"/>
            </w:tcBorders>
          </w:tcPr>
          <w:p w14:paraId="7B948FA7" w14:textId="77777777" w:rsidR="00DE29B8" w:rsidRDefault="00DE29B8" w:rsidP="000A6E84">
            <w:pPr>
              <w:ind w:right="-720"/>
              <w:rPr>
                <w:rFonts w:ascii="Calibri" w:hAnsi="Calibri"/>
                <w:sz w:val="20"/>
              </w:rPr>
            </w:pPr>
            <w:r>
              <w:rPr>
                <w:rFonts w:ascii="Calibri" w:hAnsi="Calibri"/>
                <w:sz w:val="20"/>
                <w:szCs w:val="22"/>
              </w:rPr>
              <w:t>Above 100% AMI</w:t>
            </w:r>
          </w:p>
        </w:tc>
        <w:tc>
          <w:tcPr>
            <w:tcW w:w="1046" w:type="pct"/>
            <w:tcBorders>
              <w:bottom w:val="single" w:sz="4" w:space="0" w:color="auto"/>
            </w:tcBorders>
            <w:vAlign w:val="center"/>
          </w:tcPr>
          <w:p w14:paraId="0D57E5B8" w14:textId="269D4881" w:rsidR="00DE29B8" w:rsidRPr="00632459" w:rsidRDefault="009B6AC7" w:rsidP="000A6E84">
            <w:pPr>
              <w:ind w:right="-720"/>
              <w:rPr>
                <w:rFonts w:ascii="Calibri" w:hAnsi="Calibri"/>
                <w:sz w:val="20"/>
              </w:rPr>
            </w:pPr>
            <w:r>
              <w:rPr>
                <w:rFonts w:ascii="Calibri" w:hAnsi="Calibri"/>
                <w:sz w:val="20"/>
                <w:szCs w:val="22"/>
              </w:rPr>
              <w:t>7,520</w:t>
            </w:r>
          </w:p>
        </w:tc>
        <w:tc>
          <w:tcPr>
            <w:tcW w:w="1137" w:type="pct"/>
            <w:tcBorders>
              <w:bottom w:val="single" w:sz="4" w:space="0" w:color="auto"/>
            </w:tcBorders>
            <w:vAlign w:val="center"/>
          </w:tcPr>
          <w:p w14:paraId="001474A0" w14:textId="155B36B0" w:rsidR="00DE29B8" w:rsidRPr="00101E50" w:rsidRDefault="009B6AC7" w:rsidP="000A6E84">
            <w:pPr>
              <w:ind w:right="-720"/>
              <w:rPr>
                <w:rFonts w:ascii="Calibri" w:hAnsi="Calibri"/>
                <w:sz w:val="20"/>
              </w:rPr>
            </w:pPr>
            <w:r>
              <w:rPr>
                <w:rFonts w:ascii="Calibri" w:hAnsi="Calibri"/>
                <w:sz w:val="20"/>
                <w:szCs w:val="22"/>
              </w:rPr>
              <w:t>5,672</w:t>
            </w:r>
          </w:p>
        </w:tc>
        <w:tc>
          <w:tcPr>
            <w:tcW w:w="1331" w:type="pct"/>
            <w:tcBorders>
              <w:bottom w:val="single" w:sz="4" w:space="0" w:color="auto"/>
            </w:tcBorders>
            <w:vAlign w:val="center"/>
          </w:tcPr>
          <w:p w14:paraId="26AF75C6" w14:textId="77777777" w:rsidR="00DE29B8" w:rsidRDefault="009B6AC7" w:rsidP="000A6E84">
            <w:pPr>
              <w:ind w:right="-720"/>
              <w:rPr>
                <w:rFonts w:ascii="Calibri" w:hAnsi="Calibri"/>
                <w:sz w:val="20"/>
              </w:rPr>
            </w:pPr>
            <w:r>
              <w:rPr>
                <w:rFonts w:ascii="Calibri" w:hAnsi="Calibri"/>
                <w:sz w:val="20"/>
                <w:szCs w:val="22"/>
              </w:rPr>
              <w:t>1,848</w:t>
            </w:r>
            <w:r w:rsidR="00DE29B8">
              <w:rPr>
                <w:rFonts w:ascii="Calibri" w:hAnsi="Calibri"/>
                <w:sz w:val="20"/>
                <w:szCs w:val="22"/>
              </w:rPr>
              <w:t xml:space="preserve"> (</w:t>
            </w:r>
            <w:r>
              <w:rPr>
                <w:rFonts w:ascii="Calibri" w:hAnsi="Calibri"/>
                <w:sz w:val="20"/>
                <w:szCs w:val="22"/>
              </w:rPr>
              <w:t>24.6</w:t>
            </w:r>
            <w:r w:rsidR="00DE29B8">
              <w:rPr>
                <w:rFonts w:ascii="Calibri" w:hAnsi="Calibri"/>
                <w:sz w:val="20"/>
                <w:szCs w:val="22"/>
              </w:rPr>
              <w:t>%)</w:t>
            </w:r>
          </w:p>
          <w:p w14:paraId="2BCADB1E" w14:textId="2BB08E47" w:rsidR="009B6AC7" w:rsidRPr="00101E50" w:rsidRDefault="009B6AC7" w:rsidP="000A6E84">
            <w:pPr>
              <w:ind w:right="-720"/>
              <w:rPr>
                <w:rFonts w:ascii="Calibri" w:hAnsi="Calibri"/>
                <w:sz w:val="20"/>
              </w:rPr>
            </w:pPr>
            <w:r>
              <w:rPr>
                <w:rFonts w:ascii="Calibri" w:hAnsi="Calibri"/>
                <w:sz w:val="20"/>
                <w:szCs w:val="22"/>
              </w:rPr>
              <w:t>115 with severe burdens</w:t>
            </w:r>
          </w:p>
        </w:tc>
      </w:tr>
      <w:tr w:rsidR="00DE29B8" w14:paraId="1F95110F" w14:textId="77777777" w:rsidTr="000C2892">
        <w:trPr>
          <w:cantSplit/>
          <w:jc w:val="center"/>
        </w:trPr>
        <w:tc>
          <w:tcPr>
            <w:tcW w:w="1486" w:type="pct"/>
            <w:tcBorders>
              <w:bottom w:val="single" w:sz="4" w:space="0" w:color="auto"/>
            </w:tcBorders>
          </w:tcPr>
          <w:p w14:paraId="40CBEED6" w14:textId="77777777" w:rsidR="009B6AC7" w:rsidRDefault="009B6AC7" w:rsidP="000A6E84">
            <w:pPr>
              <w:ind w:right="-720"/>
              <w:rPr>
                <w:rFonts w:ascii="Calibri" w:hAnsi="Calibri"/>
                <w:b/>
                <w:i/>
                <w:sz w:val="20"/>
              </w:rPr>
            </w:pPr>
          </w:p>
          <w:p w14:paraId="0DA6668B" w14:textId="34948555" w:rsidR="00DE29B8" w:rsidRPr="00123A1B" w:rsidRDefault="00DE29B8" w:rsidP="000A6E84">
            <w:pPr>
              <w:ind w:right="-720"/>
              <w:rPr>
                <w:rFonts w:ascii="Calibri" w:hAnsi="Calibri"/>
                <w:b/>
                <w:i/>
                <w:sz w:val="20"/>
              </w:rPr>
            </w:pPr>
            <w:r w:rsidRPr="00123A1B">
              <w:rPr>
                <w:rFonts w:ascii="Calibri" w:hAnsi="Calibri"/>
                <w:b/>
                <w:i/>
                <w:sz w:val="20"/>
                <w:szCs w:val="22"/>
              </w:rPr>
              <w:t>Total</w:t>
            </w:r>
          </w:p>
        </w:tc>
        <w:tc>
          <w:tcPr>
            <w:tcW w:w="1046" w:type="pct"/>
            <w:tcBorders>
              <w:bottom w:val="single" w:sz="4" w:space="0" w:color="auto"/>
            </w:tcBorders>
            <w:vAlign w:val="center"/>
          </w:tcPr>
          <w:p w14:paraId="43B895D2" w14:textId="7D4086B1" w:rsidR="00DE29B8" w:rsidRPr="00123A1B" w:rsidRDefault="009B6AC7" w:rsidP="000A6E84">
            <w:pPr>
              <w:ind w:right="-720"/>
              <w:rPr>
                <w:rFonts w:ascii="Calibri" w:hAnsi="Calibri"/>
                <w:b/>
                <w:i/>
                <w:sz w:val="20"/>
              </w:rPr>
            </w:pPr>
            <w:r>
              <w:rPr>
                <w:rFonts w:ascii="Calibri" w:hAnsi="Calibri"/>
                <w:b/>
                <w:i/>
                <w:sz w:val="20"/>
                <w:szCs w:val="22"/>
              </w:rPr>
              <w:t>8,955</w:t>
            </w:r>
          </w:p>
        </w:tc>
        <w:tc>
          <w:tcPr>
            <w:tcW w:w="1137" w:type="pct"/>
            <w:tcBorders>
              <w:bottom w:val="single" w:sz="4" w:space="0" w:color="auto"/>
            </w:tcBorders>
            <w:vAlign w:val="center"/>
          </w:tcPr>
          <w:p w14:paraId="1B588364" w14:textId="103998DB" w:rsidR="00DE29B8" w:rsidRPr="00123A1B" w:rsidRDefault="009B6AC7" w:rsidP="000A6E84">
            <w:pPr>
              <w:ind w:right="-720"/>
              <w:rPr>
                <w:rFonts w:ascii="Calibri" w:hAnsi="Calibri"/>
                <w:b/>
                <w:i/>
                <w:sz w:val="20"/>
              </w:rPr>
            </w:pPr>
            <w:r>
              <w:rPr>
                <w:rFonts w:ascii="Calibri" w:hAnsi="Calibri"/>
                <w:b/>
                <w:i/>
                <w:sz w:val="20"/>
                <w:szCs w:val="22"/>
              </w:rPr>
              <w:t>7,107</w:t>
            </w:r>
          </w:p>
        </w:tc>
        <w:tc>
          <w:tcPr>
            <w:tcW w:w="1331" w:type="pct"/>
            <w:tcBorders>
              <w:bottom w:val="single" w:sz="4" w:space="0" w:color="auto"/>
            </w:tcBorders>
            <w:vAlign w:val="center"/>
          </w:tcPr>
          <w:p w14:paraId="6B2EA8A8" w14:textId="77777777" w:rsidR="00DE29B8" w:rsidRDefault="009B6AC7" w:rsidP="000A6E84">
            <w:pPr>
              <w:ind w:right="-720"/>
              <w:rPr>
                <w:rFonts w:ascii="Calibri" w:hAnsi="Calibri"/>
                <w:b/>
                <w:i/>
                <w:sz w:val="20"/>
              </w:rPr>
            </w:pPr>
            <w:r>
              <w:rPr>
                <w:rFonts w:ascii="Calibri" w:hAnsi="Calibri"/>
                <w:b/>
                <w:i/>
                <w:sz w:val="20"/>
                <w:szCs w:val="22"/>
              </w:rPr>
              <w:t>1,848</w:t>
            </w:r>
            <w:r w:rsidR="00DE29B8">
              <w:rPr>
                <w:rFonts w:ascii="Calibri" w:hAnsi="Calibri"/>
                <w:b/>
                <w:i/>
                <w:sz w:val="20"/>
                <w:szCs w:val="22"/>
              </w:rPr>
              <w:t xml:space="preserve"> (</w:t>
            </w:r>
            <w:r>
              <w:rPr>
                <w:rFonts w:ascii="Calibri" w:hAnsi="Calibri"/>
                <w:b/>
                <w:i/>
                <w:sz w:val="20"/>
                <w:szCs w:val="22"/>
              </w:rPr>
              <w:t>20.6</w:t>
            </w:r>
            <w:r w:rsidR="00DE29B8">
              <w:rPr>
                <w:rFonts w:ascii="Calibri" w:hAnsi="Calibri"/>
                <w:b/>
                <w:i/>
                <w:sz w:val="20"/>
                <w:szCs w:val="22"/>
              </w:rPr>
              <w:t>%)</w:t>
            </w:r>
          </w:p>
          <w:p w14:paraId="270CE406" w14:textId="77777777" w:rsidR="009B6AC7" w:rsidRDefault="009B6AC7" w:rsidP="000A6E84">
            <w:pPr>
              <w:ind w:right="-720"/>
              <w:rPr>
                <w:rFonts w:ascii="Calibri" w:hAnsi="Calibri"/>
                <w:b/>
                <w:i/>
                <w:sz w:val="20"/>
              </w:rPr>
            </w:pPr>
            <w:r>
              <w:rPr>
                <w:rFonts w:ascii="Calibri" w:hAnsi="Calibri"/>
                <w:b/>
                <w:i/>
                <w:sz w:val="20"/>
                <w:szCs w:val="22"/>
              </w:rPr>
              <w:t xml:space="preserve">703 or 7.8% with severe </w:t>
            </w:r>
          </w:p>
          <w:p w14:paraId="2DB54E99" w14:textId="7B8E8EE5" w:rsidR="009B6AC7" w:rsidRPr="00123A1B" w:rsidRDefault="009B6AC7" w:rsidP="000A6E84">
            <w:pPr>
              <w:ind w:right="-720"/>
              <w:rPr>
                <w:rFonts w:ascii="Calibri" w:hAnsi="Calibri"/>
                <w:b/>
                <w:i/>
                <w:sz w:val="20"/>
              </w:rPr>
            </w:pPr>
            <w:r>
              <w:rPr>
                <w:rFonts w:ascii="Calibri" w:hAnsi="Calibri"/>
                <w:b/>
                <w:i/>
                <w:sz w:val="20"/>
                <w:szCs w:val="22"/>
              </w:rPr>
              <w:t>burdens</w:t>
            </w:r>
          </w:p>
        </w:tc>
      </w:tr>
      <w:tr w:rsidR="00DE29B8" w14:paraId="5D82626D" w14:textId="77777777" w:rsidTr="000C2892">
        <w:trPr>
          <w:cantSplit/>
          <w:jc w:val="center"/>
        </w:trPr>
        <w:tc>
          <w:tcPr>
            <w:tcW w:w="1486" w:type="pct"/>
            <w:tcBorders>
              <w:bottom w:val="single" w:sz="4" w:space="0" w:color="auto"/>
            </w:tcBorders>
          </w:tcPr>
          <w:p w14:paraId="34BC3F3F" w14:textId="77777777" w:rsidR="00DE29B8" w:rsidRPr="00123A1B" w:rsidRDefault="00DE29B8" w:rsidP="000A6E84">
            <w:pPr>
              <w:ind w:right="-720"/>
              <w:rPr>
                <w:rFonts w:ascii="Calibri" w:hAnsi="Calibri"/>
                <w:b/>
                <w:sz w:val="20"/>
              </w:rPr>
            </w:pPr>
            <w:r>
              <w:rPr>
                <w:rFonts w:ascii="Calibri" w:hAnsi="Calibri"/>
                <w:b/>
                <w:sz w:val="20"/>
                <w:szCs w:val="22"/>
              </w:rPr>
              <w:t>TOTAL</w:t>
            </w:r>
          </w:p>
        </w:tc>
        <w:tc>
          <w:tcPr>
            <w:tcW w:w="1046" w:type="pct"/>
            <w:tcBorders>
              <w:bottom w:val="single" w:sz="4" w:space="0" w:color="auto"/>
            </w:tcBorders>
            <w:vAlign w:val="center"/>
          </w:tcPr>
          <w:p w14:paraId="34D322B6" w14:textId="40E29E32" w:rsidR="00DE29B8" w:rsidRPr="00123A1B" w:rsidRDefault="009B6AC7" w:rsidP="000A6E84">
            <w:pPr>
              <w:ind w:right="-720"/>
              <w:rPr>
                <w:rFonts w:ascii="Calibri" w:hAnsi="Calibri"/>
                <w:b/>
                <w:sz w:val="20"/>
              </w:rPr>
            </w:pPr>
            <w:r>
              <w:rPr>
                <w:rFonts w:ascii="Calibri" w:hAnsi="Calibri"/>
                <w:b/>
                <w:sz w:val="20"/>
                <w:szCs w:val="22"/>
              </w:rPr>
              <w:t>10,765</w:t>
            </w:r>
          </w:p>
        </w:tc>
        <w:tc>
          <w:tcPr>
            <w:tcW w:w="1137" w:type="pct"/>
            <w:tcBorders>
              <w:bottom w:val="single" w:sz="4" w:space="0" w:color="auto"/>
            </w:tcBorders>
            <w:vAlign w:val="center"/>
          </w:tcPr>
          <w:p w14:paraId="22E77D41" w14:textId="2D4F6E76" w:rsidR="00DE29B8" w:rsidRPr="00123A1B" w:rsidRDefault="009B6AC7" w:rsidP="000A6E84">
            <w:pPr>
              <w:ind w:right="-720"/>
              <w:rPr>
                <w:rFonts w:ascii="Calibri" w:hAnsi="Calibri"/>
                <w:b/>
                <w:sz w:val="20"/>
              </w:rPr>
            </w:pPr>
            <w:r>
              <w:rPr>
                <w:rFonts w:ascii="Calibri" w:hAnsi="Calibri"/>
                <w:b/>
                <w:sz w:val="20"/>
                <w:szCs w:val="22"/>
              </w:rPr>
              <w:t>8,177</w:t>
            </w:r>
          </w:p>
        </w:tc>
        <w:tc>
          <w:tcPr>
            <w:tcW w:w="1331" w:type="pct"/>
            <w:tcBorders>
              <w:bottom w:val="single" w:sz="4" w:space="0" w:color="auto"/>
            </w:tcBorders>
            <w:vAlign w:val="center"/>
          </w:tcPr>
          <w:p w14:paraId="16BB9F6A" w14:textId="77777777" w:rsidR="00DE29B8" w:rsidRDefault="00E94F40" w:rsidP="000A6E84">
            <w:pPr>
              <w:ind w:right="-720"/>
              <w:rPr>
                <w:rFonts w:ascii="Calibri" w:hAnsi="Calibri"/>
                <w:b/>
                <w:sz w:val="20"/>
              </w:rPr>
            </w:pPr>
            <w:r>
              <w:rPr>
                <w:rFonts w:ascii="Calibri" w:hAnsi="Calibri"/>
                <w:b/>
                <w:sz w:val="20"/>
                <w:szCs w:val="22"/>
              </w:rPr>
              <w:t>2,588</w:t>
            </w:r>
            <w:r w:rsidR="00DE29B8">
              <w:rPr>
                <w:rFonts w:ascii="Calibri" w:hAnsi="Calibri"/>
                <w:b/>
                <w:sz w:val="20"/>
                <w:szCs w:val="22"/>
              </w:rPr>
              <w:t xml:space="preserve"> (</w:t>
            </w:r>
            <w:r w:rsidR="009B6AC7">
              <w:rPr>
                <w:rFonts w:ascii="Calibri" w:hAnsi="Calibri"/>
                <w:b/>
                <w:sz w:val="20"/>
                <w:szCs w:val="22"/>
              </w:rPr>
              <w:t>24.0</w:t>
            </w:r>
            <w:r w:rsidR="00DE29B8">
              <w:rPr>
                <w:rFonts w:ascii="Calibri" w:hAnsi="Calibri"/>
                <w:b/>
                <w:sz w:val="20"/>
                <w:szCs w:val="22"/>
              </w:rPr>
              <w:t>%)</w:t>
            </w:r>
          </w:p>
          <w:p w14:paraId="2E2522DB" w14:textId="77777777" w:rsidR="00E94F40" w:rsidRDefault="00E94F40" w:rsidP="000A6E84">
            <w:pPr>
              <w:ind w:right="-720"/>
              <w:rPr>
                <w:rFonts w:ascii="Calibri" w:hAnsi="Calibri"/>
                <w:b/>
                <w:sz w:val="20"/>
              </w:rPr>
            </w:pPr>
            <w:r>
              <w:rPr>
                <w:rFonts w:ascii="Calibri" w:hAnsi="Calibri"/>
                <w:b/>
                <w:sz w:val="20"/>
                <w:szCs w:val="22"/>
              </w:rPr>
              <w:t>1,163 or 10.8% with severe</w:t>
            </w:r>
          </w:p>
          <w:p w14:paraId="25BCF7FD" w14:textId="1E704E4D" w:rsidR="000D1F78" w:rsidRPr="00123A1B" w:rsidRDefault="000D1F78" w:rsidP="000A6E84">
            <w:pPr>
              <w:ind w:right="-720"/>
              <w:rPr>
                <w:rFonts w:ascii="Calibri" w:hAnsi="Calibri"/>
                <w:b/>
                <w:sz w:val="20"/>
              </w:rPr>
            </w:pPr>
            <w:r>
              <w:rPr>
                <w:rFonts w:ascii="Calibri" w:hAnsi="Calibri"/>
                <w:b/>
                <w:sz w:val="20"/>
                <w:szCs w:val="22"/>
              </w:rPr>
              <w:t>B</w:t>
            </w:r>
            <w:r w:rsidR="00E94F40">
              <w:rPr>
                <w:rFonts w:ascii="Calibri" w:hAnsi="Calibri"/>
                <w:b/>
                <w:sz w:val="20"/>
                <w:szCs w:val="22"/>
              </w:rPr>
              <w:t>urdens</w:t>
            </w:r>
          </w:p>
        </w:tc>
      </w:tr>
      <w:tr w:rsidR="00DE29B8" w14:paraId="6BD3FFD8" w14:textId="77777777" w:rsidTr="000C2892">
        <w:trPr>
          <w:jc w:val="center"/>
        </w:trPr>
        <w:tc>
          <w:tcPr>
            <w:tcW w:w="1486" w:type="pct"/>
            <w:tcBorders>
              <w:top w:val="single" w:sz="18" w:space="0" w:color="auto"/>
            </w:tcBorders>
          </w:tcPr>
          <w:p w14:paraId="6E06CE4E" w14:textId="77777777" w:rsidR="00DE29B8" w:rsidRPr="00EC29B0" w:rsidRDefault="00DE29B8" w:rsidP="000A6E84">
            <w:pPr>
              <w:ind w:right="-720"/>
              <w:rPr>
                <w:rFonts w:ascii="Calibri" w:hAnsi="Calibri"/>
                <w:b/>
                <w:sz w:val="20"/>
                <w:szCs w:val="20"/>
              </w:rPr>
            </w:pPr>
          </w:p>
          <w:p w14:paraId="162576F5" w14:textId="77777777" w:rsidR="00DE29B8" w:rsidRDefault="00DE29B8" w:rsidP="000A6E84">
            <w:pPr>
              <w:ind w:right="-720"/>
              <w:rPr>
                <w:rFonts w:ascii="Calibri" w:hAnsi="Calibri"/>
                <w:b/>
                <w:sz w:val="20"/>
                <w:szCs w:val="20"/>
              </w:rPr>
            </w:pPr>
            <w:r w:rsidRPr="00EC29B0">
              <w:rPr>
                <w:rFonts w:ascii="Calibri" w:hAnsi="Calibri"/>
                <w:b/>
                <w:sz w:val="20"/>
                <w:szCs w:val="20"/>
              </w:rPr>
              <w:t xml:space="preserve">Target Population in </w:t>
            </w:r>
          </w:p>
          <w:p w14:paraId="365148C8" w14:textId="77777777" w:rsidR="00DE29B8" w:rsidRPr="00EC29B0" w:rsidRDefault="00DE29B8" w:rsidP="000A6E84">
            <w:pPr>
              <w:ind w:right="-720"/>
              <w:rPr>
                <w:rFonts w:ascii="Calibri" w:hAnsi="Calibri"/>
                <w:b/>
                <w:sz w:val="20"/>
                <w:szCs w:val="20"/>
              </w:rPr>
            </w:pPr>
            <w:r w:rsidRPr="00EC29B0">
              <w:rPr>
                <w:rFonts w:ascii="Calibri" w:hAnsi="Calibri"/>
                <w:b/>
                <w:sz w:val="20"/>
                <w:szCs w:val="20"/>
              </w:rPr>
              <w:t>Need</w:t>
            </w:r>
          </w:p>
        </w:tc>
        <w:tc>
          <w:tcPr>
            <w:tcW w:w="1046" w:type="pct"/>
            <w:tcBorders>
              <w:top w:val="single" w:sz="18" w:space="0" w:color="auto"/>
            </w:tcBorders>
          </w:tcPr>
          <w:p w14:paraId="6761E7D6"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All Units Occupied </w:t>
            </w:r>
          </w:p>
          <w:p w14:paraId="3207EC03"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By Those Earning </w:t>
            </w:r>
            <w:r>
              <w:rPr>
                <w:rFonts w:ascii="Calibri" w:hAnsi="Calibri"/>
                <w:b/>
                <w:bCs/>
                <w:sz w:val="20"/>
                <w:szCs w:val="20"/>
              </w:rPr>
              <w:t>≤</w:t>
            </w:r>
          </w:p>
          <w:p w14:paraId="74F5FED0" w14:textId="25CDEACC"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80% </w:t>
            </w:r>
            <w:r w:rsidR="006B5A0D">
              <w:rPr>
                <w:rFonts w:ascii="Calibri" w:hAnsi="Calibri"/>
                <w:b/>
                <w:bCs/>
                <w:sz w:val="20"/>
                <w:szCs w:val="20"/>
              </w:rPr>
              <w:t>A</w:t>
            </w:r>
            <w:r w:rsidRPr="00EC29B0">
              <w:rPr>
                <w:rFonts w:ascii="Calibri" w:hAnsi="Calibri"/>
                <w:b/>
                <w:bCs/>
                <w:sz w:val="20"/>
                <w:szCs w:val="20"/>
              </w:rPr>
              <w:t>MI</w:t>
            </w:r>
          </w:p>
        </w:tc>
        <w:tc>
          <w:tcPr>
            <w:tcW w:w="1137" w:type="pct"/>
            <w:tcBorders>
              <w:top w:val="single" w:sz="18" w:space="0" w:color="auto"/>
            </w:tcBorders>
          </w:tcPr>
          <w:p w14:paraId="1C3D5598"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Housing Available</w:t>
            </w:r>
          </w:p>
          <w:p w14:paraId="78096E93"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That is Affordable </w:t>
            </w:r>
          </w:p>
          <w:p w14:paraId="1CE3ECC0" w14:textId="77777777" w:rsidR="00DE29B8" w:rsidRDefault="00DE29B8" w:rsidP="000A6E84">
            <w:pPr>
              <w:ind w:right="-720"/>
              <w:rPr>
                <w:rFonts w:ascii="Calibri" w:hAnsi="Calibri"/>
                <w:b/>
                <w:bCs/>
                <w:sz w:val="20"/>
                <w:szCs w:val="20"/>
              </w:rPr>
            </w:pPr>
            <w:r w:rsidRPr="00EC29B0">
              <w:rPr>
                <w:rFonts w:ascii="Calibri" w:hAnsi="Calibri"/>
                <w:b/>
                <w:bCs/>
                <w:sz w:val="20"/>
                <w:szCs w:val="20"/>
              </w:rPr>
              <w:t xml:space="preserve">to Those Earning </w:t>
            </w:r>
            <w:r>
              <w:rPr>
                <w:rFonts w:ascii="Calibri" w:hAnsi="Calibri"/>
                <w:b/>
                <w:bCs/>
                <w:sz w:val="20"/>
                <w:szCs w:val="20"/>
              </w:rPr>
              <w:t>≤</w:t>
            </w:r>
          </w:p>
          <w:p w14:paraId="6EFE323A" w14:textId="34C0E68A"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80% </w:t>
            </w:r>
            <w:r w:rsidR="006B5A0D">
              <w:rPr>
                <w:rFonts w:ascii="Calibri" w:hAnsi="Calibri"/>
                <w:b/>
                <w:bCs/>
                <w:sz w:val="20"/>
                <w:szCs w:val="20"/>
              </w:rPr>
              <w:t>A</w:t>
            </w:r>
            <w:r w:rsidRPr="00EC29B0">
              <w:rPr>
                <w:rFonts w:ascii="Calibri" w:hAnsi="Calibri"/>
                <w:b/>
                <w:bCs/>
                <w:sz w:val="20"/>
                <w:szCs w:val="20"/>
              </w:rPr>
              <w:t>MI</w:t>
            </w:r>
          </w:p>
        </w:tc>
        <w:tc>
          <w:tcPr>
            <w:tcW w:w="1331" w:type="pct"/>
            <w:tcBorders>
              <w:top w:val="single" w:sz="18" w:space="0" w:color="auto"/>
            </w:tcBorders>
          </w:tcPr>
          <w:p w14:paraId="28D9C8EB"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All Those with Cost</w:t>
            </w:r>
          </w:p>
          <w:p w14:paraId="45FD9DF0" w14:textId="77777777" w:rsidR="00DE29B8" w:rsidRDefault="00DE29B8" w:rsidP="000A6E84">
            <w:pPr>
              <w:ind w:right="-720"/>
              <w:rPr>
                <w:rFonts w:ascii="Calibri" w:hAnsi="Calibri"/>
                <w:b/>
                <w:bCs/>
                <w:sz w:val="20"/>
                <w:szCs w:val="20"/>
              </w:rPr>
            </w:pPr>
            <w:r w:rsidRPr="00EC29B0">
              <w:rPr>
                <w:rFonts w:ascii="Calibri" w:hAnsi="Calibri"/>
                <w:b/>
                <w:bCs/>
                <w:sz w:val="20"/>
                <w:szCs w:val="20"/>
              </w:rPr>
              <w:t>Burdens/</w:t>
            </w:r>
            <w:r>
              <w:rPr>
                <w:rFonts w:ascii="Calibri" w:hAnsi="Calibri"/>
                <w:b/>
                <w:bCs/>
                <w:sz w:val="20"/>
                <w:szCs w:val="20"/>
              </w:rPr>
              <w:t>Unmet Needs</w:t>
            </w:r>
          </w:p>
          <w:p w14:paraId="2DA0CD5D" w14:textId="77777777" w:rsidR="00DE29B8" w:rsidRPr="00EC29B0" w:rsidRDefault="00DE29B8" w:rsidP="000A6E84">
            <w:pPr>
              <w:ind w:right="-720"/>
              <w:rPr>
                <w:rFonts w:ascii="Calibri" w:hAnsi="Calibri"/>
                <w:b/>
                <w:bCs/>
                <w:sz w:val="20"/>
                <w:szCs w:val="20"/>
              </w:rPr>
            </w:pPr>
            <w:r w:rsidRPr="00EC29B0">
              <w:rPr>
                <w:rFonts w:ascii="Calibri" w:hAnsi="Calibri"/>
                <w:b/>
                <w:bCs/>
                <w:sz w:val="20"/>
                <w:szCs w:val="20"/>
              </w:rPr>
              <w:t>Occupied by Those</w:t>
            </w:r>
          </w:p>
          <w:p w14:paraId="0CF34613" w14:textId="5D5C9DC5" w:rsidR="00DE29B8" w:rsidRPr="00EC29B0" w:rsidRDefault="00DE29B8" w:rsidP="000A6E84">
            <w:pPr>
              <w:ind w:right="-720"/>
              <w:rPr>
                <w:rFonts w:ascii="Calibri" w:hAnsi="Calibri"/>
                <w:b/>
                <w:bCs/>
                <w:sz w:val="20"/>
                <w:szCs w:val="20"/>
              </w:rPr>
            </w:pPr>
            <w:r w:rsidRPr="00EC29B0">
              <w:rPr>
                <w:rFonts w:ascii="Calibri" w:hAnsi="Calibri"/>
                <w:b/>
                <w:bCs/>
                <w:sz w:val="20"/>
                <w:szCs w:val="20"/>
              </w:rPr>
              <w:t xml:space="preserve">Earning </w:t>
            </w:r>
            <w:r>
              <w:rPr>
                <w:rFonts w:ascii="Calibri" w:hAnsi="Calibri"/>
                <w:b/>
                <w:bCs/>
                <w:sz w:val="20"/>
                <w:szCs w:val="20"/>
              </w:rPr>
              <w:t xml:space="preserve">≤ </w:t>
            </w:r>
            <w:r w:rsidRPr="00EC29B0">
              <w:rPr>
                <w:rFonts w:ascii="Calibri" w:hAnsi="Calibri"/>
                <w:b/>
                <w:bCs/>
                <w:sz w:val="20"/>
                <w:szCs w:val="20"/>
              </w:rPr>
              <w:t xml:space="preserve">80% </w:t>
            </w:r>
            <w:r w:rsidR="006B5A0D">
              <w:rPr>
                <w:rFonts w:ascii="Calibri" w:hAnsi="Calibri"/>
                <w:b/>
                <w:bCs/>
                <w:sz w:val="20"/>
                <w:szCs w:val="20"/>
              </w:rPr>
              <w:t>A</w:t>
            </w:r>
            <w:r w:rsidRPr="00EC29B0">
              <w:rPr>
                <w:rFonts w:ascii="Calibri" w:hAnsi="Calibri"/>
                <w:b/>
                <w:bCs/>
                <w:sz w:val="20"/>
                <w:szCs w:val="20"/>
              </w:rPr>
              <w:t>MI</w:t>
            </w:r>
          </w:p>
        </w:tc>
      </w:tr>
      <w:tr w:rsidR="00DE29B8" w14:paraId="51E85AF9" w14:textId="77777777" w:rsidTr="000C2892">
        <w:trPr>
          <w:jc w:val="center"/>
        </w:trPr>
        <w:tc>
          <w:tcPr>
            <w:tcW w:w="1486" w:type="pct"/>
            <w:tcBorders>
              <w:top w:val="single" w:sz="4" w:space="0" w:color="auto"/>
            </w:tcBorders>
          </w:tcPr>
          <w:p w14:paraId="3F0B0378" w14:textId="77777777" w:rsidR="00DE29B8" w:rsidRDefault="00DE29B8" w:rsidP="000A6E84">
            <w:pPr>
              <w:ind w:right="-720"/>
              <w:rPr>
                <w:rFonts w:ascii="Calibri" w:hAnsi="Calibri"/>
                <w:sz w:val="20"/>
              </w:rPr>
            </w:pPr>
            <w:r>
              <w:rPr>
                <w:rFonts w:ascii="Calibri" w:hAnsi="Calibri"/>
                <w:sz w:val="20"/>
                <w:szCs w:val="22"/>
              </w:rPr>
              <w:t>Seniors (62 and over)</w:t>
            </w:r>
          </w:p>
        </w:tc>
        <w:tc>
          <w:tcPr>
            <w:tcW w:w="1046" w:type="pct"/>
            <w:tcBorders>
              <w:top w:val="single" w:sz="4" w:space="0" w:color="auto"/>
            </w:tcBorders>
            <w:vAlign w:val="center"/>
          </w:tcPr>
          <w:p w14:paraId="2490F221" w14:textId="2E54C13D" w:rsidR="00DE29B8" w:rsidRDefault="00247210" w:rsidP="000A6E84">
            <w:pPr>
              <w:ind w:right="-720"/>
              <w:rPr>
                <w:rFonts w:ascii="Calibri" w:hAnsi="Calibri"/>
                <w:sz w:val="20"/>
              </w:rPr>
            </w:pPr>
            <w:r>
              <w:rPr>
                <w:rFonts w:ascii="Calibri" w:hAnsi="Calibri"/>
                <w:sz w:val="20"/>
                <w:szCs w:val="22"/>
              </w:rPr>
              <w:t>570</w:t>
            </w:r>
            <w:r w:rsidR="00DE29B8">
              <w:rPr>
                <w:rFonts w:ascii="Calibri" w:hAnsi="Calibri"/>
                <w:sz w:val="20"/>
                <w:szCs w:val="22"/>
              </w:rPr>
              <w:t xml:space="preserve"> Renters</w:t>
            </w:r>
          </w:p>
          <w:p w14:paraId="67A5A62A" w14:textId="72438AB1" w:rsidR="00DE29B8" w:rsidRDefault="00247210" w:rsidP="000A6E84">
            <w:pPr>
              <w:ind w:right="-720"/>
              <w:rPr>
                <w:rFonts w:ascii="Calibri" w:hAnsi="Calibri"/>
                <w:sz w:val="20"/>
              </w:rPr>
            </w:pPr>
            <w:r>
              <w:rPr>
                <w:rFonts w:ascii="Calibri" w:hAnsi="Calibri"/>
                <w:sz w:val="20"/>
                <w:szCs w:val="22"/>
              </w:rPr>
              <w:t>715</w:t>
            </w:r>
            <w:r w:rsidR="00DE29B8">
              <w:rPr>
                <w:rFonts w:ascii="Calibri" w:hAnsi="Calibri"/>
                <w:sz w:val="20"/>
                <w:szCs w:val="22"/>
              </w:rPr>
              <w:t xml:space="preserve"> Owners</w:t>
            </w:r>
          </w:p>
        </w:tc>
        <w:tc>
          <w:tcPr>
            <w:tcW w:w="1137" w:type="pct"/>
            <w:tcBorders>
              <w:top w:val="single" w:sz="4" w:space="0" w:color="auto"/>
            </w:tcBorders>
            <w:vAlign w:val="center"/>
          </w:tcPr>
          <w:p w14:paraId="58E492B7" w14:textId="28A2FF8B" w:rsidR="00DE29B8" w:rsidRDefault="00D82BBE" w:rsidP="000A6E84">
            <w:pPr>
              <w:ind w:right="-720"/>
              <w:rPr>
                <w:rFonts w:ascii="Calibri" w:hAnsi="Calibri"/>
                <w:sz w:val="20"/>
              </w:rPr>
            </w:pPr>
            <w:r>
              <w:rPr>
                <w:rFonts w:ascii="Calibri" w:hAnsi="Calibri"/>
                <w:sz w:val="20"/>
                <w:szCs w:val="22"/>
              </w:rPr>
              <w:t>230</w:t>
            </w:r>
            <w:r w:rsidR="00DE29B8">
              <w:rPr>
                <w:rFonts w:ascii="Calibri" w:hAnsi="Calibri"/>
                <w:sz w:val="20"/>
                <w:szCs w:val="22"/>
              </w:rPr>
              <w:t xml:space="preserve"> Renters</w:t>
            </w:r>
          </w:p>
          <w:p w14:paraId="53DD612D" w14:textId="198AE93F" w:rsidR="00DE29B8" w:rsidRDefault="00D82BBE" w:rsidP="000A6E84">
            <w:pPr>
              <w:ind w:right="-720"/>
              <w:rPr>
                <w:rFonts w:ascii="Calibri" w:hAnsi="Calibri"/>
                <w:sz w:val="20"/>
              </w:rPr>
            </w:pPr>
            <w:r>
              <w:rPr>
                <w:rFonts w:ascii="Calibri" w:hAnsi="Calibri"/>
                <w:sz w:val="20"/>
                <w:szCs w:val="22"/>
              </w:rPr>
              <w:t>226</w:t>
            </w:r>
            <w:r w:rsidR="00DE29B8">
              <w:rPr>
                <w:rFonts w:ascii="Calibri" w:hAnsi="Calibri"/>
                <w:sz w:val="20"/>
                <w:szCs w:val="22"/>
              </w:rPr>
              <w:t xml:space="preserve"> Owners</w:t>
            </w:r>
          </w:p>
        </w:tc>
        <w:tc>
          <w:tcPr>
            <w:tcW w:w="1331" w:type="pct"/>
            <w:tcBorders>
              <w:top w:val="single" w:sz="4" w:space="0" w:color="auto"/>
            </w:tcBorders>
            <w:vAlign w:val="center"/>
          </w:tcPr>
          <w:p w14:paraId="6EE5EE5C" w14:textId="5323FF4C" w:rsidR="00DE29B8" w:rsidRDefault="00D82BBE" w:rsidP="000A6E84">
            <w:pPr>
              <w:ind w:right="-720"/>
              <w:rPr>
                <w:rFonts w:ascii="Calibri" w:hAnsi="Calibri"/>
                <w:sz w:val="20"/>
              </w:rPr>
            </w:pPr>
            <w:r>
              <w:rPr>
                <w:rFonts w:ascii="Calibri" w:hAnsi="Calibri"/>
                <w:sz w:val="20"/>
                <w:szCs w:val="22"/>
              </w:rPr>
              <w:t>340</w:t>
            </w:r>
            <w:r w:rsidR="00DE29B8">
              <w:rPr>
                <w:rFonts w:ascii="Calibri" w:hAnsi="Calibri"/>
                <w:sz w:val="20"/>
                <w:szCs w:val="22"/>
              </w:rPr>
              <w:t xml:space="preserve"> Renters (</w:t>
            </w:r>
            <w:r>
              <w:rPr>
                <w:rFonts w:ascii="Calibri" w:hAnsi="Calibri"/>
                <w:sz w:val="20"/>
                <w:szCs w:val="22"/>
              </w:rPr>
              <w:t>59.6</w:t>
            </w:r>
            <w:r w:rsidR="00DE29B8">
              <w:rPr>
                <w:rFonts w:ascii="Calibri" w:hAnsi="Calibri"/>
                <w:sz w:val="20"/>
                <w:szCs w:val="22"/>
              </w:rPr>
              <w:t>%)</w:t>
            </w:r>
          </w:p>
          <w:p w14:paraId="05F638A9" w14:textId="57CF4835" w:rsidR="00DE29B8" w:rsidRDefault="00D82BBE" w:rsidP="000A6E84">
            <w:pPr>
              <w:ind w:right="-720"/>
              <w:rPr>
                <w:rFonts w:ascii="Calibri" w:hAnsi="Calibri"/>
                <w:sz w:val="20"/>
              </w:rPr>
            </w:pPr>
            <w:r>
              <w:rPr>
                <w:rFonts w:ascii="Calibri" w:hAnsi="Calibri"/>
                <w:sz w:val="20"/>
                <w:szCs w:val="22"/>
              </w:rPr>
              <w:t>489</w:t>
            </w:r>
            <w:r w:rsidR="00DE29B8">
              <w:rPr>
                <w:rFonts w:ascii="Calibri" w:hAnsi="Calibri"/>
                <w:sz w:val="20"/>
                <w:szCs w:val="22"/>
              </w:rPr>
              <w:t xml:space="preserve"> Owners (</w:t>
            </w:r>
            <w:r>
              <w:rPr>
                <w:rFonts w:ascii="Calibri" w:hAnsi="Calibri"/>
                <w:sz w:val="20"/>
                <w:szCs w:val="22"/>
              </w:rPr>
              <w:t>68.4</w:t>
            </w:r>
            <w:r w:rsidR="00DE29B8">
              <w:rPr>
                <w:rFonts w:ascii="Calibri" w:hAnsi="Calibri"/>
                <w:sz w:val="20"/>
                <w:szCs w:val="22"/>
              </w:rPr>
              <w:t>%)</w:t>
            </w:r>
          </w:p>
        </w:tc>
      </w:tr>
      <w:tr w:rsidR="00DE29B8" w14:paraId="0E2F3977" w14:textId="77777777" w:rsidTr="000C2892">
        <w:trPr>
          <w:jc w:val="center"/>
        </w:trPr>
        <w:tc>
          <w:tcPr>
            <w:tcW w:w="1486" w:type="pct"/>
            <w:tcBorders>
              <w:top w:val="single" w:sz="4" w:space="0" w:color="auto"/>
              <w:bottom w:val="single" w:sz="4" w:space="0" w:color="auto"/>
            </w:tcBorders>
          </w:tcPr>
          <w:p w14:paraId="59F6E968" w14:textId="77777777" w:rsidR="00DE29B8" w:rsidRDefault="00DE29B8" w:rsidP="000A6E84">
            <w:pPr>
              <w:ind w:right="-720"/>
              <w:rPr>
                <w:rFonts w:ascii="Calibri" w:hAnsi="Calibri"/>
                <w:sz w:val="20"/>
              </w:rPr>
            </w:pPr>
            <w:r>
              <w:rPr>
                <w:rFonts w:ascii="Calibri" w:hAnsi="Calibri"/>
                <w:sz w:val="20"/>
                <w:szCs w:val="22"/>
              </w:rPr>
              <w:t>Families</w:t>
            </w:r>
          </w:p>
        </w:tc>
        <w:tc>
          <w:tcPr>
            <w:tcW w:w="1046" w:type="pct"/>
            <w:tcBorders>
              <w:top w:val="single" w:sz="4" w:space="0" w:color="auto"/>
              <w:bottom w:val="single" w:sz="4" w:space="0" w:color="auto"/>
            </w:tcBorders>
            <w:vAlign w:val="center"/>
          </w:tcPr>
          <w:p w14:paraId="70652AA6" w14:textId="2BE20C68" w:rsidR="00DE29B8" w:rsidRDefault="00247210" w:rsidP="000A6E84">
            <w:pPr>
              <w:ind w:right="-720"/>
              <w:rPr>
                <w:rFonts w:ascii="Calibri" w:hAnsi="Calibri"/>
                <w:sz w:val="20"/>
              </w:rPr>
            </w:pPr>
            <w:r>
              <w:rPr>
                <w:rFonts w:ascii="Calibri" w:hAnsi="Calibri"/>
                <w:sz w:val="20"/>
                <w:szCs w:val="22"/>
              </w:rPr>
              <w:t>225</w:t>
            </w:r>
            <w:r w:rsidR="00DE29B8">
              <w:rPr>
                <w:rFonts w:ascii="Calibri" w:hAnsi="Calibri"/>
                <w:sz w:val="20"/>
                <w:szCs w:val="22"/>
              </w:rPr>
              <w:t xml:space="preserve"> Renters</w:t>
            </w:r>
          </w:p>
          <w:p w14:paraId="74220369" w14:textId="596C9720" w:rsidR="00DE29B8" w:rsidRDefault="00247210" w:rsidP="000A6E84">
            <w:pPr>
              <w:ind w:right="-720"/>
              <w:rPr>
                <w:rFonts w:ascii="Calibri" w:hAnsi="Calibri"/>
                <w:sz w:val="20"/>
              </w:rPr>
            </w:pPr>
            <w:r>
              <w:rPr>
                <w:rFonts w:ascii="Calibri" w:hAnsi="Calibri"/>
                <w:sz w:val="20"/>
                <w:szCs w:val="22"/>
              </w:rPr>
              <w:t>300</w:t>
            </w:r>
            <w:r w:rsidR="00DE29B8">
              <w:rPr>
                <w:rFonts w:ascii="Calibri" w:hAnsi="Calibri"/>
                <w:sz w:val="20"/>
                <w:szCs w:val="22"/>
              </w:rPr>
              <w:t xml:space="preserve"> Owners</w:t>
            </w:r>
          </w:p>
        </w:tc>
        <w:tc>
          <w:tcPr>
            <w:tcW w:w="1137" w:type="pct"/>
            <w:tcBorders>
              <w:top w:val="single" w:sz="4" w:space="0" w:color="auto"/>
              <w:bottom w:val="single" w:sz="4" w:space="0" w:color="auto"/>
            </w:tcBorders>
            <w:vAlign w:val="center"/>
          </w:tcPr>
          <w:p w14:paraId="57E9BC91" w14:textId="77777777" w:rsidR="00DE29B8" w:rsidRDefault="00DE29B8" w:rsidP="000A6E84">
            <w:pPr>
              <w:ind w:right="-720"/>
              <w:rPr>
                <w:rFonts w:ascii="Calibri" w:hAnsi="Calibri"/>
                <w:sz w:val="20"/>
              </w:rPr>
            </w:pPr>
            <w:r>
              <w:rPr>
                <w:rFonts w:ascii="Calibri" w:hAnsi="Calibri"/>
                <w:sz w:val="20"/>
                <w:szCs w:val="22"/>
              </w:rPr>
              <w:t>140 Renters</w:t>
            </w:r>
          </w:p>
          <w:p w14:paraId="3CF3F665" w14:textId="2C8AF2DB" w:rsidR="00DE29B8" w:rsidRDefault="00D82BBE" w:rsidP="000A6E84">
            <w:pPr>
              <w:ind w:right="-720"/>
              <w:rPr>
                <w:rFonts w:ascii="Calibri" w:hAnsi="Calibri"/>
                <w:sz w:val="20"/>
              </w:rPr>
            </w:pPr>
            <w:r>
              <w:rPr>
                <w:rFonts w:ascii="Calibri" w:hAnsi="Calibri"/>
                <w:sz w:val="20"/>
                <w:szCs w:val="22"/>
              </w:rPr>
              <w:t>110</w:t>
            </w:r>
            <w:r w:rsidR="00DE29B8">
              <w:rPr>
                <w:rFonts w:ascii="Calibri" w:hAnsi="Calibri"/>
                <w:sz w:val="20"/>
                <w:szCs w:val="22"/>
              </w:rPr>
              <w:t xml:space="preserve"> Owners</w:t>
            </w:r>
          </w:p>
        </w:tc>
        <w:tc>
          <w:tcPr>
            <w:tcW w:w="1331" w:type="pct"/>
            <w:tcBorders>
              <w:top w:val="single" w:sz="4" w:space="0" w:color="auto"/>
              <w:bottom w:val="single" w:sz="4" w:space="0" w:color="auto"/>
            </w:tcBorders>
            <w:vAlign w:val="center"/>
          </w:tcPr>
          <w:p w14:paraId="764053DC" w14:textId="6B201028" w:rsidR="00DE29B8" w:rsidRDefault="00D82BBE" w:rsidP="000A6E84">
            <w:pPr>
              <w:ind w:right="-720"/>
              <w:rPr>
                <w:rFonts w:ascii="Calibri" w:hAnsi="Calibri"/>
                <w:sz w:val="20"/>
              </w:rPr>
            </w:pPr>
            <w:r>
              <w:rPr>
                <w:rFonts w:ascii="Calibri" w:hAnsi="Calibri"/>
                <w:sz w:val="20"/>
                <w:szCs w:val="22"/>
              </w:rPr>
              <w:t>90</w:t>
            </w:r>
            <w:r w:rsidR="00DE29B8">
              <w:rPr>
                <w:rFonts w:ascii="Calibri" w:hAnsi="Calibri"/>
                <w:sz w:val="20"/>
                <w:szCs w:val="22"/>
              </w:rPr>
              <w:t xml:space="preserve"> Renters (</w:t>
            </w:r>
            <w:r>
              <w:rPr>
                <w:rFonts w:ascii="Calibri" w:hAnsi="Calibri"/>
                <w:sz w:val="20"/>
                <w:szCs w:val="22"/>
              </w:rPr>
              <w:t>40.0</w:t>
            </w:r>
            <w:r w:rsidR="00DE29B8">
              <w:rPr>
                <w:rFonts w:ascii="Calibri" w:hAnsi="Calibri"/>
                <w:sz w:val="20"/>
                <w:szCs w:val="22"/>
              </w:rPr>
              <w:t>%)</w:t>
            </w:r>
          </w:p>
          <w:p w14:paraId="1CDE1097" w14:textId="3B710BBF" w:rsidR="00DE29B8" w:rsidRDefault="00D82BBE" w:rsidP="000A6E84">
            <w:pPr>
              <w:ind w:right="-720"/>
              <w:rPr>
                <w:rFonts w:ascii="Calibri" w:hAnsi="Calibri"/>
                <w:sz w:val="20"/>
              </w:rPr>
            </w:pPr>
            <w:r>
              <w:rPr>
                <w:rFonts w:ascii="Calibri" w:hAnsi="Calibri"/>
                <w:sz w:val="20"/>
                <w:szCs w:val="22"/>
              </w:rPr>
              <w:t>190</w:t>
            </w:r>
            <w:r w:rsidR="00DE29B8">
              <w:rPr>
                <w:rFonts w:ascii="Calibri" w:hAnsi="Calibri"/>
                <w:sz w:val="20"/>
                <w:szCs w:val="22"/>
              </w:rPr>
              <w:t xml:space="preserve"> Owners (</w:t>
            </w:r>
            <w:r>
              <w:rPr>
                <w:rFonts w:ascii="Calibri" w:hAnsi="Calibri"/>
                <w:sz w:val="20"/>
                <w:szCs w:val="22"/>
              </w:rPr>
              <w:t>63.3</w:t>
            </w:r>
            <w:r w:rsidR="00DE29B8">
              <w:rPr>
                <w:rFonts w:ascii="Calibri" w:hAnsi="Calibri"/>
                <w:sz w:val="20"/>
                <w:szCs w:val="22"/>
              </w:rPr>
              <w:t>%)</w:t>
            </w:r>
          </w:p>
        </w:tc>
      </w:tr>
      <w:tr w:rsidR="00DE29B8" w14:paraId="0272F717" w14:textId="77777777" w:rsidTr="000C2892">
        <w:trPr>
          <w:jc w:val="center"/>
        </w:trPr>
        <w:tc>
          <w:tcPr>
            <w:tcW w:w="1486" w:type="pct"/>
            <w:tcBorders>
              <w:top w:val="single" w:sz="4" w:space="0" w:color="auto"/>
            </w:tcBorders>
          </w:tcPr>
          <w:p w14:paraId="44BC3E15" w14:textId="77777777" w:rsidR="00DE29B8" w:rsidRDefault="00DE29B8" w:rsidP="000A6E84">
            <w:pPr>
              <w:ind w:right="-720"/>
              <w:rPr>
                <w:rFonts w:ascii="Calibri" w:hAnsi="Calibri"/>
                <w:sz w:val="20"/>
              </w:rPr>
            </w:pPr>
            <w:r>
              <w:rPr>
                <w:rFonts w:ascii="Calibri" w:hAnsi="Calibri"/>
                <w:sz w:val="20"/>
                <w:szCs w:val="22"/>
              </w:rPr>
              <w:t>Non-elderly Individuals</w:t>
            </w:r>
          </w:p>
        </w:tc>
        <w:tc>
          <w:tcPr>
            <w:tcW w:w="1046" w:type="pct"/>
            <w:tcBorders>
              <w:top w:val="single" w:sz="4" w:space="0" w:color="auto"/>
            </w:tcBorders>
            <w:vAlign w:val="center"/>
          </w:tcPr>
          <w:p w14:paraId="04A679C8" w14:textId="2C109CE0" w:rsidR="00DE29B8" w:rsidRDefault="00247210" w:rsidP="000A6E84">
            <w:pPr>
              <w:ind w:right="-720"/>
              <w:rPr>
                <w:rFonts w:ascii="Calibri" w:hAnsi="Calibri"/>
                <w:sz w:val="20"/>
              </w:rPr>
            </w:pPr>
            <w:r>
              <w:rPr>
                <w:rFonts w:ascii="Calibri" w:hAnsi="Calibri"/>
                <w:sz w:val="20"/>
                <w:szCs w:val="22"/>
              </w:rPr>
              <w:t>235</w:t>
            </w:r>
            <w:r w:rsidR="00DE29B8">
              <w:rPr>
                <w:rFonts w:ascii="Calibri" w:hAnsi="Calibri"/>
                <w:sz w:val="20"/>
                <w:szCs w:val="22"/>
              </w:rPr>
              <w:t xml:space="preserve"> Renters</w:t>
            </w:r>
          </w:p>
          <w:p w14:paraId="019AB272" w14:textId="1548ADBA" w:rsidR="00DE29B8" w:rsidRDefault="00247210" w:rsidP="000A6E84">
            <w:pPr>
              <w:ind w:right="-720"/>
              <w:rPr>
                <w:rFonts w:ascii="Calibri" w:hAnsi="Calibri"/>
                <w:sz w:val="20"/>
              </w:rPr>
            </w:pPr>
            <w:r>
              <w:rPr>
                <w:rFonts w:ascii="Calibri" w:hAnsi="Calibri"/>
                <w:sz w:val="20"/>
                <w:szCs w:val="22"/>
              </w:rPr>
              <w:lastRenderedPageBreak/>
              <w:t>45</w:t>
            </w:r>
            <w:r w:rsidR="00DE29B8">
              <w:rPr>
                <w:rFonts w:ascii="Calibri" w:hAnsi="Calibri"/>
                <w:sz w:val="20"/>
                <w:szCs w:val="22"/>
              </w:rPr>
              <w:t xml:space="preserve"> Owners</w:t>
            </w:r>
          </w:p>
        </w:tc>
        <w:tc>
          <w:tcPr>
            <w:tcW w:w="1137" w:type="pct"/>
            <w:tcBorders>
              <w:top w:val="single" w:sz="4" w:space="0" w:color="auto"/>
            </w:tcBorders>
            <w:vAlign w:val="center"/>
          </w:tcPr>
          <w:p w14:paraId="26BC6927" w14:textId="1707352D" w:rsidR="00DE29B8" w:rsidRDefault="00D82BBE" w:rsidP="000A6E84">
            <w:pPr>
              <w:ind w:right="-720"/>
              <w:rPr>
                <w:rFonts w:ascii="Calibri" w:hAnsi="Calibri"/>
                <w:sz w:val="20"/>
              </w:rPr>
            </w:pPr>
            <w:r>
              <w:rPr>
                <w:rFonts w:ascii="Calibri" w:hAnsi="Calibri"/>
                <w:sz w:val="20"/>
                <w:szCs w:val="22"/>
              </w:rPr>
              <w:lastRenderedPageBreak/>
              <w:t>45</w:t>
            </w:r>
            <w:r w:rsidR="00DE29B8">
              <w:rPr>
                <w:rFonts w:ascii="Calibri" w:hAnsi="Calibri"/>
                <w:sz w:val="20"/>
                <w:szCs w:val="22"/>
              </w:rPr>
              <w:t xml:space="preserve"> Renters</w:t>
            </w:r>
          </w:p>
          <w:p w14:paraId="251AB751" w14:textId="79E311EB" w:rsidR="00DE29B8" w:rsidRDefault="00814CF3" w:rsidP="000A6E84">
            <w:pPr>
              <w:ind w:right="-720"/>
              <w:rPr>
                <w:rFonts w:ascii="Calibri" w:hAnsi="Calibri"/>
                <w:sz w:val="20"/>
              </w:rPr>
            </w:pPr>
            <w:r>
              <w:rPr>
                <w:rFonts w:ascii="Calibri" w:hAnsi="Calibri"/>
                <w:sz w:val="20"/>
                <w:szCs w:val="22"/>
              </w:rPr>
              <w:lastRenderedPageBreak/>
              <w:t>16</w:t>
            </w:r>
            <w:r w:rsidR="00DE29B8">
              <w:rPr>
                <w:rFonts w:ascii="Calibri" w:hAnsi="Calibri"/>
                <w:sz w:val="20"/>
                <w:szCs w:val="22"/>
              </w:rPr>
              <w:t xml:space="preserve"> Owners</w:t>
            </w:r>
          </w:p>
        </w:tc>
        <w:tc>
          <w:tcPr>
            <w:tcW w:w="1331" w:type="pct"/>
            <w:tcBorders>
              <w:top w:val="single" w:sz="4" w:space="0" w:color="auto"/>
            </w:tcBorders>
            <w:vAlign w:val="center"/>
          </w:tcPr>
          <w:p w14:paraId="0CF75B9C" w14:textId="53EBA9C8" w:rsidR="00DE29B8" w:rsidRDefault="00D82BBE" w:rsidP="000A6E84">
            <w:pPr>
              <w:ind w:right="-720"/>
              <w:rPr>
                <w:rFonts w:ascii="Calibri" w:hAnsi="Calibri"/>
                <w:sz w:val="20"/>
              </w:rPr>
            </w:pPr>
            <w:r>
              <w:rPr>
                <w:rFonts w:ascii="Calibri" w:hAnsi="Calibri"/>
                <w:sz w:val="20"/>
                <w:szCs w:val="22"/>
              </w:rPr>
              <w:lastRenderedPageBreak/>
              <w:t>190</w:t>
            </w:r>
            <w:r w:rsidR="00DE29B8">
              <w:rPr>
                <w:rFonts w:ascii="Calibri" w:hAnsi="Calibri"/>
                <w:sz w:val="20"/>
                <w:szCs w:val="22"/>
              </w:rPr>
              <w:t xml:space="preserve"> Renters (</w:t>
            </w:r>
            <w:r>
              <w:rPr>
                <w:rFonts w:ascii="Calibri" w:hAnsi="Calibri"/>
                <w:sz w:val="20"/>
                <w:szCs w:val="22"/>
              </w:rPr>
              <w:t>80.8</w:t>
            </w:r>
            <w:r w:rsidR="00DE29B8">
              <w:rPr>
                <w:rFonts w:ascii="Calibri" w:hAnsi="Calibri"/>
                <w:sz w:val="20"/>
                <w:szCs w:val="22"/>
              </w:rPr>
              <w:t>%)</w:t>
            </w:r>
          </w:p>
          <w:p w14:paraId="08821BD9" w14:textId="68BCA0CA" w:rsidR="00DE29B8" w:rsidRDefault="00D82BBE" w:rsidP="000A6E84">
            <w:pPr>
              <w:ind w:right="-720"/>
              <w:rPr>
                <w:rFonts w:ascii="Calibri" w:hAnsi="Calibri"/>
                <w:sz w:val="20"/>
              </w:rPr>
            </w:pPr>
            <w:r>
              <w:rPr>
                <w:rFonts w:ascii="Calibri" w:hAnsi="Calibri"/>
                <w:sz w:val="20"/>
                <w:szCs w:val="22"/>
              </w:rPr>
              <w:lastRenderedPageBreak/>
              <w:t>29</w:t>
            </w:r>
            <w:r w:rsidR="00DE29B8">
              <w:rPr>
                <w:rFonts w:ascii="Calibri" w:hAnsi="Calibri"/>
                <w:sz w:val="20"/>
                <w:szCs w:val="22"/>
              </w:rPr>
              <w:t xml:space="preserve"> Owners (</w:t>
            </w:r>
            <w:r>
              <w:rPr>
                <w:rFonts w:ascii="Calibri" w:hAnsi="Calibri"/>
                <w:sz w:val="20"/>
                <w:szCs w:val="22"/>
              </w:rPr>
              <w:t>64.4</w:t>
            </w:r>
            <w:r w:rsidR="00DE29B8">
              <w:rPr>
                <w:rFonts w:ascii="Calibri" w:hAnsi="Calibri"/>
                <w:sz w:val="20"/>
                <w:szCs w:val="22"/>
              </w:rPr>
              <w:t>%)</w:t>
            </w:r>
          </w:p>
        </w:tc>
      </w:tr>
    </w:tbl>
    <w:p w14:paraId="6AEF0F93" w14:textId="7D44B948" w:rsidR="00DE29B8" w:rsidRPr="00F64AAB" w:rsidRDefault="00DE29B8" w:rsidP="00813049">
      <w:pPr>
        <w:pStyle w:val="BodyText3"/>
        <w:spacing w:after="0"/>
        <w:ind w:left="720"/>
        <w:jc w:val="both"/>
        <w:rPr>
          <w:rFonts w:asciiTheme="minorHAnsi" w:hAnsiTheme="minorHAnsi"/>
          <w:sz w:val="20"/>
          <w:szCs w:val="20"/>
        </w:rPr>
      </w:pPr>
      <w:r w:rsidRPr="00F64AAB">
        <w:rPr>
          <w:rFonts w:asciiTheme="minorHAnsi" w:hAnsiTheme="minorHAnsi"/>
          <w:sz w:val="20"/>
        </w:rPr>
        <w:lastRenderedPageBreak/>
        <w:t>Source:  U.S. Department of Housing and Urban Development (HUD), SOCDS CHAS Data, 201</w:t>
      </w:r>
      <w:r w:rsidR="00F677CD">
        <w:rPr>
          <w:rFonts w:asciiTheme="minorHAnsi" w:hAnsiTheme="minorHAnsi"/>
          <w:sz w:val="20"/>
        </w:rPr>
        <w:t>8</w:t>
      </w:r>
      <w:r w:rsidRPr="00F64AAB">
        <w:rPr>
          <w:rFonts w:asciiTheme="minorHAnsi" w:hAnsiTheme="minorHAnsi"/>
          <w:sz w:val="20"/>
        </w:rPr>
        <w:t>.</w:t>
      </w:r>
      <w:r w:rsidR="00F677CD">
        <w:rPr>
          <w:rFonts w:asciiTheme="minorHAnsi" w:hAnsiTheme="minorHAnsi"/>
          <w:sz w:val="20"/>
        </w:rPr>
        <w:t xml:space="preserve"> (See Table III-41)</w:t>
      </w:r>
      <w:r w:rsidR="00813049">
        <w:rPr>
          <w:rFonts w:asciiTheme="minorHAnsi" w:hAnsiTheme="minorHAnsi"/>
          <w:sz w:val="20"/>
        </w:rPr>
        <w:t xml:space="preserve"> </w:t>
      </w:r>
      <w:r w:rsidRPr="00F64AAB">
        <w:rPr>
          <w:rFonts w:asciiTheme="minorHAnsi" w:hAnsiTheme="minorHAnsi"/>
          <w:sz w:val="20"/>
          <w:szCs w:val="20"/>
        </w:rPr>
        <w:t xml:space="preserve">*Includes all those spending too much on their housing per Table </w:t>
      </w:r>
      <w:r w:rsidR="00F677CD">
        <w:rPr>
          <w:rFonts w:asciiTheme="minorHAnsi" w:hAnsiTheme="minorHAnsi"/>
          <w:sz w:val="20"/>
          <w:szCs w:val="20"/>
        </w:rPr>
        <w:t>III-41</w:t>
      </w:r>
      <w:r w:rsidRPr="00F64AAB">
        <w:rPr>
          <w:rFonts w:asciiTheme="minorHAnsi" w:hAnsiTheme="minorHAnsi"/>
          <w:sz w:val="20"/>
          <w:szCs w:val="20"/>
        </w:rPr>
        <w:t xml:space="preserve">. </w:t>
      </w:r>
    </w:p>
    <w:p w14:paraId="70355B3F" w14:textId="2B3CCF35" w:rsidR="00DE29B8" w:rsidRDefault="00DE29B8" w:rsidP="00DE29B8">
      <w:pPr>
        <w:tabs>
          <w:tab w:val="left" w:pos="360"/>
          <w:tab w:val="left" w:pos="9270"/>
        </w:tabs>
        <w:ind w:left="720"/>
        <w:jc w:val="both"/>
        <w:rPr>
          <w:rFonts w:asciiTheme="minorHAnsi" w:hAnsiTheme="minorHAnsi"/>
          <w:sz w:val="22"/>
          <w:szCs w:val="22"/>
        </w:rPr>
      </w:pPr>
    </w:p>
    <w:p w14:paraId="6145C6EB" w14:textId="6497F419" w:rsidR="00465C0C" w:rsidRPr="00F64AAB" w:rsidRDefault="00DE29B8" w:rsidP="00D57193">
      <w:pPr>
        <w:jc w:val="both"/>
        <w:rPr>
          <w:rFonts w:asciiTheme="minorHAnsi" w:hAnsiTheme="minorHAnsi" w:cs="Lucida Sans Unicode"/>
          <w:b/>
          <w:sz w:val="22"/>
          <w:szCs w:val="22"/>
        </w:rPr>
      </w:pPr>
      <w:r w:rsidRPr="00F64AAB">
        <w:rPr>
          <w:rFonts w:asciiTheme="minorHAnsi" w:hAnsiTheme="minorHAnsi"/>
          <w:sz w:val="22"/>
          <w:szCs w:val="22"/>
        </w:rPr>
        <w:t xml:space="preserve">Table </w:t>
      </w:r>
      <w:r w:rsidR="00EC4E0E">
        <w:rPr>
          <w:rFonts w:asciiTheme="minorHAnsi" w:hAnsiTheme="minorHAnsi"/>
          <w:sz w:val="22"/>
          <w:szCs w:val="22"/>
        </w:rPr>
        <w:t>III-44</w:t>
      </w:r>
      <w:r w:rsidRPr="00F64AAB">
        <w:rPr>
          <w:rFonts w:asciiTheme="minorHAnsi" w:hAnsiTheme="minorHAnsi"/>
          <w:sz w:val="22"/>
          <w:szCs w:val="22"/>
        </w:rPr>
        <w:t xml:space="preserve"> presents targeted affordable housing development goals based on priority housing needs over </w:t>
      </w:r>
      <w:r w:rsidR="00EC4E0E">
        <w:rPr>
          <w:rFonts w:asciiTheme="minorHAnsi" w:hAnsiTheme="minorHAnsi"/>
          <w:sz w:val="22"/>
          <w:szCs w:val="22"/>
        </w:rPr>
        <w:t>the short and longer term</w:t>
      </w:r>
      <w:r w:rsidRPr="00F64AAB">
        <w:rPr>
          <w:rFonts w:asciiTheme="minorHAnsi" w:hAnsiTheme="minorHAnsi"/>
          <w:sz w:val="22"/>
          <w:szCs w:val="22"/>
        </w:rPr>
        <w:t xml:space="preserve">. </w:t>
      </w:r>
      <w:r w:rsidR="000D1F78">
        <w:rPr>
          <w:rFonts w:asciiTheme="minorHAnsi" w:hAnsiTheme="minorHAnsi"/>
          <w:sz w:val="22"/>
          <w:szCs w:val="22"/>
        </w:rPr>
        <w:t>The table</w:t>
      </w:r>
      <w:r w:rsidRPr="00F64AAB">
        <w:rPr>
          <w:rFonts w:asciiTheme="minorHAnsi" w:hAnsiTheme="minorHAnsi"/>
          <w:sz w:val="22"/>
          <w:szCs w:val="22"/>
        </w:rPr>
        <w:t xml:space="preserve"> also projects a distribution of production goals by type of household, with a further breakdown by </w:t>
      </w:r>
      <w:r w:rsidR="0025444A">
        <w:rPr>
          <w:rFonts w:asciiTheme="minorHAnsi" w:hAnsiTheme="minorHAnsi"/>
          <w:sz w:val="22"/>
          <w:szCs w:val="22"/>
        </w:rPr>
        <w:t>tenure</w:t>
      </w:r>
      <w:r w:rsidRPr="00F64AAB">
        <w:rPr>
          <w:rFonts w:asciiTheme="minorHAnsi" w:hAnsiTheme="minorHAnsi"/>
          <w:sz w:val="22"/>
          <w:szCs w:val="22"/>
        </w:rPr>
        <w:t xml:space="preserve">.  </w:t>
      </w:r>
      <w:r w:rsidR="000D1F78">
        <w:rPr>
          <w:rFonts w:asciiTheme="minorHAnsi" w:hAnsiTheme="minorHAnsi"/>
          <w:sz w:val="22"/>
          <w:szCs w:val="22"/>
        </w:rPr>
        <w:t>T</w:t>
      </w:r>
      <w:r w:rsidRPr="00F64AAB">
        <w:rPr>
          <w:rFonts w:asciiTheme="minorHAnsi" w:hAnsiTheme="minorHAnsi"/>
          <w:sz w:val="22"/>
          <w:szCs w:val="22"/>
        </w:rPr>
        <w:t>he distribution of housing goals suggests that there be a</w:t>
      </w:r>
      <w:r w:rsidR="00D57193">
        <w:rPr>
          <w:rFonts w:asciiTheme="minorHAnsi" w:hAnsiTheme="minorHAnsi"/>
          <w:sz w:val="22"/>
          <w:szCs w:val="22"/>
        </w:rPr>
        <w:t>n</w:t>
      </w:r>
      <w:r w:rsidRPr="00F64AAB">
        <w:rPr>
          <w:rFonts w:asciiTheme="minorHAnsi" w:hAnsiTheme="minorHAnsi"/>
          <w:sz w:val="22"/>
          <w:szCs w:val="22"/>
        </w:rPr>
        <w:t xml:space="preserve"> </w:t>
      </w:r>
      <w:r w:rsidR="000D1F78">
        <w:rPr>
          <w:rFonts w:asciiTheme="minorHAnsi" w:hAnsiTheme="minorHAnsi"/>
          <w:sz w:val="22"/>
          <w:szCs w:val="22"/>
        </w:rPr>
        <w:t>80% to 20% split between rental and ownership</w:t>
      </w:r>
      <w:r w:rsidR="00465C0C">
        <w:rPr>
          <w:rFonts w:asciiTheme="minorHAnsi" w:hAnsiTheme="minorHAnsi"/>
          <w:sz w:val="22"/>
          <w:szCs w:val="22"/>
        </w:rPr>
        <w:t xml:space="preserve">.  </w:t>
      </w:r>
      <w:r w:rsidR="00465C0C" w:rsidRPr="00F64AAB">
        <w:rPr>
          <w:rFonts w:asciiTheme="minorHAnsi" w:hAnsiTheme="minorHAnsi" w:cs="Lucida Sans Unicode"/>
          <w:sz w:val="22"/>
          <w:szCs w:val="22"/>
        </w:rPr>
        <w:t xml:space="preserve">These priorities also address another priority housing need related to providing barrier-free units and supportive services where feasible, representing </w:t>
      </w:r>
      <w:r w:rsidR="00D57193">
        <w:rPr>
          <w:rFonts w:asciiTheme="minorHAnsi" w:hAnsiTheme="minorHAnsi" w:cs="Lucida Sans Unicode"/>
          <w:sz w:val="22"/>
          <w:szCs w:val="22"/>
        </w:rPr>
        <w:t xml:space="preserve">at least </w:t>
      </w:r>
      <w:r w:rsidR="00465C0C" w:rsidRPr="00F64AAB">
        <w:rPr>
          <w:rFonts w:asciiTheme="minorHAnsi" w:hAnsiTheme="minorHAnsi" w:cs="Lucida Sans Unicode"/>
          <w:sz w:val="22"/>
          <w:szCs w:val="22"/>
        </w:rPr>
        <w:t xml:space="preserve">20% of the one-bedroom units and 10% of the two- and three-bedroom units. </w:t>
      </w:r>
    </w:p>
    <w:p w14:paraId="7C557666" w14:textId="77777777" w:rsidR="00465C0C" w:rsidRDefault="00465C0C" w:rsidP="000D1F78">
      <w:pPr>
        <w:jc w:val="both"/>
        <w:rPr>
          <w:rFonts w:asciiTheme="minorHAnsi" w:hAnsiTheme="minorHAnsi"/>
          <w:sz w:val="22"/>
          <w:szCs w:val="22"/>
        </w:rPr>
      </w:pPr>
    </w:p>
    <w:p w14:paraId="05B97B06" w14:textId="37C6C360" w:rsidR="00DE29B8" w:rsidRPr="00F64AAB" w:rsidRDefault="00DE29B8" w:rsidP="000D1F78">
      <w:pPr>
        <w:jc w:val="both"/>
        <w:rPr>
          <w:rFonts w:asciiTheme="minorHAnsi" w:hAnsiTheme="minorHAnsi" w:cs="Lucida Sans Unicode"/>
          <w:b/>
          <w:color w:val="FF0000"/>
          <w:sz w:val="22"/>
          <w:szCs w:val="22"/>
        </w:rPr>
      </w:pPr>
      <w:r w:rsidRPr="00F64AAB">
        <w:rPr>
          <w:rFonts w:asciiTheme="minorHAnsi" w:hAnsiTheme="minorHAnsi"/>
          <w:sz w:val="22"/>
          <w:szCs w:val="22"/>
        </w:rPr>
        <w:t xml:space="preserve">It should be noted that </w:t>
      </w:r>
      <w:r w:rsidRPr="00F64AAB">
        <w:rPr>
          <w:rFonts w:asciiTheme="minorHAnsi" w:hAnsiTheme="minorHAnsi" w:cs="Lucida Sans Unicode"/>
          <w:sz w:val="22"/>
          <w:szCs w:val="22"/>
        </w:rPr>
        <w:t xml:space="preserve">the state’s subsidizing agencies have entered into an Interagency Agreement that provides more guidance to localities concerning housing opportunities for families with children and are requiring that at least 10% of the units in affordable production developments that are funded, assisted or approved by a state housing agency have three or more bedrooms with some exceptions (e.g., age-restricted housing, assisted living, supportive housing for individuals, SRO’s. etc.). </w:t>
      </w:r>
    </w:p>
    <w:p w14:paraId="37B14CDA" w14:textId="3FE3EB58" w:rsidR="00DE29B8" w:rsidRDefault="00DE29B8" w:rsidP="00E96CEB">
      <w:pPr>
        <w:pStyle w:val="BodyText2"/>
        <w:spacing w:after="0" w:line="240" w:lineRule="auto"/>
        <w:jc w:val="both"/>
        <w:rPr>
          <w:rFonts w:asciiTheme="minorHAnsi" w:hAnsiTheme="minorHAnsi" w:cs="Lucida Sans Unicode"/>
          <w:b/>
          <w:sz w:val="22"/>
          <w:szCs w:val="22"/>
        </w:rPr>
      </w:pPr>
    </w:p>
    <w:p w14:paraId="27DE1F76" w14:textId="5A757E8F" w:rsidR="00DE29B8" w:rsidRPr="00F64AAB" w:rsidRDefault="00DE29B8" w:rsidP="00DE29B8">
      <w:pPr>
        <w:jc w:val="center"/>
        <w:rPr>
          <w:rFonts w:asciiTheme="minorHAnsi" w:hAnsiTheme="minorHAnsi"/>
          <w:sz w:val="22"/>
          <w:szCs w:val="22"/>
        </w:rPr>
      </w:pPr>
      <w:r w:rsidRPr="00F64AAB">
        <w:rPr>
          <w:rFonts w:asciiTheme="minorHAnsi" w:hAnsiTheme="minorHAnsi"/>
          <w:b/>
          <w:bCs/>
          <w:sz w:val="22"/>
          <w:szCs w:val="22"/>
        </w:rPr>
        <w:t xml:space="preserve">Table </w:t>
      </w:r>
      <w:r w:rsidR="00712F41">
        <w:rPr>
          <w:rFonts w:asciiTheme="minorHAnsi" w:hAnsiTheme="minorHAnsi"/>
          <w:b/>
          <w:bCs/>
          <w:sz w:val="22"/>
          <w:szCs w:val="22"/>
        </w:rPr>
        <w:t>III-44</w:t>
      </w:r>
      <w:r w:rsidRPr="00F64AAB">
        <w:rPr>
          <w:rFonts w:asciiTheme="minorHAnsi" w:hAnsiTheme="minorHAnsi"/>
          <w:b/>
          <w:bCs/>
          <w:sz w:val="22"/>
          <w:szCs w:val="22"/>
        </w:rPr>
        <w:t xml:space="preserve">: Summary of Priority Housing Needs and </w:t>
      </w:r>
      <w:r w:rsidR="00B144EE">
        <w:rPr>
          <w:rFonts w:asciiTheme="minorHAnsi" w:hAnsiTheme="minorHAnsi"/>
          <w:b/>
          <w:bCs/>
          <w:sz w:val="22"/>
          <w:szCs w:val="22"/>
        </w:rPr>
        <w:t>Estimated</w:t>
      </w:r>
      <w:r w:rsidRPr="00F64AAB">
        <w:rPr>
          <w:rFonts w:asciiTheme="minorHAnsi" w:hAnsiTheme="minorHAnsi"/>
          <w:b/>
          <w:bCs/>
          <w:sz w:val="22"/>
          <w:szCs w:val="22"/>
        </w:rPr>
        <w:t xml:space="preserve"> Development Goals</w:t>
      </w:r>
    </w:p>
    <w:tbl>
      <w:tblPr>
        <w:tblW w:w="7085" w:type="dxa"/>
        <w:jc w:val="center"/>
        <w:tblLayout w:type="fixed"/>
        <w:tblLook w:val="0000" w:firstRow="0" w:lastRow="0" w:firstColumn="0" w:lastColumn="0" w:noHBand="0" w:noVBand="0"/>
      </w:tblPr>
      <w:tblGrid>
        <w:gridCol w:w="1772"/>
        <w:gridCol w:w="1771"/>
        <w:gridCol w:w="1771"/>
        <w:gridCol w:w="1771"/>
      </w:tblGrid>
      <w:tr w:rsidR="00712F41" w:rsidRPr="00F64AAB" w14:paraId="3FD5217A" w14:textId="77777777" w:rsidTr="00712F41">
        <w:trPr>
          <w:jc w:val="center"/>
        </w:trPr>
        <w:tc>
          <w:tcPr>
            <w:tcW w:w="1772" w:type="dxa"/>
            <w:tcBorders>
              <w:top w:val="single" w:sz="6" w:space="0" w:color="auto"/>
              <w:left w:val="single" w:sz="6" w:space="0" w:color="auto"/>
              <w:bottom w:val="single" w:sz="6" w:space="0" w:color="auto"/>
              <w:right w:val="single" w:sz="6" w:space="0" w:color="auto"/>
            </w:tcBorders>
          </w:tcPr>
          <w:p w14:paraId="0F69CAA9" w14:textId="77777777" w:rsidR="00712F41" w:rsidRPr="00F64AAB" w:rsidRDefault="00712F41" w:rsidP="000A6E84">
            <w:pPr>
              <w:rPr>
                <w:rFonts w:asciiTheme="minorHAnsi" w:hAnsiTheme="minorHAnsi"/>
                <w:b/>
                <w:bCs/>
                <w:sz w:val="20"/>
                <w:szCs w:val="20"/>
              </w:rPr>
            </w:pPr>
          </w:p>
          <w:p w14:paraId="04039A74" w14:textId="77777777" w:rsidR="00712F41" w:rsidRDefault="00712F41" w:rsidP="000A6E84">
            <w:pPr>
              <w:rPr>
                <w:rFonts w:asciiTheme="minorHAnsi" w:hAnsiTheme="minorHAnsi"/>
                <w:b/>
                <w:bCs/>
                <w:sz w:val="20"/>
                <w:szCs w:val="20"/>
              </w:rPr>
            </w:pPr>
            <w:r w:rsidRPr="00F64AAB">
              <w:rPr>
                <w:rFonts w:asciiTheme="minorHAnsi" w:hAnsiTheme="minorHAnsi"/>
                <w:b/>
                <w:bCs/>
                <w:sz w:val="20"/>
                <w:szCs w:val="20"/>
              </w:rPr>
              <w:t>Rental Units</w:t>
            </w:r>
          </w:p>
          <w:p w14:paraId="6890723C" w14:textId="7C864897" w:rsidR="00712F41" w:rsidRPr="00F64AAB" w:rsidRDefault="00712F41" w:rsidP="000A6E84">
            <w:pPr>
              <w:rPr>
                <w:rFonts w:asciiTheme="minorHAnsi" w:hAnsiTheme="minorHAnsi"/>
                <w:b/>
                <w:bCs/>
                <w:sz w:val="20"/>
                <w:szCs w:val="20"/>
              </w:rPr>
            </w:pPr>
            <w:r>
              <w:rPr>
                <w:rFonts w:asciiTheme="minorHAnsi" w:hAnsiTheme="minorHAnsi"/>
                <w:b/>
                <w:bCs/>
                <w:sz w:val="20"/>
                <w:szCs w:val="20"/>
              </w:rPr>
              <w:t>@ 8</w:t>
            </w:r>
            <w:r w:rsidR="00367607">
              <w:rPr>
                <w:rFonts w:asciiTheme="minorHAnsi" w:hAnsiTheme="minorHAnsi"/>
                <w:b/>
                <w:bCs/>
                <w:sz w:val="20"/>
                <w:szCs w:val="20"/>
              </w:rPr>
              <w:t>0</w:t>
            </w:r>
            <w:r>
              <w:rPr>
                <w:rFonts w:asciiTheme="minorHAnsi" w:hAnsiTheme="minorHAnsi"/>
                <w:b/>
                <w:bCs/>
                <w:sz w:val="20"/>
                <w:szCs w:val="20"/>
              </w:rPr>
              <w:t>%</w:t>
            </w:r>
          </w:p>
        </w:tc>
        <w:tc>
          <w:tcPr>
            <w:tcW w:w="1771" w:type="dxa"/>
            <w:tcBorders>
              <w:top w:val="single" w:sz="6" w:space="0" w:color="auto"/>
              <w:left w:val="single" w:sz="6" w:space="0" w:color="auto"/>
              <w:bottom w:val="single" w:sz="6" w:space="0" w:color="auto"/>
              <w:right w:val="single" w:sz="6" w:space="0" w:color="auto"/>
            </w:tcBorders>
          </w:tcPr>
          <w:p w14:paraId="7E663B4B" w14:textId="6EFF1ACB"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Single Persons</w:t>
            </w:r>
            <w:r w:rsidR="00367607">
              <w:rPr>
                <w:rFonts w:asciiTheme="minorHAnsi" w:hAnsiTheme="minorHAnsi"/>
                <w:b/>
                <w:bCs/>
                <w:sz w:val="20"/>
                <w:szCs w:val="20"/>
              </w:rPr>
              <w:t>*</w:t>
            </w:r>
            <w:r w:rsidRPr="00F64AAB">
              <w:rPr>
                <w:rFonts w:asciiTheme="minorHAnsi" w:hAnsiTheme="minorHAnsi"/>
                <w:b/>
                <w:bCs/>
                <w:sz w:val="20"/>
                <w:szCs w:val="20"/>
              </w:rPr>
              <w:t>/</w:t>
            </w:r>
          </w:p>
          <w:p w14:paraId="32FDA94D"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xml:space="preserve">One Bedroom </w:t>
            </w:r>
          </w:p>
          <w:p w14:paraId="4854CEF5"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Units @ 40%</w:t>
            </w:r>
          </w:p>
        </w:tc>
        <w:tc>
          <w:tcPr>
            <w:tcW w:w="1771" w:type="dxa"/>
            <w:tcBorders>
              <w:top w:val="single" w:sz="6" w:space="0" w:color="auto"/>
              <w:left w:val="single" w:sz="6" w:space="0" w:color="auto"/>
              <w:bottom w:val="single" w:sz="6" w:space="0" w:color="auto"/>
              <w:right w:val="single" w:sz="6" w:space="0" w:color="auto"/>
            </w:tcBorders>
          </w:tcPr>
          <w:p w14:paraId="78945AA0" w14:textId="4E0667EA"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Small Families</w:t>
            </w:r>
            <w:r w:rsidR="00EC4E0E">
              <w:rPr>
                <w:rFonts w:asciiTheme="minorHAnsi" w:hAnsiTheme="minorHAnsi"/>
                <w:b/>
                <w:bCs/>
                <w:sz w:val="20"/>
                <w:szCs w:val="20"/>
              </w:rPr>
              <w:t>*</w:t>
            </w:r>
            <w:r w:rsidR="00367607">
              <w:rPr>
                <w:rFonts w:asciiTheme="minorHAnsi" w:hAnsiTheme="minorHAnsi"/>
                <w:b/>
                <w:bCs/>
                <w:sz w:val="20"/>
                <w:szCs w:val="20"/>
              </w:rPr>
              <w:t>*</w:t>
            </w:r>
            <w:r w:rsidRPr="00F64AAB">
              <w:rPr>
                <w:rFonts w:asciiTheme="minorHAnsi" w:hAnsiTheme="minorHAnsi"/>
                <w:b/>
                <w:bCs/>
                <w:sz w:val="20"/>
                <w:szCs w:val="20"/>
              </w:rPr>
              <w:t xml:space="preserve">/2 Bedrooms </w:t>
            </w:r>
          </w:p>
          <w:p w14:paraId="6E65B338"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50%</w:t>
            </w:r>
          </w:p>
        </w:tc>
        <w:tc>
          <w:tcPr>
            <w:tcW w:w="1771" w:type="dxa"/>
            <w:tcBorders>
              <w:top w:val="single" w:sz="6" w:space="0" w:color="auto"/>
              <w:left w:val="single" w:sz="6" w:space="0" w:color="auto"/>
              <w:bottom w:val="single" w:sz="6" w:space="0" w:color="auto"/>
              <w:right w:val="single" w:sz="6" w:space="0" w:color="auto"/>
            </w:tcBorders>
          </w:tcPr>
          <w:p w14:paraId="4E99585D"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xml:space="preserve">Large Families/3+ Bedrooms </w:t>
            </w:r>
          </w:p>
          <w:p w14:paraId="6BDFCCB6"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10%</w:t>
            </w:r>
          </w:p>
        </w:tc>
      </w:tr>
      <w:tr w:rsidR="00712F41" w:rsidRPr="00F64AAB" w14:paraId="57C541D3" w14:textId="77777777" w:rsidTr="00712F41">
        <w:trPr>
          <w:jc w:val="center"/>
        </w:trPr>
        <w:tc>
          <w:tcPr>
            <w:tcW w:w="1772" w:type="dxa"/>
            <w:tcBorders>
              <w:top w:val="single" w:sz="6" w:space="0" w:color="auto"/>
              <w:left w:val="single" w:sz="6" w:space="0" w:color="auto"/>
              <w:bottom w:val="single" w:sz="6" w:space="0" w:color="auto"/>
              <w:right w:val="single" w:sz="6" w:space="0" w:color="auto"/>
            </w:tcBorders>
          </w:tcPr>
          <w:p w14:paraId="319DD5F8" w14:textId="77777777" w:rsidR="00712F41" w:rsidRPr="00F64AAB" w:rsidRDefault="00712F41" w:rsidP="000A6E84">
            <w:pPr>
              <w:jc w:val="both"/>
              <w:rPr>
                <w:rFonts w:asciiTheme="minorHAnsi" w:hAnsiTheme="minorHAnsi"/>
                <w:sz w:val="20"/>
                <w:szCs w:val="20"/>
              </w:rPr>
            </w:pPr>
            <w:r w:rsidRPr="00F64AAB">
              <w:rPr>
                <w:rFonts w:asciiTheme="minorHAnsi" w:hAnsiTheme="minorHAnsi"/>
                <w:sz w:val="20"/>
                <w:szCs w:val="20"/>
              </w:rPr>
              <w:t xml:space="preserve"> </w:t>
            </w:r>
          </w:p>
          <w:p w14:paraId="0F264B63" w14:textId="11161C34" w:rsidR="00712F41" w:rsidRDefault="00712F41" w:rsidP="000A6E84">
            <w:pPr>
              <w:jc w:val="both"/>
              <w:rPr>
                <w:rFonts w:asciiTheme="minorHAnsi" w:hAnsiTheme="minorHAnsi"/>
                <w:b/>
                <w:sz w:val="20"/>
                <w:szCs w:val="20"/>
              </w:rPr>
            </w:pPr>
            <w:r w:rsidRPr="00F64AAB">
              <w:rPr>
                <w:rFonts w:asciiTheme="minorHAnsi" w:hAnsiTheme="minorHAnsi"/>
                <w:b/>
                <w:sz w:val="20"/>
                <w:szCs w:val="20"/>
              </w:rPr>
              <w:t>Ownership Units</w:t>
            </w:r>
          </w:p>
          <w:p w14:paraId="1844ADD1" w14:textId="4A2E57E5" w:rsidR="00712F41" w:rsidRPr="00F64AAB" w:rsidRDefault="00712F41" w:rsidP="000A6E84">
            <w:pPr>
              <w:jc w:val="both"/>
              <w:rPr>
                <w:rFonts w:asciiTheme="minorHAnsi" w:hAnsiTheme="minorHAnsi"/>
                <w:b/>
                <w:sz w:val="20"/>
                <w:szCs w:val="20"/>
              </w:rPr>
            </w:pPr>
            <w:r>
              <w:rPr>
                <w:rFonts w:asciiTheme="minorHAnsi" w:hAnsiTheme="minorHAnsi"/>
                <w:b/>
                <w:sz w:val="20"/>
                <w:szCs w:val="20"/>
              </w:rPr>
              <w:t xml:space="preserve">@ </w:t>
            </w:r>
            <w:r w:rsidR="00367607">
              <w:rPr>
                <w:rFonts w:asciiTheme="minorHAnsi" w:hAnsiTheme="minorHAnsi"/>
                <w:b/>
                <w:sz w:val="20"/>
                <w:szCs w:val="20"/>
              </w:rPr>
              <w:t>20</w:t>
            </w:r>
            <w:r>
              <w:rPr>
                <w:rFonts w:asciiTheme="minorHAnsi" w:hAnsiTheme="minorHAnsi"/>
                <w:b/>
                <w:sz w:val="20"/>
                <w:szCs w:val="20"/>
              </w:rPr>
              <w:t>%</w:t>
            </w:r>
          </w:p>
          <w:p w14:paraId="4B26C299" w14:textId="77777777" w:rsidR="00712F41" w:rsidRPr="00F64AAB" w:rsidRDefault="00712F41" w:rsidP="000A6E84">
            <w:pPr>
              <w:jc w:val="both"/>
              <w:rPr>
                <w:rFonts w:asciiTheme="minorHAnsi" w:hAnsiTheme="minorHAnsi"/>
                <w:sz w:val="20"/>
                <w:szCs w:val="20"/>
              </w:rPr>
            </w:pPr>
          </w:p>
        </w:tc>
        <w:tc>
          <w:tcPr>
            <w:tcW w:w="1771" w:type="dxa"/>
            <w:tcBorders>
              <w:top w:val="single" w:sz="6" w:space="0" w:color="auto"/>
              <w:left w:val="single" w:sz="6" w:space="0" w:color="auto"/>
              <w:bottom w:val="single" w:sz="6" w:space="0" w:color="auto"/>
              <w:right w:val="single" w:sz="6" w:space="0" w:color="auto"/>
            </w:tcBorders>
          </w:tcPr>
          <w:p w14:paraId="211E1721" w14:textId="3CCB23DF"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Single Persons</w:t>
            </w:r>
            <w:r w:rsidR="00367607">
              <w:rPr>
                <w:rFonts w:asciiTheme="minorHAnsi" w:hAnsiTheme="minorHAnsi"/>
                <w:b/>
                <w:bCs/>
                <w:sz w:val="20"/>
                <w:szCs w:val="20"/>
              </w:rPr>
              <w:t>*</w:t>
            </w:r>
            <w:r w:rsidRPr="00F64AAB">
              <w:rPr>
                <w:rFonts w:asciiTheme="minorHAnsi" w:hAnsiTheme="minorHAnsi"/>
                <w:b/>
                <w:bCs/>
                <w:sz w:val="20"/>
                <w:szCs w:val="20"/>
              </w:rPr>
              <w:t>/</w:t>
            </w:r>
          </w:p>
          <w:p w14:paraId="1A69FDFE"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xml:space="preserve">One Bedroom </w:t>
            </w:r>
          </w:p>
          <w:p w14:paraId="6F41CB2B"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Units @ 25%</w:t>
            </w:r>
          </w:p>
        </w:tc>
        <w:tc>
          <w:tcPr>
            <w:tcW w:w="1771" w:type="dxa"/>
            <w:tcBorders>
              <w:top w:val="single" w:sz="6" w:space="0" w:color="auto"/>
              <w:left w:val="single" w:sz="6" w:space="0" w:color="auto"/>
              <w:bottom w:val="single" w:sz="6" w:space="0" w:color="auto"/>
              <w:right w:val="single" w:sz="6" w:space="0" w:color="auto"/>
            </w:tcBorders>
          </w:tcPr>
          <w:p w14:paraId="4A1C1EEA" w14:textId="66CD6D99"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Small Families</w:t>
            </w:r>
            <w:r w:rsidR="00367607">
              <w:rPr>
                <w:rFonts w:asciiTheme="minorHAnsi" w:hAnsiTheme="minorHAnsi"/>
                <w:b/>
                <w:bCs/>
                <w:sz w:val="20"/>
                <w:szCs w:val="20"/>
              </w:rPr>
              <w:t>**</w:t>
            </w:r>
            <w:r w:rsidRPr="00F64AAB">
              <w:rPr>
                <w:rFonts w:asciiTheme="minorHAnsi" w:hAnsiTheme="minorHAnsi"/>
                <w:b/>
                <w:bCs/>
                <w:sz w:val="20"/>
                <w:szCs w:val="20"/>
              </w:rPr>
              <w:t xml:space="preserve">/2 Bedrooms </w:t>
            </w:r>
          </w:p>
          <w:p w14:paraId="33DADF3C" w14:textId="5111AD3D"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5</w:t>
            </w:r>
            <w:r w:rsidR="00EC4E0E">
              <w:rPr>
                <w:rFonts w:asciiTheme="minorHAnsi" w:hAnsiTheme="minorHAnsi"/>
                <w:b/>
                <w:bCs/>
                <w:sz w:val="20"/>
                <w:szCs w:val="20"/>
              </w:rPr>
              <w:t>0</w:t>
            </w:r>
            <w:r w:rsidRPr="00F64AAB">
              <w:rPr>
                <w:rFonts w:asciiTheme="minorHAnsi" w:hAnsiTheme="minorHAnsi"/>
                <w:b/>
                <w:bCs/>
                <w:sz w:val="20"/>
                <w:szCs w:val="20"/>
              </w:rPr>
              <w:t>%</w:t>
            </w:r>
          </w:p>
        </w:tc>
        <w:tc>
          <w:tcPr>
            <w:tcW w:w="1771" w:type="dxa"/>
            <w:tcBorders>
              <w:top w:val="single" w:sz="6" w:space="0" w:color="auto"/>
              <w:left w:val="single" w:sz="6" w:space="0" w:color="auto"/>
              <w:bottom w:val="single" w:sz="6" w:space="0" w:color="auto"/>
              <w:right w:val="single" w:sz="6" w:space="0" w:color="auto"/>
            </w:tcBorders>
          </w:tcPr>
          <w:p w14:paraId="6EB2CDAC" w14:textId="7777777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xml:space="preserve">Large Families/3+ Bedrooms </w:t>
            </w:r>
          </w:p>
          <w:p w14:paraId="5C892742" w14:textId="0A2BD137" w:rsidR="00712F41" w:rsidRPr="00F64AAB" w:rsidRDefault="00712F41" w:rsidP="000A6E84">
            <w:pPr>
              <w:rPr>
                <w:rFonts w:asciiTheme="minorHAnsi" w:hAnsiTheme="minorHAnsi"/>
                <w:b/>
                <w:bCs/>
                <w:sz w:val="20"/>
                <w:szCs w:val="20"/>
              </w:rPr>
            </w:pPr>
            <w:r w:rsidRPr="00F64AAB">
              <w:rPr>
                <w:rFonts w:asciiTheme="minorHAnsi" w:hAnsiTheme="minorHAnsi"/>
                <w:b/>
                <w:bCs/>
                <w:sz w:val="20"/>
                <w:szCs w:val="20"/>
              </w:rPr>
              <w:t xml:space="preserve">@ </w:t>
            </w:r>
            <w:r w:rsidR="00EC4E0E">
              <w:rPr>
                <w:rFonts w:asciiTheme="minorHAnsi" w:hAnsiTheme="minorHAnsi"/>
                <w:b/>
                <w:bCs/>
                <w:sz w:val="20"/>
                <w:szCs w:val="20"/>
              </w:rPr>
              <w:t>25</w:t>
            </w:r>
            <w:r w:rsidRPr="00F64AAB">
              <w:rPr>
                <w:rFonts w:asciiTheme="minorHAnsi" w:hAnsiTheme="minorHAnsi"/>
                <w:b/>
                <w:bCs/>
                <w:sz w:val="20"/>
                <w:szCs w:val="20"/>
              </w:rPr>
              <w:t>%</w:t>
            </w:r>
          </w:p>
        </w:tc>
      </w:tr>
      <w:tr w:rsidR="00712F41" w:rsidRPr="00F64AAB" w14:paraId="011119B8" w14:textId="77777777" w:rsidTr="00712F41">
        <w:trPr>
          <w:jc w:val="center"/>
        </w:trPr>
        <w:tc>
          <w:tcPr>
            <w:tcW w:w="1772" w:type="dxa"/>
            <w:tcBorders>
              <w:top w:val="single" w:sz="6" w:space="0" w:color="auto"/>
              <w:left w:val="single" w:sz="6" w:space="0" w:color="auto"/>
              <w:bottom w:val="single" w:sz="6" w:space="0" w:color="auto"/>
              <w:right w:val="single" w:sz="6" w:space="0" w:color="auto"/>
            </w:tcBorders>
          </w:tcPr>
          <w:p w14:paraId="1259909A" w14:textId="77777777" w:rsidR="00712F41" w:rsidRPr="00712F41" w:rsidRDefault="00712F41" w:rsidP="000A6E84">
            <w:pPr>
              <w:jc w:val="both"/>
              <w:rPr>
                <w:rFonts w:asciiTheme="minorHAnsi" w:hAnsiTheme="minorHAnsi"/>
                <w:b/>
                <w:bCs/>
                <w:sz w:val="20"/>
                <w:szCs w:val="20"/>
              </w:rPr>
            </w:pPr>
            <w:r w:rsidRPr="00712F41">
              <w:rPr>
                <w:rFonts w:asciiTheme="minorHAnsi" w:hAnsiTheme="minorHAnsi"/>
                <w:b/>
                <w:bCs/>
                <w:sz w:val="20"/>
                <w:szCs w:val="20"/>
              </w:rPr>
              <w:t>Special Needs*</w:t>
            </w:r>
          </w:p>
          <w:p w14:paraId="110D1A0C" w14:textId="77777777" w:rsidR="00712F41" w:rsidRPr="00712F41" w:rsidRDefault="00712F41" w:rsidP="000A6E84">
            <w:pPr>
              <w:jc w:val="both"/>
              <w:rPr>
                <w:rFonts w:asciiTheme="minorHAnsi" w:hAnsiTheme="minorHAnsi"/>
                <w:b/>
                <w:bCs/>
                <w:sz w:val="20"/>
                <w:szCs w:val="20"/>
              </w:rPr>
            </w:pPr>
            <w:r w:rsidRPr="00712F41">
              <w:rPr>
                <w:rFonts w:asciiTheme="minorHAnsi" w:hAnsiTheme="minorHAnsi"/>
                <w:b/>
                <w:bCs/>
                <w:sz w:val="20"/>
                <w:szCs w:val="20"/>
              </w:rPr>
              <w:t>(% of total units)</w:t>
            </w:r>
          </w:p>
        </w:tc>
        <w:tc>
          <w:tcPr>
            <w:tcW w:w="1771" w:type="dxa"/>
            <w:tcBorders>
              <w:top w:val="single" w:sz="6" w:space="0" w:color="auto"/>
              <w:left w:val="single" w:sz="6" w:space="0" w:color="auto"/>
              <w:bottom w:val="single" w:sz="6" w:space="0" w:color="auto"/>
              <w:right w:val="single" w:sz="6" w:space="0" w:color="auto"/>
            </w:tcBorders>
          </w:tcPr>
          <w:p w14:paraId="3EACF761" w14:textId="6C3F8C19" w:rsidR="00712F41" w:rsidRPr="00712F41" w:rsidRDefault="00712F41" w:rsidP="000A6E84">
            <w:pPr>
              <w:jc w:val="center"/>
              <w:rPr>
                <w:rFonts w:asciiTheme="minorHAnsi" w:hAnsiTheme="minorHAnsi"/>
                <w:b/>
                <w:bCs/>
                <w:sz w:val="20"/>
                <w:szCs w:val="20"/>
              </w:rPr>
            </w:pPr>
            <w:r>
              <w:rPr>
                <w:rFonts w:asciiTheme="minorHAnsi" w:hAnsiTheme="minorHAnsi"/>
                <w:b/>
                <w:bCs/>
                <w:sz w:val="20"/>
                <w:szCs w:val="20"/>
              </w:rPr>
              <w:t>(20%)</w:t>
            </w:r>
          </w:p>
        </w:tc>
        <w:tc>
          <w:tcPr>
            <w:tcW w:w="1771" w:type="dxa"/>
            <w:tcBorders>
              <w:top w:val="single" w:sz="6" w:space="0" w:color="auto"/>
              <w:left w:val="single" w:sz="6" w:space="0" w:color="auto"/>
              <w:bottom w:val="single" w:sz="6" w:space="0" w:color="auto"/>
              <w:right w:val="single" w:sz="6" w:space="0" w:color="auto"/>
            </w:tcBorders>
          </w:tcPr>
          <w:p w14:paraId="0C9B26D9" w14:textId="3D2E599B" w:rsidR="00712F41" w:rsidRPr="00712F41" w:rsidRDefault="00712F41" w:rsidP="000A6E84">
            <w:pPr>
              <w:jc w:val="center"/>
              <w:rPr>
                <w:rFonts w:asciiTheme="minorHAnsi" w:hAnsiTheme="minorHAnsi"/>
                <w:b/>
                <w:bCs/>
                <w:sz w:val="20"/>
                <w:szCs w:val="20"/>
              </w:rPr>
            </w:pPr>
            <w:r>
              <w:rPr>
                <w:rFonts w:asciiTheme="minorHAnsi" w:hAnsiTheme="minorHAnsi"/>
                <w:b/>
                <w:bCs/>
                <w:sz w:val="20"/>
                <w:szCs w:val="20"/>
              </w:rPr>
              <w:t>(10%)</w:t>
            </w:r>
          </w:p>
        </w:tc>
        <w:tc>
          <w:tcPr>
            <w:tcW w:w="1771" w:type="dxa"/>
            <w:tcBorders>
              <w:top w:val="single" w:sz="6" w:space="0" w:color="auto"/>
              <w:left w:val="single" w:sz="6" w:space="0" w:color="auto"/>
              <w:bottom w:val="single" w:sz="6" w:space="0" w:color="auto"/>
              <w:right w:val="single" w:sz="6" w:space="0" w:color="auto"/>
            </w:tcBorders>
          </w:tcPr>
          <w:p w14:paraId="372E07CF" w14:textId="1F1FA7C0" w:rsidR="00712F41" w:rsidRPr="00712F41" w:rsidRDefault="00712F41" w:rsidP="000A6E84">
            <w:pPr>
              <w:jc w:val="center"/>
              <w:rPr>
                <w:rFonts w:asciiTheme="minorHAnsi" w:hAnsiTheme="minorHAnsi"/>
                <w:b/>
                <w:bCs/>
                <w:sz w:val="20"/>
                <w:szCs w:val="20"/>
              </w:rPr>
            </w:pPr>
            <w:r>
              <w:rPr>
                <w:rFonts w:asciiTheme="minorHAnsi" w:hAnsiTheme="minorHAnsi"/>
                <w:b/>
                <w:bCs/>
                <w:sz w:val="20"/>
                <w:szCs w:val="20"/>
              </w:rPr>
              <w:t>(10%)</w:t>
            </w:r>
          </w:p>
        </w:tc>
      </w:tr>
    </w:tbl>
    <w:p w14:paraId="2E8F7FAA" w14:textId="2D9AA5EB" w:rsidR="00DE29B8" w:rsidRDefault="00367607" w:rsidP="00FF1DA6">
      <w:pPr>
        <w:pStyle w:val="BodyTextIndent"/>
        <w:tabs>
          <w:tab w:val="left" w:pos="0"/>
        </w:tabs>
        <w:spacing w:after="0"/>
        <w:ind w:left="720"/>
        <w:rPr>
          <w:rFonts w:asciiTheme="minorHAnsi" w:hAnsiTheme="minorHAnsi"/>
          <w:bCs/>
          <w:sz w:val="20"/>
          <w:szCs w:val="20"/>
        </w:rPr>
      </w:pPr>
      <w:r>
        <w:rPr>
          <w:rFonts w:asciiTheme="minorHAnsi" w:hAnsiTheme="minorHAnsi"/>
          <w:bCs/>
          <w:sz w:val="20"/>
          <w:szCs w:val="20"/>
        </w:rPr>
        <w:t>Source: Largely based on Table III-43 and rationale for a greater focus on rental housing based on the considerations cited in this section.</w:t>
      </w:r>
      <w:r w:rsidR="004D6C87">
        <w:rPr>
          <w:rFonts w:asciiTheme="minorHAnsi" w:hAnsiTheme="minorHAnsi"/>
          <w:bCs/>
          <w:sz w:val="20"/>
          <w:szCs w:val="20"/>
        </w:rPr>
        <w:tab/>
      </w:r>
      <w:r>
        <w:rPr>
          <w:rFonts w:asciiTheme="minorHAnsi" w:hAnsiTheme="minorHAnsi"/>
          <w:bCs/>
          <w:sz w:val="20"/>
          <w:szCs w:val="20"/>
        </w:rPr>
        <w:t xml:space="preserve">* Includes seniors. </w:t>
      </w:r>
      <w:r w:rsidR="00EC4E0E">
        <w:rPr>
          <w:rFonts w:asciiTheme="minorHAnsi" w:hAnsiTheme="minorHAnsi"/>
          <w:bCs/>
          <w:sz w:val="20"/>
          <w:szCs w:val="20"/>
        </w:rPr>
        <w:t>*</w:t>
      </w:r>
      <w:r>
        <w:rPr>
          <w:rFonts w:asciiTheme="minorHAnsi" w:hAnsiTheme="minorHAnsi"/>
          <w:bCs/>
          <w:sz w:val="20"/>
          <w:szCs w:val="20"/>
        </w:rPr>
        <w:t>*</w:t>
      </w:r>
      <w:r w:rsidR="00EC4E0E">
        <w:rPr>
          <w:rFonts w:asciiTheme="minorHAnsi" w:hAnsiTheme="minorHAnsi"/>
          <w:bCs/>
          <w:sz w:val="20"/>
          <w:szCs w:val="20"/>
        </w:rPr>
        <w:t>Includes couples who are seniors.</w:t>
      </w:r>
    </w:p>
    <w:p w14:paraId="0FF10D5F" w14:textId="77777777" w:rsidR="00FF1DA6" w:rsidRDefault="00FF1DA6" w:rsidP="00FF1DA6">
      <w:pPr>
        <w:jc w:val="both"/>
        <w:rPr>
          <w:rFonts w:asciiTheme="minorHAnsi" w:hAnsiTheme="minorHAnsi" w:cs="Lucida Sans Unicode"/>
          <w:sz w:val="22"/>
          <w:szCs w:val="22"/>
        </w:rPr>
      </w:pPr>
    </w:p>
    <w:p w14:paraId="190DE235" w14:textId="525F6AB1" w:rsidR="00FF1DA6" w:rsidRDefault="00FF1DA6" w:rsidP="00FF1DA6">
      <w:pPr>
        <w:jc w:val="both"/>
        <w:rPr>
          <w:rFonts w:asciiTheme="minorHAnsi" w:hAnsiTheme="minorHAnsi" w:cs="Lucida Sans Unicode"/>
          <w:sz w:val="22"/>
          <w:szCs w:val="22"/>
        </w:rPr>
      </w:pPr>
      <w:r>
        <w:rPr>
          <w:rFonts w:asciiTheme="minorHAnsi" w:hAnsiTheme="minorHAnsi" w:cs="Lucida Sans Unicode"/>
          <w:sz w:val="22"/>
          <w:szCs w:val="22"/>
        </w:rPr>
        <w:t>Given the indicators of need that are included in this Housing Needs Assessment, even if the Town were to reach the 10% level of affordability without the inclusion of market rate units in the Chapter 40B rental developments, now at 6.</w:t>
      </w:r>
      <w:r w:rsidR="00295067">
        <w:rPr>
          <w:rFonts w:asciiTheme="minorHAnsi" w:hAnsiTheme="minorHAnsi" w:cs="Lucida Sans Unicode"/>
          <w:sz w:val="22"/>
          <w:szCs w:val="22"/>
        </w:rPr>
        <w:t>24</w:t>
      </w:r>
      <w:r>
        <w:rPr>
          <w:rFonts w:asciiTheme="minorHAnsi" w:hAnsiTheme="minorHAnsi" w:cs="Lucida Sans Unicode"/>
          <w:sz w:val="22"/>
          <w:szCs w:val="22"/>
        </w:rPr>
        <w:t>%, it will likely still have unmet housing needs in the community.</w:t>
      </w:r>
    </w:p>
    <w:p w14:paraId="65F26ADC" w14:textId="77777777" w:rsidR="00EC4E0E" w:rsidRPr="00F64AAB" w:rsidRDefault="00EC4E0E" w:rsidP="00DE29B8">
      <w:pPr>
        <w:pStyle w:val="BodyTextIndent"/>
        <w:tabs>
          <w:tab w:val="left" w:pos="0"/>
        </w:tabs>
        <w:spacing w:after="0"/>
        <w:ind w:left="0"/>
        <w:rPr>
          <w:rFonts w:asciiTheme="minorHAnsi" w:hAnsiTheme="minorHAnsi"/>
          <w:bCs/>
          <w:sz w:val="20"/>
          <w:szCs w:val="20"/>
        </w:rPr>
      </w:pPr>
    </w:p>
    <w:p w14:paraId="23B0B223" w14:textId="77777777" w:rsidR="00DE29B8" w:rsidRPr="00F64AAB" w:rsidRDefault="00DE29B8" w:rsidP="00DE29B8">
      <w:pPr>
        <w:pStyle w:val="BodyTextIndent"/>
        <w:tabs>
          <w:tab w:val="left" w:pos="0"/>
        </w:tabs>
        <w:spacing w:after="0"/>
        <w:ind w:left="0"/>
        <w:jc w:val="both"/>
        <w:rPr>
          <w:rFonts w:asciiTheme="minorHAnsi" w:hAnsiTheme="minorHAnsi"/>
          <w:b/>
          <w:bCs/>
          <w:color w:val="002060"/>
          <w:sz w:val="22"/>
          <w:szCs w:val="22"/>
        </w:rPr>
      </w:pPr>
      <w:r w:rsidRPr="00F64AAB">
        <w:rPr>
          <w:rFonts w:asciiTheme="minorHAnsi" w:hAnsiTheme="minorHAnsi"/>
          <w:b/>
          <w:bCs/>
          <w:color w:val="002060"/>
          <w:sz w:val="22"/>
          <w:szCs w:val="22"/>
        </w:rPr>
        <w:t>In conclusion, there is a need to provide support to all these types of households along a wide range of incomes.  Everyone should have a right to safe and affordable housing which is so fundamental to stabilizing both individuals and families who may be living in substandard conditions and/or spending far too much for their housing.  The whole community benefits when all residents have a decent and affordable place to call home.</w:t>
      </w:r>
    </w:p>
    <w:p w14:paraId="17C3D559" w14:textId="77777777" w:rsidR="0010322E" w:rsidRDefault="0010322E" w:rsidP="00DE29B8">
      <w:pPr>
        <w:pStyle w:val="BodyTextIndent"/>
        <w:tabs>
          <w:tab w:val="left" w:pos="0"/>
        </w:tabs>
        <w:spacing w:after="0"/>
        <w:ind w:left="0"/>
        <w:jc w:val="both"/>
        <w:rPr>
          <w:rFonts w:asciiTheme="minorHAnsi" w:hAnsiTheme="minorHAnsi"/>
          <w:b/>
          <w:bCs/>
          <w:color w:val="0070C0"/>
          <w:sz w:val="22"/>
          <w:szCs w:val="22"/>
        </w:rPr>
        <w:sectPr w:rsidR="0010322E">
          <w:pgSz w:w="12240" w:h="15840"/>
          <w:pgMar w:top="1440" w:right="1440" w:bottom="1440" w:left="1440" w:header="720" w:footer="720" w:gutter="0"/>
          <w:cols w:space="720"/>
          <w:docGrid w:linePitch="360"/>
        </w:sectPr>
      </w:pPr>
    </w:p>
    <w:p w14:paraId="1F5EE8D3" w14:textId="038627E4" w:rsidR="002D1326" w:rsidRDefault="002D1326" w:rsidP="009F6013">
      <w:pPr>
        <w:pStyle w:val="Header"/>
        <w:ind w:left="720" w:hanging="720"/>
        <w:jc w:val="center"/>
        <w:rPr>
          <w:rFonts w:ascii="Calibri" w:hAnsi="Calibri"/>
          <w:b/>
          <w:color w:val="002060"/>
          <w:sz w:val="28"/>
          <w:szCs w:val="28"/>
        </w:rPr>
      </w:pPr>
      <w:r>
        <w:rPr>
          <w:rFonts w:ascii="Calibri" w:hAnsi="Calibri"/>
          <w:b/>
          <w:color w:val="002060"/>
          <w:sz w:val="28"/>
          <w:szCs w:val="28"/>
        </w:rPr>
        <w:lastRenderedPageBreak/>
        <w:t>Appendix 1</w:t>
      </w:r>
    </w:p>
    <w:p w14:paraId="36CFDBE1" w14:textId="14411212" w:rsidR="009F6013" w:rsidRDefault="009F6013" w:rsidP="009F6013">
      <w:pPr>
        <w:pStyle w:val="Header"/>
        <w:ind w:left="720" w:hanging="720"/>
        <w:jc w:val="center"/>
        <w:rPr>
          <w:rFonts w:ascii="Calibri" w:hAnsi="Calibri"/>
          <w:b/>
          <w:color w:val="002060"/>
          <w:sz w:val="28"/>
          <w:szCs w:val="28"/>
        </w:rPr>
      </w:pPr>
      <w:r>
        <w:rPr>
          <w:rFonts w:ascii="Calibri" w:hAnsi="Calibri"/>
          <w:b/>
          <w:color w:val="002060"/>
          <w:sz w:val="28"/>
          <w:szCs w:val="28"/>
        </w:rPr>
        <w:t>Housing and Zoning Analysis</w:t>
      </w:r>
    </w:p>
    <w:p w14:paraId="42A252AB" w14:textId="77777777" w:rsidR="002019EC" w:rsidRDefault="002019EC" w:rsidP="009F6013">
      <w:pPr>
        <w:pStyle w:val="Header"/>
        <w:ind w:left="720" w:hanging="720"/>
        <w:jc w:val="center"/>
        <w:rPr>
          <w:rFonts w:ascii="Calibri" w:hAnsi="Calibri"/>
          <w:b/>
          <w:color w:val="002060"/>
          <w:sz w:val="28"/>
          <w:szCs w:val="28"/>
        </w:rPr>
      </w:pPr>
    </w:p>
    <w:p w14:paraId="684A31D3" w14:textId="77777777" w:rsidR="002019EC" w:rsidRDefault="002019EC" w:rsidP="002019EC">
      <w:pPr>
        <w:pStyle w:val="Header"/>
        <w:jc w:val="both"/>
        <w:rPr>
          <w:rFonts w:asciiTheme="minorHAnsi" w:hAnsiTheme="minorHAnsi"/>
          <w:sz w:val="22"/>
          <w:szCs w:val="22"/>
        </w:rPr>
      </w:pPr>
      <w:r w:rsidRPr="005E192D">
        <w:rPr>
          <w:rFonts w:asciiTheme="minorHAnsi" w:hAnsiTheme="minorHAnsi"/>
          <w:sz w:val="22"/>
          <w:szCs w:val="22"/>
        </w:rPr>
        <w:t>The Town of Needham has approximately 11,</w:t>
      </w:r>
      <w:r>
        <w:rPr>
          <w:rFonts w:asciiTheme="minorHAnsi" w:hAnsiTheme="minorHAnsi"/>
          <w:sz w:val="22"/>
          <w:szCs w:val="22"/>
        </w:rPr>
        <w:t>8</w:t>
      </w:r>
      <w:r w:rsidRPr="005E192D">
        <w:rPr>
          <w:rFonts w:asciiTheme="minorHAnsi" w:hAnsiTheme="minorHAnsi"/>
          <w:sz w:val="22"/>
          <w:szCs w:val="22"/>
        </w:rPr>
        <w:t xml:space="preserve">00 total housing units with a median single-family house price </w:t>
      </w:r>
      <w:r>
        <w:rPr>
          <w:rFonts w:asciiTheme="minorHAnsi" w:hAnsiTheme="minorHAnsi"/>
          <w:sz w:val="22"/>
          <w:szCs w:val="22"/>
        </w:rPr>
        <w:t xml:space="preserve">of </w:t>
      </w:r>
      <w:r w:rsidRPr="005E192D">
        <w:rPr>
          <w:rFonts w:asciiTheme="minorHAnsi" w:hAnsiTheme="minorHAnsi"/>
          <w:sz w:val="22"/>
          <w:szCs w:val="22"/>
        </w:rPr>
        <w:t>$1</w:t>
      </w:r>
      <w:r>
        <w:rPr>
          <w:rFonts w:asciiTheme="minorHAnsi" w:hAnsiTheme="minorHAnsi"/>
          <w:sz w:val="22"/>
          <w:szCs w:val="22"/>
        </w:rPr>
        <w:t xml:space="preserve">.3 million in September 2021 ($862,500 for condominiums), up from $1,065,000 (+22.1%) and $805,000 (+7.1%), respectively, as of the end of 2019.  </w:t>
      </w:r>
      <w:r w:rsidRPr="005E192D">
        <w:rPr>
          <w:rFonts w:asciiTheme="minorHAnsi" w:hAnsiTheme="minorHAnsi"/>
          <w:sz w:val="22"/>
          <w:szCs w:val="22"/>
        </w:rPr>
        <w:t xml:space="preserve">Housing </w:t>
      </w:r>
      <w:r>
        <w:rPr>
          <w:rFonts w:asciiTheme="minorHAnsi" w:hAnsiTheme="minorHAnsi"/>
          <w:sz w:val="22"/>
          <w:szCs w:val="22"/>
        </w:rPr>
        <w:t xml:space="preserve">prices are not only high and rising, but further evidence of tightening </w:t>
      </w:r>
      <w:r w:rsidRPr="005E192D">
        <w:rPr>
          <w:rFonts w:asciiTheme="minorHAnsi" w:hAnsiTheme="minorHAnsi"/>
          <w:sz w:val="22"/>
          <w:szCs w:val="22"/>
        </w:rPr>
        <w:t>market conditions</w:t>
      </w:r>
      <w:r>
        <w:rPr>
          <w:rFonts w:asciiTheme="minorHAnsi" w:hAnsiTheme="minorHAnsi"/>
          <w:sz w:val="22"/>
          <w:szCs w:val="22"/>
        </w:rPr>
        <w:t xml:space="preserve"> is</w:t>
      </w:r>
      <w:r w:rsidRPr="005E192D">
        <w:rPr>
          <w:rFonts w:asciiTheme="minorHAnsi" w:hAnsiTheme="minorHAnsi"/>
          <w:sz w:val="22"/>
          <w:szCs w:val="22"/>
        </w:rPr>
        <w:t xml:space="preserve"> </w:t>
      </w:r>
      <w:r>
        <w:rPr>
          <w:rFonts w:asciiTheme="minorHAnsi" w:hAnsiTheme="minorHAnsi"/>
          <w:sz w:val="22"/>
          <w:szCs w:val="22"/>
        </w:rPr>
        <w:t>reflected in</w:t>
      </w:r>
      <w:r w:rsidRPr="005E192D">
        <w:rPr>
          <w:rFonts w:asciiTheme="minorHAnsi" w:hAnsiTheme="minorHAnsi"/>
          <w:sz w:val="22"/>
          <w:szCs w:val="22"/>
        </w:rPr>
        <w:t xml:space="preserve"> vacancy rates </w:t>
      </w:r>
      <w:r>
        <w:rPr>
          <w:rFonts w:asciiTheme="minorHAnsi" w:hAnsiTheme="minorHAnsi"/>
          <w:sz w:val="22"/>
          <w:szCs w:val="22"/>
        </w:rPr>
        <w:t>at</w:t>
      </w:r>
      <w:r w:rsidRPr="005E192D">
        <w:rPr>
          <w:rFonts w:asciiTheme="minorHAnsi" w:hAnsiTheme="minorHAnsi"/>
          <w:sz w:val="22"/>
          <w:szCs w:val="22"/>
        </w:rPr>
        <w:t xml:space="preserve"> about 1% and little or no affordability remaining in the private</w:t>
      </w:r>
      <w:r>
        <w:rPr>
          <w:rFonts w:asciiTheme="minorHAnsi" w:hAnsiTheme="minorHAnsi"/>
          <w:sz w:val="22"/>
          <w:szCs w:val="22"/>
        </w:rPr>
        <w:t xml:space="preserve"> unsubsidized</w:t>
      </w:r>
      <w:r w:rsidRPr="005E192D">
        <w:rPr>
          <w:rFonts w:asciiTheme="minorHAnsi" w:hAnsiTheme="minorHAnsi"/>
          <w:sz w:val="22"/>
          <w:szCs w:val="22"/>
        </w:rPr>
        <w:t xml:space="preserve"> housing stock. These conditions have been</w:t>
      </w:r>
      <w:r>
        <w:rPr>
          <w:rFonts w:asciiTheme="minorHAnsi" w:hAnsiTheme="minorHAnsi"/>
          <w:sz w:val="22"/>
          <w:szCs w:val="22"/>
        </w:rPr>
        <w:t xml:space="preserve"> exacerbated by substantial teardown activity, involving the demolition of more modest homes with much larger and expensive ones, further driving up housing prices and eroding housing affordability.  The loss of income that many have suffered as a result of Covid-19 is exerting further pressures on existing residents, many who are struggling to afford to remain in their homes and community.  </w:t>
      </w:r>
    </w:p>
    <w:p w14:paraId="01666557" w14:textId="77777777" w:rsidR="002019EC" w:rsidRDefault="002019EC" w:rsidP="002019EC">
      <w:pPr>
        <w:jc w:val="both"/>
        <w:rPr>
          <w:rFonts w:asciiTheme="minorHAnsi" w:hAnsiTheme="minorHAnsi"/>
          <w:sz w:val="22"/>
          <w:szCs w:val="22"/>
        </w:rPr>
      </w:pPr>
    </w:p>
    <w:p w14:paraId="504A6D7B" w14:textId="77777777" w:rsidR="002019EC" w:rsidRDefault="002019EC" w:rsidP="002019EC">
      <w:pPr>
        <w:jc w:val="both"/>
        <w:rPr>
          <w:rFonts w:asciiTheme="minorHAnsi" w:hAnsiTheme="minorHAnsi"/>
          <w:sz w:val="22"/>
          <w:szCs w:val="22"/>
        </w:rPr>
      </w:pPr>
      <w:r>
        <w:rPr>
          <w:rFonts w:asciiTheme="minorHAnsi" w:hAnsiTheme="minorHAnsi"/>
          <w:sz w:val="22"/>
          <w:szCs w:val="22"/>
        </w:rPr>
        <w:t>Under MGL Chapter 40B, if less than 10% of a municipality’s housing stock is affordable, developers can override local zoning if the project includes deed-restricted affordable units and meets other state requirements.</w:t>
      </w:r>
      <w:r>
        <w:rPr>
          <w:rStyle w:val="FootnoteReference"/>
          <w:rFonts w:asciiTheme="minorHAnsi" w:hAnsiTheme="minorHAnsi"/>
          <w:sz w:val="22"/>
          <w:szCs w:val="22"/>
        </w:rPr>
        <w:footnoteReference w:id="36"/>
      </w:r>
      <w:r>
        <w:rPr>
          <w:rFonts w:asciiTheme="minorHAnsi" w:hAnsiTheme="minorHAnsi"/>
          <w:sz w:val="22"/>
          <w:szCs w:val="22"/>
        </w:rPr>
        <w:t xml:space="preserve"> Despite intensifying market pressures, Needham has made considerable progress in promoting greater housing diversity over the years with 1,410 state-approved affordable units included on the Subsidized Housing Inventory (SHI), representing 12.76% of its housing stock.</w:t>
      </w:r>
      <w:r>
        <w:rPr>
          <w:rStyle w:val="FootnoteReference"/>
          <w:rFonts w:asciiTheme="minorHAnsi" w:hAnsiTheme="minorHAnsi"/>
          <w:sz w:val="22"/>
          <w:szCs w:val="22"/>
        </w:rPr>
        <w:footnoteReference w:id="37"/>
      </w:r>
      <w:r>
        <w:rPr>
          <w:rFonts w:asciiTheme="minorHAnsi" w:hAnsiTheme="minorHAnsi"/>
          <w:sz w:val="22"/>
          <w:szCs w:val="22"/>
        </w:rPr>
        <w:t xml:space="preserve">  An additional nine affordable units will be included in the SHI as a result of rezoning requirements for the Carter Mill development that will bring the total number of SHI units to 1,419 and a 12.8% level of affordability.  Consequently, Needham is well beyond the 10% state affordability threshold under MGL Chapter 40B. Nevertheless, the Town recognizes that there still remains a pressing need for greater housing diversity and affordability in the community.</w:t>
      </w:r>
    </w:p>
    <w:p w14:paraId="5256EE56" w14:textId="77777777" w:rsidR="002019EC" w:rsidRDefault="002019EC" w:rsidP="002019EC">
      <w:pPr>
        <w:jc w:val="both"/>
        <w:rPr>
          <w:rFonts w:asciiTheme="minorHAnsi" w:hAnsiTheme="minorHAnsi"/>
          <w:sz w:val="22"/>
          <w:szCs w:val="22"/>
        </w:rPr>
      </w:pPr>
    </w:p>
    <w:p w14:paraId="6C0238B3" w14:textId="77777777" w:rsidR="002019EC" w:rsidRDefault="002019EC" w:rsidP="002019EC">
      <w:pPr>
        <w:pStyle w:val="NormalWeb"/>
        <w:shd w:val="clear" w:color="auto" w:fill="FFFFFF"/>
        <w:spacing w:after="0" w:line="280" w:lineRule="atLeast"/>
        <w:rPr>
          <w:rFonts w:asciiTheme="minorHAnsi" w:hAnsiTheme="minorHAnsi"/>
          <w:sz w:val="22"/>
          <w:szCs w:val="22"/>
        </w:rPr>
      </w:pPr>
      <w:r>
        <w:rPr>
          <w:rFonts w:asciiTheme="minorHAnsi" w:hAnsiTheme="minorHAnsi"/>
          <w:sz w:val="22"/>
          <w:szCs w:val="22"/>
        </w:rPr>
        <w:t xml:space="preserve">This report reviews the progress that has been made in the past to address housing needs and examines challenges to further advance local community housing goals.  </w:t>
      </w:r>
    </w:p>
    <w:p w14:paraId="2C46149A" w14:textId="77777777" w:rsidR="002019EC" w:rsidRDefault="002019EC" w:rsidP="002019EC">
      <w:pPr>
        <w:pStyle w:val="NormalWeb"/>
        <w:shd w:val="clear" w:color="auto" w:fill="FFFFFF"/>
        <w:spacing w:after="0" w:line="280" w:lineRule="atLeast"/>
        <w:rPr>
          <w:rFonts w:asciiTheme="minorHAnsi" w:hAnsiTheme="minorHAnsi"/>
          <w:sz w:val="22"/>
          <w:szCs w:val="22"/>
        </w:rPr>
      </w:pPr>
    </w:p>
    <w:p w14:paraId="17912F3D" w14:textId="77777777" w:rsidR="002019EC" w:rsidRPr="00A12D15" w:rsidRDefault="002019EC" w:rsidP="002019EC">
      <w:pPr>
        <w:pStyle w:val="NormalWeb"/>
        <w:shd w:val="clear" w:color="auto" w:fill="FFFFFF"/>
        <w:spacing w:after="0" w:line="280" w:lineRule="atLeast"/>
        <w:rPr>
          <w:rFonts w:asciiTheme="minorHAnsi" w:hAnsiTheme="minorHAnsi"/>
          <w:b/>
          <w:bCs/>
          <w:color w:val="0070C0"/>
        </w:rPr>
      </w:pPr>
      <w:r w:rsidRPr="006E3A23">
        <w:rPr>
          <w:rFonts w:asciiTheme="minorHAnsi" w:hAnsiTheme="minorHAnsi"/>
          <w:b/>
          <w:bCs/>
          <w:color w:val="0070C0"/>
        </w:rPr>
        <w:t>I.</w:t>
      </w:r>
      <w:r>
        <w:rPr>
          <w:rFonts w:asciiTheme="minorHAnsi" w:hAnsiTheme="minorHAnsi"/>
          <w:b/>
          <w:bCs/>
          <w:color w:val="0070C0"/>
        </w:rPr>
        <w:tab/>
      </w:r>
      <w:r w:rsidRPr="00A12D15">
        <w:rPr>
          <w:rFonts w:asciiTheme="minorHAnsi" w:hAnsiTheme="minorHAnsi"/>
          <w:b/>
          <w:bCs/>
          <w:color w:val="0070C0"/>
        </w:rPr>
        <w:t>Housing Production Accomplishments</w:t>
      </w:r>
    </w:p>
    <w:p w14:paraId="37CE0217" w14:textId="77777777" w:rsidR="002019EC" w:rsidRDefault="002019EC" w:rsidP="002019EC">
      <w:pPr>
        <w:jc w:val="both"/>
        <w:rPr>
          <w:rFonts w:asciiTheme="minorHAnsi" w:hAnsiTheme="minorHAnsi"/>
          <w:sz w:val="22"/>
          <w:szCs w:val="22"/>
        </w:rPr>
      </w:pPr>
      <w:r>
        <w:rPr>
          <w:rFonts w:asciiTheme="minorHAnsi" w:hAnsiTheme="minorHAnsi"/>
          <w:sz w:val="22"/>
          <w:szCs w:val="22"/>
        </w:rPr>
        <w:t xml:space="preserve">The affordable units that are part of Needham’s </w:t>
      </w:r>
      <w:r w:rsidRPr="00A36D7E">
        <w:rPr>
          <w:rFonts w:asciiTheme="minorHAnsi" w:hAnsiTheme="minorHAnsi"/>
          <w:b/>
          <w:bCs/>
          <w:i/>
          <w:iCs/>
          <w:sz w:val="22"/>
          <w:szCs w:val="22"/>
        </w:rPr>
        <w:t>Subsidized Housing Inventory</w:t>
      </w:r>
      <w:r>
        <w:rPr>
          <w:rFonts w:asciiTheme="minorHAnsi" w:hAnsiTheme="minorHAnsi"/>
          <w:b/>
          <w:bCs/>
          <w:i/>
          <w:iCs/>
          <w:sz w:val="22"/>
          <w:szCs w:val="22"/>
        </w:rPr>
        <w:t>, that now exceeds the 10% affordability goal under Chapter 40B,</w:t>
      </w:r>
      <w:r>
        <w:rPr>
          <w:rFonts w:asciiTheme="minorHAnsi" w:hAnsiTheme="minorHAnsi"/>
          <w:sz w:val="22"/>
          <w:szCs w:val="22"/>
        </w:rPr>
        <w:t xml:space="preserve"> include the following:</w:t>
      </w:r>
    </w:p>
    <w:p w14:paraId="7532F868" w14:textId="77777777" w:rsidR="002019EC" w:rsidRDefault="002019EC" w:rsidP="002019EC">
      <w:pPr>
        <w:jc w:val="both"/>
        <w:rPr>
          <w:rFonts w:asciiTheme="minorHAnsi" w:hAnsiTheme="minorHAnsi"/>
          <w:sz w:val="22"/>
          <w:szCs w:val="22"/>
        </w:rPr>
      </w:pPr>
    </w:p>
    <w:p w14:paraId="3F7095A2" w14:textId="77777777" w:rsidR="002019EC" w:rsidRPr="00726563" w:rsidRDefault="002019EC" w:rsidP="002019EC">
      <w:pPr>
        <w:jc w:val="both"/>
        <w:rPr>
          <w:rFonts w:asciiTheme="minorHAnsi" w:hAnsiTheme="minorHAnsi"/>
          <w:i/>
          <w:sz w:val="22"/>
          <w:szCs w:val="22"/>
        </w:rPr>
      </w:pPr>
      <w:r w:rsidRPr="00726563">
        <w:rPr>
          <w:rFonts w:asciiTheme="minorHAnsi" w:hAnsiTheme="minorHAnsi"/>
          <w:i/>
          <w:sz w:val="22"/>
          <w:szCs w:val="22"/>
        </w:rPr>
        <w:t>Rental Housing</w:t>
      </w:r>
    </w:p>
    <w:p w14:paraId="5D293866" w14:textId="77777777"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sidRPr="00726563">
        <w:rPr>
          <w:rFonts w:asciiTheme="minorHAnsi" w:hAnsiTheme="minorHAnsi"/>
          <w:sz w:val="22"/>
          <w:szCs w:val="22"/>
        </w:rPr>
        <w:t xml:space="preserve">The Needham Housing Authority owns and manages </w:t>
      </w:r>
      <w:r>
        <w:rPr>
          <w:rFonts w:asciiTheme="minorHAnsi" w:hAnsiTheme="minorHAnsi"/>
          <w:sz w:val="22"/>
          <w:szCs w:val="22"/>
        </w:rPr>
        <w:t xml:space="preserve">316 </w:t>
      </w:r>
      <w:r w:rsidRPr="00726563">
        <w:rPr>
          <w:rFonts w:asciiTheme="minorHAnsi" w:hAnsiTheme="minorHAnsi"/>
          <w:sz w:val="22"/>
          <w:szCs w:val="22"/>
        </w:rPr>
        <w:t xml:space="preserve">units of subsidized housing including 198 one-bedroom units for seniors and disabled individuals of any age and </w:t>
      </w:r>
      <w:r>
        <w:rPr>
          <w:rFonts w:asciiTheme="minorHAnsi" w:hAnsiTheme="minorHAnsi"/>
          <w:sz w:val="22"/>
          <w:szCs w:val="22"/>
        </w:rPr>
        <w:t>110</w:t>
      </w:r>
      <w:r w:rsidRPr="00726563">
        <w:rPr>
          <w:rFonts w:asciiTheme="minorHAnsi" w:hAnsiTheme="minorHAnsi"/>
          <w:sz w:val="22"/>
          <w:szCs w:val="22"/>
        </w:rPr>
        <w:t xml:space="preserve"> units for families and veterans.  The Authority also maintains two staffed apartments that serve eight individuals with special needs.  </w:t>
      </w:r>
    </w:p>
    <w:p w14:paraId="11658503" w14:textId="77777777"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Pr>
          <w:rFonts w:asciiTheme="minorHAnsi" w:hAnsiTheme="minorHAnsi"/>
          <w:sz w:val="22"/>
          <w:szCs w:val="22"/>
        </w:rPr>
        <w:lastRenderedPageBreak/>
        <w:t>Another 67 affordable units of age-restricted housing were developed by private sponsors.</w:t>
      </w:r>
    </w:p>
    <w:p w14:paraId="7EAC8367" w14:textId="77777777"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Pr>
          <w:rFonts w:asciiTheme="minorHAnsi" w:hAnsiTheme="minorHAnsi"/>
          <w:sz w:val="22"/>
          <w:szCs w:val="22"/>
        </w:rPr>
        <w:t>Charles River Landing, with 350 units including 88 affordable units, was developed under the state’s Local Initiative Program (LIP), sometimes referred to as the “friendly 40B” process as the municipality supports the project in the early stages of development.</w:t>
      </w:r>
      <w:r>
        <w:rPr>
          <w:rStyle w:val="FootnoteReference"/>
          <w:rFonts w:asciiTheme="minorHAnsi" w:hAnsiTheme="minorHAnsi"/>
          <w:sz w:val="22"/>
          <w:szCs w:val="22"/>
        </w:rPr>
        <w:footnoteReference w:id="38"/>
      </w:r>
      <w:r>
        <w:rPr>
          <w:rFonts w:asciiTheme="minorHAnsi" w:hAnsiTheme="minorHAnsi"/>
          <w:sz w:val="22"/>
          <w:szCs w:val="22"/>
        </w:rPr>
        <w:t xml:space="preserve">  </w:t>
      </w:r>
    </w:p>
    <w:p w14:paraId="3B39F2EA" w14:textId="77777777"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Pr>
          <w:rFonts w:asciiTheme="minorHAnsi" w:hAnsiTheme="minorHAnsi"/>
          <w:sz w:val="22"/>
          <w:szCs w:val="22"/>
        </w:rPr>
        <w:t xml:space="preserve">Another LIP process was used for 390 rental units with 98 affordable ones as part of The Kendrick development.  </w:t>
      </w:r>
    </w:p>
    <w:p w14:paraId="3928D572" w14:textId="0E2B8D1B"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Pr>
          <w:rFonts w:asciiTheme="minorHAnsi" w:hAnsiTheme="minorHAnsi"/>
          <w:sz w:val="22"/>
          <w:szCs w:val="22"/>
        </w:rPr>
        <w:t>The Modera Needham project,</w:t>
      </w:r>
      <w:r w:rsidR="000F2294">
        <w:rPr>
          <w:rFonts w:asciiTheme="minorHAnsi" w:hAnsiTheme="minorHAnsi"/>
          <w:sz w:val="22"/>
          <w:szCs w:val="22"/>
        </w:rPr>
        <w:t xml:space="preserve"> </w:t>
      </w:r>
      <w:r>
        <w:rPr>
          <w:rFonts w:asciiTheme="minorHAnsi" w:hAnsiTheme="minorHAnsi"/>
          <w:sz w:val="22"/>
          <w:szCs w:val="22"/>
        </w:rPr>
        <w:t>also a Chapter 40B development, produced 136 rental units on  Greendale Avenue that includes 34 affordable units.</w:t>
      </w:r>
    </w:p>
    <w:p w14:paraId="6E915977" w14:textId="797D5393" w:rsidR="002019EC" w:rsidRPr="00C27BFD" w:rsidRDefault="002019EC" w:rsidP="005D3FC9">
      <w:pPr>
        <w:pStyle w:val="BodyTextIndent"/>
        <w:numPr>
          <w:ilvl w:val="0"/>
          <w:numId w:val="44"/>
        </w:numPr>
        <w:tabs>
          <w:tab w:val="left" w:pos="720"/>
        </w:tabs>
        <w:spacing w:after="0"/>
        <w:jc w:val="both"/>
        <w:rPr>
          <w:rFonts w:asciiTheme="minorHAnsi" w:hAnsiTheme="minorHAnsi"/>
          <w:sz w:val="22"/>
          <w:szCs w:val="22"/>
        </w:rPr>
      </w:pPr>
      <w:r>
        <w:rPr>
          <w:rFonts w:asciiTheme="minorHAnsi" w:hAnsiTheme="minorHAnsi"/>
          <w:sz w:val="22"/>
          <w:szCs w:val="22"/>
        </w:rPr>
        <w:t xml:space="preserve">An additional 16 units were added to the Town’s SHI as part of a Chapter 40B rental development at 1180 Great Plain Avenue.  Four of these units </w:t>
      </w:r>
      <w:r w:rsidR="00242E0E">
        <w:rPr>
          <w:rFonts w:asciiTheme="minorHAnsi" w:hAnsiTheme="minorHAnsi"/>
          <w:sz w:val="22"/>
          <w:szCs w:val="22"/>
        </w:rPr>
        <w:t>are expected to</w:t>
      </w:r>
      <w:r>
        <w:rPr>
          <w:rFonts w:asciiTheme="minorHAnsi" w:hAnsiTheme="minorHAnsi"/>
          <w:sz w:val="22"/>
          <w:szCs w:val="22"/>
        </w:rPr>
        <w:t xml:space="preserve"> be affordable.  An abutter appealed the ZBA decision in December 2019, and the </w:t>
      </w:r>
      <w:r w:rsidRPr="00C27BFD">
        <w:rPr>
          <w:rFonts w:asciiTheme="minorHAnsi" w:hAnsiTheme="minorHAnsi"/>
          <w:sz w:val="22"/>
          <w:szCs w:val="22"/>
        </w:rPr>
        <w:t xml:space="preserve">project is </w:t>
      </w:r>
      <w:r w:rsidR="00242E0E">
        <w:rPr>
          <w:rFonts w:asciiTheme="minorHAnsi" w:hAnsiTheme="minorHAnsi"/>
          <w:sz w:val="22"/>
          <w:szCs w:val="22"/>
        </w:rPr>
        <w:t xml:space="preserve">still </w:t>
      </w:r>
      <w:r w:rsidRPr="00C27BFD">
        <w:rPr>
          <w:rFonts w:asciiTheme="minorHAnsi" w:hAnsiTheme="minorHAnsi"/>
          <w:sz w:val="22"/>
          <w:szCs w:val="22"/>
        </w:rPr>
        <w:t>awaiting the resolution of litigation.</w:t>
      </w:r>
    </w:p>
    <w:p w14:paraId="59222F60" w14:textId="77777777" w:rsidR="002019EC" w:rsidRPr="00C27BFD" w:rsidRDefault="002019EC" w:rsidP="005D3FC9">
      <w:pPr>
        <w:pStyle w:val="BodyTextIndent"/>
        <w:numPr>
          <w:ilvl w:val="0"/>
          <w:numId w:val="44"/>
        </w:numPr>
        <w:tabs>
          <w:tab w:val="left" w:pos="720"/>
        </w:tabs>
        <w:spacing w:after="0"/>
        <w:jc w:val="both"/>
        <w:rPr>
          <w:rFonts w:asciiTheme="minorHAnsi" w:hAnsiTheme="minorHAnsi"/>
          <w:sz w:val="22"/>
          <w:szCs w:val="22"/>
        </w:rPr>
      </w:pPr>
      <w:r w:rsidRPr="00C27BFD">
        <w:rPr>
          <w:rFonts w:asciiTheme="minorHAnsi" w:hAnsiTheme="minorHAnsi"/>
          <w:sz w:val="22"/>
          <w:szCs w:val="22"/>
        </w:rPr>
        <w:t>An affordable unit was developed under the Needham Center Overlay District that requires 10% of units built within the area be affordable.  This unit is part of a mixed-use development that includes nine market units and two commercial businesses. (See Appendix 4 for a map of this area.</w:t>
      </w:r>
    </w:p>
    <w:p w14:paraId="0F806D8A" w14:textId="77777777" w:rsidR="002019EC" w:rsidRPr="00C27BFD" w:rsidRDefault="002019EC" w:rsidP="005D3FC9">
      <w:pPr>
        <w:pStyle w:val="BodyTextIndent"/>
        <w:numPr>
          <w:ilvl w:val="0"/>
          <w:numId w:val="44"/>
        </w:numPr>
        <w:tabs>
          <w:tab w:val="left" w:pos="720"/>
        </w:tabs>
        <w:spacing w:after="0"/>
        <w:jc w:val="both"/>
        <w:rPr>
          <w:rFonts w:asciiTheme="minorHAnsi" w:hAnsiTheme="minorHAnsi"/>
          <w:sz w:val="22"/>
          <w:szCs w:val="22"/>
        </w:rPr>
      </w:pPr>
      <w:r w:rsidRPr="00C27BFD">
        <w:rPr>
          <w:rFonts w:asciiTheme="minorHAnsi" w:hAnsiTheme="minorHAnsi"/>
          <w:sz w:val="22"/>
          <w:szCs w:val="22"/>
        </w:rPr>
        <w:t>A total of seven affordable units were also created under local zoning as part of an Elder Services Overlay District.  These units were part of two phases in developing housing for those 55 years of age or older.  See Appendix 4 for a map of this area.</w:t>
      </w:r>
    </w:p>
    <w:p w14:paraId="4CF6FDAE" w14:textId="77777777" w:rsidR="002019EC" w:rsidRPr="00C27BFD" w:rsidRDefault="002019EC" w:rsidP="005D3FC9">
      <w:pPr>
        <w:pStyle w:val="BodyTextIndent"/>
        <w:numPr>
          <w:ilvl w:val="0"/>
          <w:numId w:val="44"/>
        </w:numPr>
        <w:tabs>
          <w:tab w:val="left" w:pos="720"/>
        </w:tabs>
        <w:spacing w:after="0"/>
        <w:jc w:val="both"/>
        <w:rPr>
          <w:rFonts w:asciiTheme="minorHAnsi" w:hAnsiTheme="minorHAnsi"/>
          <w:sz w:val="22"/>
          <w:szCs w:val="22"/>
        </w:rPr>
      </w:pPr>
      <w:r w:rsidRPr="00C27BFD">
        <w:rPr>
          <w:rFonts w:asciiTheme="minorHAnsi" w:hAnsiTheme="minorHAnsi"/>
          <w:sz w:val="22"/>
          <w:szCs w:val="22"/>
        </w:rPr>
        <w:t>The Town has a total of 84 units in group homes for persons with developmental disabilities and another 26 units in facilities for persons with special needs that were sponsored by non-profit organizations.</w:t>
      </w:r>
    </w:p>
    <w:p w14:paraId="3A6EDF0B" w14:textId="662AF760" w:rsidR="002019EC" w:rsidRDefault="002019EC" w:rsidP="005D3FC9">
      <w:pPr>
        <w:pStyle w:val="BodyTextIndent"/>
        <w:numPr>
          <w:ilvl w:val="0"/>
          <w:numId w:val="44"/>
        </w:numPr>
        <w:tabs>
          <w:tab w:val="left" w:pos="720"/>
        </w:tabs>
        <w:spacing w:after="0"/>
        <w:jc w:val="both"/>
        <w:rPr>
          <w:rFonts w:asciiTheme="minorHAnsi" w:hAnsiTheme="minorHAnsi"/>
          <w:sz w:val="22"/>
          <w:szCs w:val="22"/>
        </w:rPr>
      </w:pPr>
      <w:r w:rsidRPr="00C27BFD">
        <w:rPr>
          <w:rFonts w:asciiTheme="minorHAnsi" w:hAnsiTheme="minorHAnsi"/>
          <w:sz w:val="22"/>
          <w:szCs w:val="22"/>
        </w:rPr>
        <w:t>It should be noted that 2019 census estimates indicate that out of a total 1,754 rental units, 830 had rents of less than $1,500 which would have been affordable to those households earning less than $68,000, assuming tenants were not spending more than 30% of their income on housing costs, the traditional threshold of affordability, and have utility bills that average $200 a month.  The census estimates identify another 367 units with rents in the $1,500 to $2,000 range that would have been affordable to those with incomes between $68,000 and $88,000 based on the same assumptions. Many of these rentals are subsidized as the Town has 737 rentals on its Subsidized Housing Inventory (SHI) that are rented at affordable levels prescribed by the state. Additionally, the census estimates indicate that 99 renter households did not pay rent.</w:t>
      </w:r>
    </w:p>
    <w:p w14:paraId="3A731D7A" w14:textId="77777777" w:rsidR="00C62728" w:rsidRPr="00EA2385" w:rsidRDefault="00C62728" w:rsidP="00C62728">
      <w:pPr>
        <w:pStyle w:val="BodyTextIndent"/>
        <w:numPr>
          <w:ilvl w:val="0"/>
          <w:numId w:val="44"/>
        </w:numPr>
        <w:spacing w:after="0"/>
        <w:jc w:val="both"/>
        <w:rPr>
          <w:rFonts w:asciiTheme="minorHAnsi" w:hAnsiTheme="minorHAnsi"/>
          <w:i/>
          <w:sz w:val="22"/>
          <w:szCs w:val="22"/>
        </w:rPr>
      </w:pPr>
      <w:r>
        <w:rPr>
          <w:rFonts w:asciiTheme="minorHAnsi" w:hAnsiTheme="minorHAnsi"/>
          <w:iCs/>
          <w:sz w:val="22"/>
          <w:szCs w:val="22"/>
        </w:rPr>
        <w:t>The Town succeeded in having a market unit converted to an affordable one at the Hamilton Highlands development (formerly Webster Green).  This occurred when the owners were making considerable capital improvements, including expanding the number of units, causing rent levels to climb above what some long-term tenants could afford.  The affordable unit is not eligible for inclusion on the SHI, however, because it is reserved for existing qualifying tenants.</w:t>
      </w:r>
    </w:p>
    <w:p w14:paraId="4A6F72E0" w14:textId="77777777" w:rsidR="002019EC" w:rsidRPr="00C27BFD" w:rsidRDefault="002019EC" w:rsidP="002019EC">
      <w:pPr>
        <w:pStyle w:val="BodyTextIndent"/>
        <w:spacing w:after="0"/>
        <w:ind w:left="0"/>
        <w:jc w:val="both"/>
        <w:rPr>
          <w:rFonts w:asciiTheme="minorHAnsi" w:hAnsiTheme="minorHAnsi"/>
          <w:sz w:val="22"/>
          <w:szCs w:val="22"/>
        </w:rPr>
      </w:pPr>
    </w:p>
    <w:p w14:paraId="3096D8F6" w14:textId="77777777" w:rsidR="002019EC" w:rsidRPr="00C27BFD" w:rsidRDefault="002019EC" w:rsidP="002019EC">
      <w:pPr>
        <w:pStyle w:val="BodyTextIndent"/>
        <w:spacing w:after="0"/>
        <w:ind w:left="0"/>
        <w:jc w:val="both"/>
        <w:rPr>
          <w:rFonts w:asciiTheme="minorHAnsi" w:hAnsiTheme="minorHAnsi"/>
          <w:i/>
          <w:sz w:val="22"/>
          <w:szCs w:val="22"/>
        </w:rPr>
      </w:pPr>
      <w:r w:rsidRPr="00C27BFD">
        <w:rPr>
          <w:rFonts w:asciiTheme="minorHAnsi" w:hAnsiTheme="minorHAnsi"/>
          <w:i/>
          <w:sz w:val="22"/>
          <w:szCs w:val="22"/>
        </w:rPr>
        <w:t>Homeownership Units</w:t>
      </w:r>
    </w:p>
    <w:p w14:paraId="260E2A30" w14:textId="77777777" w:rsidR="002019EC" w:rsidRPr="00C27BFD" w:rsidRDefault="002019EC" w:rsidP="005D3FC9">
      <w:pPr>
        <w:pStyle w:val="BodyTextIndent"/>
        <w:numPr>
          <w:ilvl w:val="0"/>
          <w:numId w:val="45"/>
        </w:numPr>
        <w:spacing w:after="0"/>
        <w:jc w:val="both"/>
        <w:rPr>
          <w:rFonts w:asciiTheme="minorHAnsi" w:hAnsiTheme="minorHAnsi"/>
          <w:i/>
          <w:sz w:val="22"/>
          <w:szCs w:val="22"/>
        </w:rPr>
      </w:pPr>
      <w:r w:rsidRPr="00C27BFD">
        <w:rPr>
          <w:rFonts w:asciiTheme="minorHAnsi" w:hAnsiTheme="minorHAnsi"/>
          <w:sz w:val="22"/>
          <w:szCs w:val="22"/>
        </w:rPr>
        <w:t xml:space="preserve">Needham has a total of 17 affordable homeownership units that were permitted under Chapter 40B and are scattered in seven separate developments. </w:t>
      </w:r>
    </w:p>
    <w:p w14:paraId="08753E98" w14:textId="77777777" w:rsidR="002019EC" w:rsidRPr="004E1C50" w:rsidRDefault="002019EC" w:rsidP="005D3FC9">
      <w:pPr>
        <w:pStyle w:val="BodyTextIndent"/>
        <w:numPr>
          <w:ilvl w:val="0"/>
          <w:numId w:val="45"/>
        </w:numPr>
        <w:spacing w:after="0"/>
        <w:jc w:val="both"/>
        <w:rPr>
          <w:rFonts w:asciiTheme="minorHAnsi" w:hAnsiTheme="minorHAnsi"/>
          <w:i/>
          <w:sz w:val="22"/>
          <w:szCs w:val="22"/>
        </w:rPr>
      </w:pPr>
      <w:r w:rsidRPr="00C27BFD">
        <w:rPr>
          <w:rFonts w:asciiTheme="minorHAnsi" w:hAnsiTheme="minorHAnsi"/>
          <w:sz w:val="22"/>
          <w:szCs w:val="22"/>
        </w:rPr>
        <w:t xml:space="preserve">The Needham Housing Authority converted 20 single-family homes that were rentals to 40 </w:t>
      </w:r>
      <w:r>
        <w:rPr>
          <w:rFonts w:asciiTheme="minorHAnsi" w:hAnsiTheme="minorHAnsi"/>
          <w:sz w:val="22"/>
          <w:szCs w:val="22"/>
        </w:rPr>
        <w:t>duplex units, half of which were sold as part of the High Rock Estates condominium development.</w:t>
      </w:r>
    </w:p>
    <w:p w14:paraId="14EF07D1" w14:textId="77777777" w:rsidR="002019EC" w:rsidRPr="00B91AF0" w:rsidRDefault="002019EC" w:rsidP="005D3FC9">
      <w:pPr>
        <w:pStyle w:val="BodyTextIndent"/>
        <w:numPr>
          <w:ilvl w:val="0"/>
          <w:numId w:val="45"/>
        </w:numPr>
        <w:spacing w:after="0"/>
        <w:jc w:val="both"/>
        <w:rPr>
          <w:rFonts w:asciiTheme="minorHAnsi" w:hAnsiTheme="minorHAnsi"/>
          <w:i/>
          <w:sz w:val="22"/>
          <w:szCs w:val="22"/>
        </w:rPr>
      </w:pPr>
      <w:r>
        <w:rPr>
          <w:rFonts w:asciiTheme="minorHAnsi" w:hAnsiTheme="minorHAnsi"/>
          <w:iCs/>
          <w:sz w:val="22"/>
          <w:szCs w:val="22"/>
        </w:rPr>
        <w:lastRenderedPageBreak/>
        <w:t xml:space="preserve">The Town also conveyed a municipally owned lot on Bancroft Street to Habitat for Humanity which built an affordable single-family home.  </w:t>
      </w:r>
    </w:p>
    <w:p w14:paraId="23EECE3F" w14:textId="77777777" w:rsidR="002019EC" w:rsidRDefault="002019EC" w:rsidP="002019EC">
      <w:pPr>
        <w:ind w:right="-720"/>
        <w:jc w:val="both"/>
        <w:rPr>
          <w:rFonts w:ascii="Calibri" w:hAnsi="Calibri"/>
          <w:sz w:val="22"/>
        </w:rPr>
      </w:pPr>
    </w:p>
    <w:p w14:paraId="1B6B1258" w14:textId="77777777" w:rsidR="002019EC" w:rsidRDefault="002019EC" w:rsidP="002019EC">
      <w:pPr>
        <w:jc w:val="both"/>
        <w:rPr>
          <w:rFonts w:ascii="Calibri" w:hAnsi="Calibri"/>
          <w:sz w:val="22"/>
        </w:rPr>
      </w:pPr>
      <w:r>
        <w:rPr>
          <w:rFonts w:ascii="Calibri" w:hAnsi="Calibri"/>
          <w:sz w:val="22"/>
        </w:rPr>
        <w:t>A detailed report on these SHI units is included as Appendix 1.</w:t>
      </w:r>
    </w:p>
    <w:p w14:paraId="75AB6A12" w14:textId="77777777" w:rsidR="002019EC" w:rsidRPr="00AE1889" w:rsidRDefault="002019EC" w:rsidP="002019EC">
      <w:pPr>
        <w:pStyle w:val="NormalWeb"/>
        <w:shd w:val="clear" w:color="auto" w:fill="FFFFFF"/>
        <w:spacing w:after="0" w:line="280" w:lineRule="atLeast"/>
        <w:jc w:val="both"/>
        <w:rPr>
          <w:rFonts w:asciiTheme="minorHAnsi" w:hAnsiTheme="minorHAnsi"/>
          <w:sz w:val="22"/>
          <w:szCs w:val="22"/>
        </w:rPr>
      </w:pPr>
      <w:r w:rsidRPr="00AE1889">
        <w:rPr>
          <w:rFonts w:asciiTheme="minorHAnsi" w:hAnsiTheme="minorHAnsi"/>
          <w:sz w:val="22"/>
          <w:szCs w:val="22"/>
        </w:rPr>
        <w:t xml:space="preserve">The </w:t>
      </w:r>
      <w:r>
        <w:rPr>
          <w:rFonts w:asciiTheme="minorHAnsi" w:hAnsiTheme="minorHAnsi"/>
          <w:sz w:val="22"/>
          <w:szCs w:val="22"/>
        </w:rPr>
        <w:t>Town has also focused on ensuring that SHI units are preserved as affordable and remain part of the SHI for as long a period of time as possible.  To this end, the Town created a Community Housing Specialist position, that, in addition to other job responsibilities, conducts annual monitoring of a number of affordable housing units, including some older 40B ownership units and more recent units that were required to be affordable through inclusionary zoning.  The Housing Specialist is also in contact with the monitoring agents for other affordable units to ensure continued compliance with all monitoring and affordability requirements.</w:t>
      </w:r>
    </w:p>
    <w:p w14:paraId="4C1125E8" w14:textId="77777777" w:rsidR="002019EC" w:rsidRDefault="002019EC" w:rsidP="002019EC">
      <w:pPr>
        <w:jc w:val="both"/>
        <w:rPr>
          <w:rFonts w:ascii="Calibri" w:hAnsi="Calibri"/>
          <w:sz w:val="22"/>
        </w:rPr>
      </w:pPr>
    </w:p>
    <w:p w14:paraId="48E80860" w14:textId="64D61611" w:rsidR="002019EC" w:rsidRDefault="002019EC" w:rsidP="002019EC">
      <w:pPr>
        <w:jc w:val="both"/>
        <w:rPr>
          <w:rFonts w:ascii="Calibri" w:hAnsi="Calibri"/>
          <w:sz w:val="22"/>
          <w:szCs w:val="22"/>
        </w:rPr>
      </w:pPr>
      <w:r>
        <w:rPr>
          <w:rFonts w:ascii="Calibri" w:hAnsi="Calibri"/>
          <w:sz w:val="22"/>
        </w:rPr>
        <w:t>While not counted as part of the Town’s Subsidized Housing Inventory, t</w:t>
      </w:r>
      <w:r w:rsidRPr="004E50E7">
        <w:rPr>
          <w:rFonts w:ascii="Calibri" w:hAnsi="Calibri"/>
          <w:sz w:val="22"/>
        </w:rPr>
        <w:t>he</w:t>
      </w:r>
      <w:r>
        <w:rPr>
          <w:rFonts w:ascii="Calibri" w:hAnsi="Calibri"/>
          <w:sz w:val="22"/>
        </w:rPr>
        <w:t xml:space="preserve"> </w:t>
      </w:r>
      <w:r w:rsidRPr="004E50E7">
        <w:rPr>
          <w:rFonts w:ascii="Calibri" w:hAnsi="Calibri"/>
          <w:sz w:val="22"/>
        </w:rPr>
        <w:t>Needham</w:t>
      </w:r>
      <w:r>
        <w:rPr>
          <w:rFonts w:ascii="Calibri" w:hAnsi="Calibri"/>
          <w:sz w:val="22"/>
        </w:rPr>
        <w:t xml:space="preserve"> Housing Authority</w:t>
      </w:r>
      <w:r w:rsidRPr="004E50E7">
        <w:rPr>
          <w:rFonts w:ascii="Calibri" w:hAnsi="Calibri"/>
          <w:sz w:val="22"/>
        </w:rPr>
        <w:t xml:space="preserve"> </w:t>
      </w:r>
      <w:r>
        <w:rPr>
          <w:rFonts w:ascii="Calibri" w:hAnsi="Calibri"/>
          <w:sz w:val="22"/>
        </w:rPr>
        <w:t>administers</w:t>
      </w:r>
      <w:r w:rsidRPr="004E50E7">
        <w:rPr>
          <w:rFonts w:ascii="Calibri" w:hAnsi="Calibri"/>
          <w:sz w:val="22"/>
        </w:rPr>
        <w:t xml:space="preserve"> 120 Section 8 vouchers</w:t>
      </w:r>
      <w:r>
        <w:rPr>
          <w:rFonts w:ascii="Calibri" w:hAnsi="Calibri"/>
          <w:sz w:val="22"/>
        </w:rPr>
        <w:t>, which are federally funded through the U.S</w:t>
      </w:r>
      <w:r w:rsidRPr="00294ECD">
        <w:rPr>
          <w:rFonts w:ascii="Calibri" w:hAnsi="Calibri"/>
          <w:sz w:val="22"/>
        </w:rPr>
        <w:t xml:space="preserve"> Department of Housing and Urban Developmen</w:t>
      </w:r>
      <w:r>
        <w:rPr>
          <w:rFonts w:ascii="Calibri" w:hAnsi="Calibri"/>
          <w:sz w:val="22"/>
        </w:rPr>
        <w:t>t (HUD)</w:t>
      </w:r>
      <w:r w:rsidRPr="004E50E7">
        <w:rPr>
          <w:rFonts w:ascii="Calibri" w:hAnsi="Calibri"/>
          <w:sz w:val="22"/>
        </w:rPr>
        <w:t xml:space="preserve">.  </w:t>
      </w:r>
      <w:r w:rsidRPr="004E50E7">
        <w:rPr>
          <w:rFonts w:ascii="Calibri" w:hAnsi="Calibri"/>
          <w:sz w:val="22"/>
          <w:szCs w:val="22"/>
        </w:rPr>
        <w:t xml:space="preserve">These rental </w:t>
      </w:r>
      <w:r>
        <w:rPr>
          <w:rFonts w:ascii="Calibri" w:hAnsi="Calibri"/>
          <w:sz w:val="22"/>
          <w:szCs w:val="22"/>
        </w:rPr>
        <w:t>vouchers</w:t>
      </w:r>
      <w:r w:rsidRPr="004E50E7">
        <w:rPr>
          <w:rFonts w:ascii="Calibri" w:hAnsi="Calibri"/>
          <w:sz w:val="22"/>
          <w:szCs w:val="22"/>
        </w:rPr>
        <w:t xml:space="preserve"> are provided to qualifying households renting units in the private housing market, filling the gap between an established market rent – the Fair Market Rent (FMR) – and a portion of the household’s income.  Based on the high cost of housing in Needham, the Housing Authority has been able to apply up to 110% of the FMR levels for its maximum rent.  Applicants must also have incomes within 50% of area median income, $</w:t>
      </w:r>
      <w:r>
        <w:rPr>
          <w:rFonts w:ascii="Calibri" w:hAnsi="Calibri"/>
          <w:sz w:val="22"/>
          <w:szCs w:val="22"/>
        </w:rPr>
        <w:t>60,400</w:t>
      </w:r>
      <w:r w:rsidRPr="004E50E7">
        <w:rPr>
          <w:rFonts w:ascii="Calibri" w:hAnsi="Calibri"/>
          <w:sz w:val="22"/>
          <w:szCs w:val="22"/>
        </w:rPr>
        <w:t xml:space="preserve"> for a family of three based on 20</w:t>
      </w:r>
      <w:r>
        <w:rPr>
          <w:rFonts w:ascii="Calibri" w:hAnsi="Calibri"/>
          <w:sz w:val="22"/>
          <w:szCs w:val="22"/>
        </w:rPr>
        <w:t>21 HUD</w:t>
      </w:r>
      <w:r w:rsidRPr="004E50E7">
        <w:rPr>
          <w:rFonts w:ascii="Calibri" w:hAnsi="Calibri"/>
          <w:sz w:val="22"/>
          <w:szCs w:val="22"/>
        </w:rPr>
        <w:t xml:space="preserve"> income levels. </w:t>
      </w:r>
      <w:r w:rsidR="000F2294">
        <w:rPr>
          <w:rFonts w:ascii="Calibri" w:hAnsi="Calibri"/>
          <w:sz w:val="22"/>
          <w:szCs w:val="22"/>
        </w:rPr>
        <w:t xml:space="preserve">  Additionally, 75% of the vouchers must be used by households with incomes at or below 30% AMI.</w:t>
      </w:r>
    </w:p>
    <w:p w14:paraId="08963594" w14:textId="77777777" w:rsidR="002019EC" w:rsidRDefault="002019EC" w:rsidP="002019EC">
      <w:pPr>
        <w:pStyle w:val="NormalWeb"/>
        <w:shd w:val="clear" w:color="auto" w:fill="FFFFFF"/>
        <w:spacing w:after="0" w:line="280" w:lineRule="atLeast"/>
        <w:rPr>
          <w:rFonts w:asciiTheme="minorHAnsi" w:hAnsiTheme="minorHAnsi"/>
          <w:b/>
          <w:bCs/>
          <w:sz w:val="22"/>
          <w:szCs w:val="22"/>
        </w:rPr>
      </w:pPr>
    </w:p>
    <w:p w14:paraId="0592150F" w14:textId="77777777" w:rsidR="002019EC" w:rsidRDefault="002019EC" w:rsidP="002019EC">
      <w:pPr>
        <w:pStyle w:val="NormalWeb"/>
        <w:shd w:val="clear" w:color="auto" w:fill="FFFFFF"/>
        <w:spacing w:after="0" w:line="280" w:lineRule="atLeast"/>
        <w:rPr>
          <w:rFonts w:asciiTheme="minorHAnsi" w:hAnsiTheme="minorHAnsi"/>
          <w:sz w:val="22"/>
          <w:szCs w:val="22"/>
        </w:rPr>
      </w:pPr>
      <w:r>
        <w:rPr>
          <w:rFonts w:asciiTheme="minorHAnsi" w:hAnsiTheme="minorHAnsi"/>
          <w:sz w:val="22"/>
          <w:szCs w:val="22"/>
        </w:rPr>
        <w:t xml:space="preserve">The Town has also launched a number of </w:t>
      </w:r>
      <w:r w:rsidRPr="00A36D7E">
        <w:rPr>
          <w:rFonts w:asciiTheme="minorHAnsi" w:hAnsiTheme="minorHAnsi"/>
          <w:b/>
          <w:bCs/>
          <w:i/>
          <w:iCs/>
          <w:sz w:val="22"/>
          <w:szCs w:val="22"/>
        </w:rPr>
        <w:t>special housing programs</w:t>
      </w:r>
      <w:r>
        <w:rPr>
          <w:rFonts w:asciiTheme="minorHAnsi" w:hAnsiTheme="minorHAnsi"/>
          <w:sz w:val="22"/>
          <w:szCs w:val="22"/>
        </w:rPr>
        <w:t xml:space="preserve"> to help residents afford to remain in the community including:</w:t>
      </w:r>
    </w:p>
    <w:p w14:paraId="503E8CF5" w14:textId="77777777" w:rsidR="002019EC" w:rsidRDefault="002019EC" w:rsidP="002019EC">
      <w:pPr>
        <w:pStyle w:val="NormalWeb"/>
        <w:shd w:val="clear" w:color="auto" w:fill="FFFFFF"/>
        <w:spacing w:after="0" w:line="280" w:lineRule="atLeast"/>
        <w:rPr>
          <w:rFonts w:asciiTheme="minorHAnsi" w:hAnsiTheme="minorHAnsi"/>
          <w:sz w:val="22"/>
          <w:szCs w:val="22"/>
        </w:rPr>
      </w:pPr>
    </w:p>
    <w:p w14:paraId="0AB268CD" w14:textId="77777777" w:rsidR="002019EC" w:rsidRPr="00741015" w:rsidRDefault="002019EC" w:rsidP="005D3FC9">
      <w:pPr>
        <w:pStyle w:val="BodyText"/>
        <w:numPr>
          <w:ilvl w:val="0"/>
          <w:numId w:val="47"/>
        </w:numPr>
        <w:tabs>
          <w:tab w:val="left" w:pos="3276"/>
        </w:tabs>
        <w:ind w:left="720"/>
        <w:jc w:val="both"/>
        <w:rPr>
          <w:rFonts w:asciiTheme="minorHAnsi" w:hAnsiTheme="minorHAnsi"/>
          <w:sz w:val="22"/>
          <w:szCs w:val="22"/>
        </w:rPr>
      </w:pPr>
      <w:r w:rsidRPr="00741015">
        <w:rPr>
          <w:rFonts w:asciiTheme="minorHAnsi" w:hAnsiTheme="minorHAnsi"/>
          <w:sz w:val="22"/>
          <w:szCs w:val="22"/>
        </w:rPr>
        <w:t xml:space="preserve">The </w:t>
      </w:r>
      <w:r w:rsidRPr="00741015">
        <w:rPr>
          <w:rFonts w:asciiTheme="minorHAnsi" w:hAnsiTheme="minorHAnsi"/>
          <w:i/>
          <w:iCs/>
          <w:sz w:val="22"/>
          <w:szCs w:val="22"/>
        </w:rPr>
        <w:t xml:space="preserve">Small Repair Grant Program </w:t>
      </w:r>
      <w:r w:rsidRPr="00741015">
        <w:rPr>
          <w:rFonts w:asciiTheme="minorHAnsi" w:hAnsiTheme="minorHAnsi"/>
          <w:sz w:val="22"/>
          <w:szCs w:val="22"/>
        </w:rPr>
        <w:t xml:space="preserve">provides </w:t>
      </w:r>
      <w:r w:rsidRPr="00741015">
        <w:rPr>
          <w:rFonts w:asciiTheme="minorHAnsi" w:hAnsiTheme="minorHAnsi"/>
          <w:spacing w:val="-1"/>
          <w:sz w:val="22"/>
          <w:szCs w:val="22"/>
        </w:rPr>
        <w:t xml:space="preserve">limited financial assistance to income-eligible senior and disabled households to help </w:t>
      </w:r>
      <w:r>
        <w:rPr>
          <w:rFonts w:asciiTheme="minorHAnsi" w:hAnsiTheme="minorHAnsi"/>
          <w:spacing w:val="-1"/>
          <w:sz w:val="22"/>
          <w:szCs w:val="22"/>
        </w:rPr>
        <w:t>make health and safety improvements to their homes</w:t>
      </w:r>
      <w:r w:rsidRPr="00741015">
        <w:rPr>
          <w:rFonts w:asciiTheme="minorHAnsi" w:hAnsiTheme="minorHAnsi"/>
          <w:spacing w:val="-1"/>
          <w:sz w:val="22"/>
          <w:szCs w:val="22"/>
        </w:rPr>
        <w:t xml:space="preserve">.  Grants of up to $5,000 are </w:t>
      </w:r>
      <w:r w:rsidRPr="00741015">
        <w:rPr>
          <w:rFonts w:asciiTheme="minorHAnsi" w:hAnsiTheme="minorHAnsi"/>
          <w:sz w:val="22"/>
          <w:szCs w:val="22"/>
        </w:rPr>
        <w:t xml:space="preserve">provided </w:t>
      </w:r>
      <w:r w:rsidRPr="00741015">
        <w:rPr>
          <w:rFonts w:asciiTheme="minorHAnsi" w:hAnsiTheme="minorHAnsi"/>
          <w:spacing w:val="-1"/>
          <w:sz w:val="22"/>
          <w:szCs w:val="22"/>
        </w:rPr>
        <w:t>on</w:t>
      </w:r>
      <w:r w:rsidRPr="00741015">
        <w:rPr>
          <w:rFonts w:asciiTheme="minorHAnsi" w:hAnsiTheme="minorHAnsi"/>
          <w:sz w:val="22"/>
          <w:szCs w:val="22"/>
        </w:rPr>
        <w:t xml:space="preserve"> </w:t>
      </w:r>
      <w:r w:rsidRPr="00741015">
        <w:rPr>
          <w:rFonts w:asciiTheme="minorHAnsi" w:hAnsiTheme="minorHAnsi"/>
          <w:spacing w:val="-1"/>
          <w:sz w:val="22"/>
          <w:szCs w:val="22"/>
        </w:rPr>
        <w:t>an</w:t>
      </w:r>
      <w:r w:rsidRPr="00741015">
        <w:rPr>
          <w:rFonts w:asciiTheme="minorHAnsi" w:hAnsiTheme="minorHAnsi"/>
          <w:spacing w:val="-2"/>
          <w:sz w:val="22"/>
          <w:szCs w:val="22"/>
        </w:rPr>
        <w:t xml:space="preserve"> </w:t>
      </w:r>
      <w:r w:rsidRPr="00741015">
        <w:rPr>
          <w:rFonts w:asciiTheme="minorHAnsi" w:hAnsiTheme="minorHAnsi"/>
          <w:spacing w:val="-1"/>
          <w:sz w:val="22"/>
          <w:szCs w:val="22"/>
        </w:rPr>
        <w:t>unsecured</w:t>
      </w:r>
      <w:r w:rsidRPr="00741015">
        <w:rPr>
          <w:rFonts w:asciiTheme="minorHAnsi" w:hAnsiTheme="minorHAnsi"/>
          <w:sz w:val="22"/>
          <w:szCs w:val="22"/>
        </w:rPr>
        <w:t xml:space="preserve"> </w:t>
      </w:r>
      <w:r w:rsidRPr="00741015">
        <w:rPr>
          <w:rFonts w:asciiTheme="minorHAnsi" w:hAnsiTheme="minorHAnsi"/>
          <w:spacing w:val="-1"/>
          <w:sz w:val="22"/>
          <w:szCs w:val="22"/>
        </w:rPr>
        <w:t>basis;</w:t>
      </w:r>
      <w:r w:rsidRPr="00741015">
        <w:rPr>
          <w:rFonts w:asciiTheme="minorHAnsi" w:hAnsiTheme="minorHAnsi"/>
          <w:sz w:val="22"/>
          <w:szCs w:val="22"/>
        </w:rPr>
        <w:t xml:space="preserve"> there</w:t>
      </w:r>
      <w:r w:rsidRPr="00741015">
        <w:rPr>
          <w:rFonts w:asciiTheme="minorHAnsi" w:hAnsiTheme="minorHAnsi"/>
          <w:spacing w:val="-2"/>
          <w:sz w:val="22"/>
          <w:szCs w:val="22"/>
        </w:rPr>
        <w:t xml:space="preserve"> </w:t>
      </w:r>
      <w:r w:rsidRPr="00741015">
        <w:rPr>
          <w:rFonts w:asciiTheme="minorHAnsi" w:hAnsiTheme="minorHAnsi"/>
          <w:spacing w:val="-1"/>
          <w:sz w:val="22"/>
          <w:szCs w:val="22"/>
        </w:rPr>
        <w:t>is</w:t>
      </w:r>
      <w:r w:rsidRPr="00741015">
        <w:rPr>
          <w:rFonts w:asciiTheme="minorHAnsi" w:hAnsiTheme="minorHAnsi"/>
          <w:spacing w:val="1"/>
          <w:sz w:val="22"/>
          <w:szCs w:val="22"/>
        </w:rPr>
        <w:t xml:space="preserve"> </w:t>
      </w:r>
      <w:r w:rsidRPr="00741015">
        <w:rPr>
          <w:rFonts w:asciiTheme="minorHAnsi" w:hAnsiTheme="minorHAnsi"/>
          <w:spacing w:val="-2"/>
          <w:sz w:val="22"/>
          <w:szCs w:val="22"/>
        </w:rPr>
        <w:t>no</w:t>
      </w:r>
      <w:r w:rsidRPr="00741015">
        <w:rPr>
          <w:rFonts w:asciiTheme="minorHAnsi" w:hAnsiTheme="minorHAnsi"/>
          <w:sz w:val="22"/>
          <w:szCs w:val="22"/>
        </w:rPr>
        <w:t xml:space="preserve"> </w:t>
      </w:r>
      <w:r w:rsidRPr="00741015">
        <w:rPr>
          <w:rFonts w:asciiTheme="minorHAnsi" w:hAnsiTheme="minorHAnsi"/>
          <w:spacing w:val="-1"/>
          <w:sz w:val="22"/>
          <w:szCs w:val="22"/>
        </w:rPr>
        <w:t>repayment</w:t>
      </w:r>
      <w:r w:rsidRPr="00741015">
        <w:rPr>
          <w:rFonts w:asciiTheme="minorHAnsi" w:hAnsiTheme="minorHAnsi"/>
          <w:spacing w:val="1"/>
          <w:sz w:val="22"/>
          <w:szCs w:val="22"/>
        </w:rPr>
        <w:t xml:space="preserve"> </w:t>
      </w:r>
      <w:r w:rsidRPr="00741015">
        <w:rPr>
          <w:rFonts w:asciiTheme="minorHAnsi" w:hAnsiTheme="minorHAnsi"/>
          <w:spacing w:val="-1"/>
          <w:sz w:val="22"/>
          <w:szCs w:val="22"/>
        </w:rPr>
        <w:t>required</w:t>
      </w:r>
      <w:r w:rsidRPr="00741015">
        <w:rPr>
          <w:rFonts w:asciiTheme="minorHAnsi" w:hAnsiTheme="minorHAnsi"/>
          <w:sz w:val="22"/>
          <w:szCs w:val="22"/>
        </w:rPr>
        <w:t xml:space="preserve"> </w:t>
      </w:r>
      <w:r w:rsidRPr="00741015">
        <w:rPr>
          <w:rFonts w:asciiTheme="minorHAnsi" w:hAnsiTheme="minorHAnsi"/>
          <w:spacing w:val="-1"/>
          <w:sz w:val="22"/>
          <w:szCs w:val="22"/>
        </w:rPr>
        <w:t xml:space="preserve">unless the grant recipient does not comply with the Grant Agreement or sells or transfers the home within one year.  </w:t>
      </w:r>
      <w:r>
        <w:rPr>
          <w:rFonts w:asciiTheme="minorHAnsi" w:hAnsiTheme="minorHAnsi"/>
          <w:spacing w:val="-1"/>
          <w:sz w:val="22"/>
          <w:szCs w:val="22"/>
        </w:rPr>
        <w:t>At least one member of the household must be 60 years of age or older or have a disability.  All participants must have incomes of no more than 80% of Area Median Income.  The Program is administered by the Needham Affordable Housing Trust.</w:t>
      </w:r>
    </w:p>
    <w:p w14:paraId="796B331F" w14:textId="77777777" w:rsidR="002019EC" w:rsidRPr="00E038C0" w:rsidRDefault="002019EC" w:rsidP="005D3FC9">
      <w:pPr>
        <w:pStyle w:val="ListParagraph"/>
        <w:numPr>
          <w:ilvl w:val="0"/>
          <w:numId w:val="46"/>
        </w:numPr>
        <w:jc w:val="both"/>
        <w:rPr>
          <w:rFonts w:asciiTheme="minorHAnsi" w:hAnsiTheme="minorHAnsi"/>
          <w:sz w:val="22"/>
          <w:szCs w:val="22"/>
        </w:rPr>
      </w:pPr>
      <w:r w:rsidRPr="00E038C0">
        <w:rPr>
          <w:rFonts w:asciiTheme="minorHAnsi" w:hAnsiTheme="minorHAnsi"/>
          <w:sz w:val="22"/>
          <w:szCs w:val="22"/>
        </w:rPr>
        <w:t xml:space="preserve">The </w:t>
      </w:r>
      <w:r w:rsidRPr="00E038C0">
        <w:rPr>
          <w:rFonts w:asciiTheme="minorHAnsi" w:hAnsiTheme="minorHAnsi"/>
          <w:i/>
          <w:iCs/>
          <w:sz w:val="22"/>
          <w:szCs w:val="22"/>
        </w:rPr>
        <w:t>Emergency Rental Assistance Program</w:t>
      </w:r>
      <w:r w:rsidRPr="00E038C0">
        <w:rPr>
          <w:rFonts w:asciiTheme="minorHAnsi" w:hAnsiTheme="minorHAnsi"/>
        </w:rPr>
        <w:t xml:space="preserve"> </w:t>
      </w:r>
      <w:r>
        <w:rPr>
          <w:rFonts w:asciiTheme="minorHAnsi" w:hAnsiTheme="minorHAnsi"/>
        </w:rPr>
        <w:t>was a</w:t>
      </w:r>
      <w:r w:rsidRPr="00E038C0">
        <w:rPr>
          <w:rFonts w:asciiTheme="minorHAnsi" w:hAnsiTheme="minorHAnsi"/>
          <w:sz w:val="22"/>
          <w:szCs w:val="22"/>
        </w:rPr>
        <w:t>pproved by Special Town Meeting in October</w:t>
      </w:r>
      <w:r>
        <w:rPr>
          <w:rFonts w:asciiTheme="minorHAnsi" w:hAnsiTheme="minorHAnsi"/>
          <w:sz w:val="22"/>
          <w:szCs w:val="22"/>
        </w:rPr>
        <w:t xml:space="preserve"> 2020 to provide financial a</w:t>
      </w:r>
      <w:r w:rsidRPr="00E038C0">
        <w:rPr>
          <w:rFonts w:asciiTheme="minorHAnsi" w:hAnsiTheme="minorHAnsi"/>
          <w:sz w:val="22"/>
          <w:szCs w:val="22"/>
        </w:rPr>
        <w:t>ssistance</w:t>
      </w:r>
      <w:r>
        <w:rPr>
          <w:rFonts w:asciiTheme="minorHAnsi" w:hAnsiTheme="minorHAnsi"/>
          <w:sz w:val="22"/>
          <w:szCs w:val="22"/>
        </w:rPr>
        <w:t xml:space="preserve"> to help renters who lost income due to Covid-19 remain in their homes.  With an allocation of $120,000 of Community Preservation funding and another $50,000 from the</w:t>
      </w:r>
      <w:r w:rsidRPr="00E038C0">
        <w:rPr>
          <w:rFonts w:asciiTheme="minorHAnsi" w:hAnsiTheme="minorHAnsi"/>
          <w:sz w:val="22"/>
          <w:szCs w:val="22"/>
        </w:rPr>
        <w:t xml:space="preserve"> Massachusetts Covid-19 Relief Fund, secured for Needham by the Foundation for MetroWest</w:t>
      </w:r>
      <w:r>
        <w:rPr>
          <w:rFonts w:asciiTheme="minorHAnsi" w:hAnsiTheme="minorHAnsi"/>
          <w:sz w:val="22"/>
          <w:szCs w:val="22"/>
        </w:rPr>
        <w:t>, the Program</w:t>
      </w:r>
      <w:r w:rsidRPr="00E038C0">
        <w:rPr>
          <w:rFonts w:asciiTheme="minorHAnsi" w:hAnsiTheme="minorHAnsi"/>
          <w:sz w:val="22"/>
          <w:szCs w:val="22"/>
        </w:rPr>
        <w:t xml:space="preserve"> cover</w:t>
      </w:r>
      <w:r>
        <w:rPr>
          <w:rFonts w:asciiTheme="minorHAnsi" w:hAnsiTheme="minorHAnsi"/>
          <w:sz w:val="22"/>
          <w:szCs w:val="22"/>
        </w:rPr>
        <w:t xml:space="preserve">ed </w:t>
      </w:r>
      <w:r w:rsidRPr="00E038C0">
        <w:rPr>
          <w:rFonts w:asciiTheme="minorHAnsi" w:hAnsiTheme="minorHAnsi"/>
          <w:sz w:val="22"/>
          <w:szCs w:val="22"/>
        </w:rPr>
        <w:t>50</w:t>
      </w:r>
      <w:r>
        <w:rPr>
          <w:rFonts w:asciiTheme="minorHAnsi" w:hAnsiTheme="minorHAnsi"/>
          <w:sz w:val="22"/>
          <w:szCs w:val="22"/>
        </w:rPr>
        <w:t xml:space="preserve">% of </w:t>
      </w:r>
      <w:r w:rsidRPr="00E038C0">
        <w:rPr>
          <w:rFonts w:asciiTheme="minorHAnsi" w:hAnsiTheme="minorHAnsi"/>
          <w:sz w:val="22"/>
          <w:szCs w:val="22"/>
        </w:rPr>
        <w:t>rent</w:t>
      </w:r>
      <w:r>
        <w:rPr>
          <w:rFonts w:asciiTheme="minorHAnsi" w:hAnsiTheme="minorHAnsi"/>
          <w:sz w:val="22"/>
          <w:szCs w:val="22"/>
        </w:rPr>
        <w:t xml:space="preserve"> </w:t>
      </w:r>
      <w:r w:rsidRPr="00E038C0">
        <w:rPr>
          <w:rFonts w:asciiTheme="minorHAnsi" w:hAnsiTheme="minorHAnsi"/>
          <w:sz w:val="22"/>
          <w:szCs w:val="22"/>
        </w:rPr>
        <w:t xml:space="preserve"> up to $1,500 per month for up to </w:t>
      </w:r>
      <w:r>
        <w:rPr>
          <w:rFonts w:asciiTheme="minorHAnsi" w:hAnsiTheme="minorHAnsi"/>
          <w:sz w:val="22"/>
          <w:szCs w:val="22"/>
        </w:rPr>
        <w:t>six</w:t>
      </w:r>
      <w:r w:rsidRPr="00E038C0">
        <w:rPr>
          <w:rFonts w:asciiTheme="minorHAnsi" w:hAnsiTheme="minorHAnsi"/>
          <w:sz w:val="22"/>
          <w:szCs w:val="22"/>
        </w:rPr>
        <w:t xml:space="preserve"> months. To qualify, applicants must reside in a private rental unit, including affordable Chapter 40B units, </w:t>
      </w:r>
      <w:r>
        <w:rPr>
          <w:rFonts w:asciiTheme="minorHAnsi" w:hAnsiTheme="minorHAnsi"/>
          <w:sz w:val="22"/>
          <w:szCs w:val="22"/>
        </w:rPr>
        <w:t>and have incomes no more than</w:t>
      </w:r>
      <w:r w:rsidRPr="00E038C0">
        <w:rPr>
          <w:rFonts w:asciiTheme="minorHAnsi" w:hAnsiTheme="minorHAnsi"/>
          <w:sz w:val="22"/>
          <w:szCs w:val="22"/>
        </w:rPr>
        <w:t xml:space="preserve"> 80</w:t>
      </w:r>
      <w:r>
        <w:rPr>
          <w:rFonts w:asciiTheme="minorHAnsi" w:hAnsiTheme="minorHAnsi"/>
          <w:sz w:val="22"/>
          <w:szCs w:val="22"/>
        </w:rPr>
        <w:t>%</w:t>
      </w:r>
      <w:r w:rsidRPr="00E038C0">
        <w:rPr>
          <w:rFonts w:asciiTheme="minorHAnsi" w:hAnsiTheme="minorHAnsi"/>
          <w:sz w:val="22"/>
          <w:szCs w:val="22"/>
        </w:rPr>
        <w:t xml:space="preserve"> of Area Median Income (AMI).  </w:t>
      </w:r>
      <w:r>
        <w:rPr>
          <w:rFonts w:asciiTheme="minorHAnsi" w:hAnsiTheme="minorHAnsi"/>
          <w:sz w:val="22"/>
          <w:szCs w:val="22"/>
        </w:rPr>
        <w:t>The Town selected the regional non-profit organization, Metro West Collaborative Development, to administer the program.</w:t>
      </w:r>
    </w:p>
    <w:p w14:paraId="20952460" w14:textId="77777777" w:rsidR="002019EC" w:rsidRPr="00E038C0" w:rsidRDefault="002019EC" w:rsidP="002019EC">
      <w:pPr>
        <w:jc w:val="both"/>
        <w:rPr>
          <w:rFonts w:asciiTheme="minorHAnsi" w:hAnsiTheme="minorHAnsi"/>
          <w:sz w:val="22"/>
          <w:szCs w:val="22"/>
        </w:rPr>
      </w:pPr>
    </w:p>
    <w:p w14:paraId="14A130F3" w14:textId="4E18F0B5" w:rsidR="002019EC" w:rsidRDefault="002019EC" w:rsidP="005D3FC9">
      <w:pPr>
        <w:pStyle w:val="NormalWeb"/>
        <w:numPr>
          <w:ilvl w:val="0"/>
          <w:numId w:val="46"/>
        </w:numPr>
        <w:shd w:val="clear" w:color="auto" w:fill="FFFFFF"/>
        <w:spacing w:after="0"/>
        <w:jc w:val="both"/>
        <w:rPr>
          <w:rFonts w:asciiTheme="minorHAnsi" w:eastAsia="Times New Roman" w:hAnsiTheme="minorHAnsi" w:cstheme="minorHAnsi"/>
          <w:color w:val="000000"/>
          <w:sz w:val="22"/>
          <w:szCs w:val="22"/>
        </w:rPr>
      </w:pPr>
      <w:r w:rsidRPr="00741015">
        <w:rPr>
          <w:rFonts w:asciiTheme="minorHAnsi" w:hAnsiTheme="minorHAnsi" w:cstheme="minorHAnsi"/>
          <w:sz w:val="22"/>
          <w:szCs w:val="22"/>
        </w:rPr>
        <w:t xml:space="preserve">The </w:t>
      </w:r>
      <w:r w:rsidRPr="00741015">
        <w:rPr>
          <w:rFonts w:asciiTheme="minorHAnsi" w:hAnsiTheme="minorHAnsi" w:cstheme="minorHAnsi"/>
          <w:i/>
          <w:iCs/>
          <w:sz w:val="22"/>
          <w:szCs w:val="22"/>
        </w:rPr>
        <w:t>Safety at Home Program</w:t>
      </w:r>
      <w:r>
        <w:rPr>
          <w:rFonts w:asciiTheme="minorHAnsi" w:hAnsiTheme="minorHAnsi" w:cstheme="minorHAnsi"/>
          <w:sz w:val="22"/>
          <w:szCs w:val="22"/>
        </w:rPr>
        <w:t>, through the Needham Center for the Heights,</w:t>
      </w:r>
      <w:r w:rsidRPr="00741015">
        <w:rPr>
          <w:rFonts w:asciiTheme="minorHAnsi" w:hAnsiTheme="minorHAnsi" w:cstheme="minorHAnsi"/>
          <w:i/>
          <w:iCs/>
          <w:sz w:val="22"/>
          <w:szCs w:val="22"/>
        </w:rPr>
        <w:t xml:space="preserve"> </w:t>
      </w:r>
      <w:r w:rsidRPr="00741015">
        <w:rPr>
          <w:rFonts w:asciiTheme="minorHAnsi" w:eastAsia="Times New Roman" w:hAnsiTheme="minorHAnsi" w:cstheme="minorHAnsi"/>
          <w:color w:val="000000"/>
          <w:sz w:val="22"/>
          <w:szCs w:val="22"/>
        </w:rPr>
        <w:t>help</w:t>
      </w:r>
      <w:r>
        <w:rPr>
          <w:rFonts w:asciiTheme="minorHAnsi" w:eastAsia="Times New Roman" w:hAnsiTheme="minorHAnsi" w:cstheme="minorHAnsi"/>
          <w:color w:val="000000"/>
          <w:sz w:val="22"/>
          <w:szCs w:val="22"/>
        </w:rPr>
        <w:t>s</w:t>
      </w:r>
      <w:r w:rsidRPr="00741015">
        <w:rPr>
          <w:rFonts w:asciiTheme="minorHAnsi" w:eastAsia="Times New Roman" w:hAnsiTheme="minorHAnsi" w:cstheme="minorHAnsi"/>
          <w:color w:val="000000"/>
          <w:sz w:val="22"/>
          <w:szCs w:val="22"/>
        </w:rPr>
        <w:t xml:space="preserve"> Needham residents age 60 and older continue to live independently in their homes</w:t>
      </w:r>
      <w:r>
        <w:rPr>
          <w:rFonts w:asciiTheme="minorHAnsi" w:eastAsia="Times New Roman" w:hAnsiTheme="minorHAnsi" w:cstheme="minorHAnsi"/>
          <w:color w:val="000000"/>
          <w:sz w:val="22"/>
          <w:szCs w:val="22"/>
        </w:rPr>
        <w:t xml:space="preserve"> by providing a free home assessment of safety issues, connections to local resources, and free home goods to improve safety</w:t>
      </w:r>
      <w:r w:rsidRPr="00741015">
        <w:rPr>
          <w:rFonts w:asciiTheme="minorHAnsi" w:eastAsia="Times New Roman" w:hAnsiTheme="minorHAnsi" w:cstheme="minorHAnsi"/>
          <w:color w:val="000000"/>
          <w:sz w:val="22"/>
          <w:szCs w:val="22"/>
        </w:rPr>
        <w:t xml:space="preserve">. </w:t>
      </w:r>
    </w:p>
    <w:p w14:paraId="2DD72C11" w14:textId="77777777" w:rsidR="000F2294" w:rsidRDefault="000F2294" w:rsidP="000F2294">
      <w:pPr>
        <w:pStyle w:val="NormalWeb"/>
        <w:shd w:val="clear" w:color="auto" w:fill="FFFFFF"/>
        <w:spacing w:after="0"/>
        <w:ind w:left="720"/>
        <w:jc w:val="both"/>
        <w:rPr>
          <w:rFonts w:asciiTheme="minorHAnsi" w:eastAsia="Times New Roman" w:hAnsiTheme="minorHAnsi" w:cstheme="minorHAnsi"/>
          <w:color w:val="000000"/>
          <w:sz w:val="22"/>
          <w:szCs w:val="22"/>
        </w:rPr>
      </w:pPr>
    </w:p>
    <w:p w14:paraId="5EB12D05" w14:textId="1DA48A70" w:rsidR="000F2294" w:rsidRDefault="000F2294" w:rsidP="005D3FC9">
      <w:pPr>
        <w:pStyle w:val="NormalWeb"/>
        <w:numPr>
          <w:ilvl w:val="0"/>
          <w:numId w:val="46"/>
        </w:numPr>
        <w:shd w:val="clear" w:color="auto" w:fill="FFFFFF"/>
        <w:spacing w:after="0"/>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lastRenderedPageBreak/>
        <w:t xml:space="preserve">The Town adopted zoning to allow </w:t>
      </w:r>
      <w:r w:rsidRPr="00EF56FA">
        <w:rPr>
          <w:rFonts w:asciiTheme="minorHAnsi" w:eastAsia="Times New Roman" w:hAnsiTheme="minorHAnsi" w:cstheme="minorHAnsi"/>
          <w:i/>
          <w:iCs/>
          <w:color w:val="000000"/>
          <w:sz w:val="22"/>
          <w:szCs w:val="22"/>
        </w:rPr>
        <w:t>Accessory Dwelling Units (ADUs)</w:t>
      </w:r>
      <w:r>
        <w:rPr>
          <w:rFonts w:asciiTheme="minorHAnsi" w:eastAsia="Times New Roman" w:hAnsiTheme="minorHAnsi" w:cstheme="minorHAnsi"/>
          <w:color w:val="000000"/>
          <w:sz w:val="22"/>
          <w:szCs w:val="22"/>
        </w:rPr>
        <w:t xml:space="preserve"> </w:t>
      </w:r>
      <w:r w:rsidR="00EF56FA">
        <w:rPr>
          <w:rFonts w:asciiTheme="minorHAnsi" w:eastAsia="Times New Roman" w:hAnsiTheme="minorHAnsi" w:cstheme="minorHAnsi"/>
          <w:color w:val="000000"/>
          <w:sz w:val="22"/>
          <w:szCs w:val="22"/>
        </w:rPr>
        <w:t>to be created for occupancy by family members or caregivers to enable qualifying homeowners to age in place.</w:t>
      </w:r>
    </w:p>
    <w:p w14:paraId="06DF84FE" w14:textId="77777777" w:rsidR="002019EC" w:rsidRDefault="002019EC" w:rsidP="002019EC">
      <w:pPr>
        <w:pStyle w:val="ListParagraph"/>
        <w:rPr>
          <w:rFonts w:asciiTheme="minorHAnsi" w:hAnsiTheme="minorHAnsi" w:cstheme="minorHAnsi"/>
          <w:color w:val="000000"/>
          <w:sz w:val="22"/>
          <w:szCs w:val="22"/>
        </w:rPr>
      </w:pPr>
    </w:p>
    <w:p w14:paraId="2BA39DC4" w14:textId="77777777" w:rsidR="002019EC" w:rsidRPr="00A12D15" w:rsidRDefault="002019EC" w:rsidP="002019EC">
      <w:pPr>
        <w:pStyle w:val="NormalWeb"/>
        <w:shd w:val="clear" w:color="auto" w:fill="FFFFFF"/>
        <w:spacing w:after="0" w:line="280" w:lineRule="atLeast"/>
        <w:rPr>
          <w:rFonts w:asciiTheme="minorHAnsi" w:hAnsiTheme="minorHAnsi"/>
          <w:b/>
          <w:bCs/>
          <w:color w:val="0070C0"/>
        </w:rPr>
      </w:pPr>
      <w:r>
        <w:rPr>
          <w:rFonts w:asciiTheme="minorHAnsi" w:hAnsiTheme="minorHAnsi"/>
          <w:b/>
          <w:bCs/>
          <w:color w:val="0070C0"/>
        </w:rPr>
        <w:t>II.</w:t>
      </w:r>
      <w:r>
        <w:rPr>
          <w:rFonts w:asciiTheme="minorHAnsi" w:hAnsiTheme="minorHAnsi"/>
          <w:b/>
          <w:bCs/>
          <w:color w:val="0070C0"/>
        </w:rPr>
        <w:tab/>
      </w:r>
      <w:r w:rsidRPr="00A12D15">
        <w:rPr>
          <w:rFonts w:asciiTheme="minorHAnsi" w:hAnsiTheme="minorHAnsi"/>
          <w:b/>
          <w:bCs/>
          <w:color w:val="0070C0"/>
        </w:rPr>
        <w:t>Planning and Regulatory Accomplishments</w:t>
      </w:r>
    </w:p>
    <w:p w14:paraId="3EE82904" w14:textId="77777777" w:rsidR="002019EC" w:rsidRPr="008B749D" w:rsidRDefault="002019EC" w:rsidP="002019EC">
      <w:pPr>
        <w:tabs>
          <w:tab w:val="num" w:pos="0"/>
        </w:tabs>
        <w:jc w:val="both"/>
        <w:rPr>
          <w:rFonts w:asciiTheme="minorHAnsi" w:hAnsiTheme="minorHAnsi"/>
          <w:sz w:val="22"/>
          <w:szCs w:val="22"/>
        </w:rPr>
      </w:pPr>
      <w:r>
        <w:rPr>
          <w:rFonts w:asciiTheme="minorHAnsi" w:hAnsiTheme="minorHAnsi"/>
          <w:sz w:val="22"/>
          <w:szCs w:val="22"/>
        </w:rPr>
        <w:t>T</w:t>
      </w:r>
      <w:r w:rsidRPr="008B749D">
        <w:rPr>
          <w:rFonts w:asciiTheme="minorHAnsi" w:hAnsiTheme="minorHAnsi"/>
          <w:sz w:val="22"/>
          <w:szCs w:val="22"/>
        </w:rPr>
        <w:t>he Town has enacted</w:t>
      </w:r>
      <w:r>
        <w:rPr>
          <w:rFonts w:asciiTheme="minorHAnsi" w:hAnsiTheme="minorHAnsi"/>
          <w:sz w:val="22"/>
          <w:szCs w:val="22"/>
        </w:rPr>
        <w:t xml:space="preserve"> the following</w:t>
      </w:r>
      <w:r w:rsidRPr="008B749D">
        <w:rPr>
          <w:rFonts w:asciiTheme="minorHAnsi" w:hAnsiTheme="minorHAnsi"/>
          <w:sz w:val="22"/>
          <w:szCs w:val="22"/>
        </w:rPr>
        <w:t xml:space="preserve"> zoning </w:t>
      </w:r>
      <w:r>
        <w:rPr>
          <w:rFonts w:asciiTheme="minorHAnsi" w:hAnsiTheme="minorHAnsi"/>
          <w:sz w:val="22"/>
          <w:szCs w:val="22"/>
        </w:rPr>
        <w:t xml:space="preserve">provisions </w:t>
      </w:r>
      <w:r w:rsidRPr="008B749D">
        <w:rPr>
          <w:rFonts w:asciiTheme="minorHAnsi" w:hAnsiTheme="minorHAnsi"/>
          <w:sz w:val="22"/>
          <w:szCs w:val="22"/>
        </w:rPr>
        <w:t xml:space="preserve">over the years to better promote </w:t>
      </w:r>
      <w:r>
        <w:rPr>
          <w:rFonts w:asciiTheme="minorHAnsi" w:hAnsiTheme="minorHAnsi"/>
          <w:sz w:val="22"/>
          <w:szCs w:val="22"/>
        </w:rPr>
        <w:t xml:space="preserve">housing </w:t>
      </w:r>
      <w:r w:rsidRPr="008B749D">
        <w:rPr>
          <w:rFonts w:asciiTheme="minorHAnsi" w:hAnsiTheme="minorHAnsi"/>
          <w:sz w:val="22"/>
          <w:szCs w:val="22"/>
        </w:rPr>
        <w:t>diversity and affordability:</w:t>
      </w:r>
    </w:p>
    <w:p w14:paraId="6B7A5CDC" w14:textId="77777777" w:rsidR="002019EC" w:rsidRPr="008B749D" w:rsidRDefault="002019EC" w:rsidP="002019EC">
      <w:pPr>
        <w:ind w:left="720"/>
        <w:jc w:val="both"/>
        <w:rPr>
          <w:rFonts w:asciiTheme="minorHAnsi" w:hAnsiTheme="minorHAnsi"/>
          <w:sz w:val="22"/>
          <w:szCs w:val="22"/>
        </w:rPr>
      </w:pPr>
    </w:p>
    <w:p w14:paraId="50495F07"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8B749D">
        <w:rPr>
          <w:rFonts w:asciiTheme="minorHAnsi" w:hAnsiTheme="minorHAnsi"/>
          <w:szCs w:val="22"/>
        </w:rPr>
        <w:t xml:space="preserve">Almost half of the Town’s land area is zoned for 10,000 square foot </w:t>
      </w:r>
      <w:r>
        <w:rPr>
          <w:rFonts w:asciiTheme="minorHAnsi" w:hAnsiTheme="minorHAnsi"/>
          <w:szCs w:val="22"/>
        </w:rPr>
        <w:t xml:space="preserve">(or just under ¼ of an acre) </w:t>
      </w:r>
      <w:r w:rsidRPr="00C27BFD">
        <w:rPr>
          <w:rFonts w:asciiTheme="minorHAnsi" w:hAnsiTheme="minorHAnsi"/>
          <w:szCs w:val="22"/>
        </w:rPr>
        <w:t>lots, an allowable lot size relatively rare in the Route 128 suburbs where lots sizes are considerably higher.</w:t>
      </w:r>
    </w:p>
    <w:p w14:paraId="29CF7A2B" w14:textId="35885DF4"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Two-family dwellings are allowed by right in limited areas of town </w:t>
      </w:r>
      <w:r w:rsidR="00C62728">
        <w:rPr>
          <w:rFonts w:asciiTheme="minorHAnsi" w:hAnsiTheme="minorHAnsi"/>
          <w:szCs w:val="22"/>
        </w:rPr>
        <w:t>(th</w:t>
      </w:r>
      <w:r w:rsidRPr="00C27BFD">
        <w:rPr>
          <w:rFonts w:asciiTheme="minorHAnsi" w:hAnsiTheme="minorHAnsi"/>
          <w:szCs w:val="22"/>
        </w:rPr>
        <w:t>e General Residence District</w:t>
      </w:r>
      <w:r w:rsidR="00C62728">
        <w:rPr>
          <w:rFonts w:asciiTheme="minorHAnsi" w:hAnsiTheme="minorHAnsi"/>
          <w:szCs w:val="22"/>
        </w:rPr>
        <w:t>)</w:t>
      </w:r>
      <w:r w:rsidRPr="00C27BFD">
        <w:rPr>
          <w:rFonts w:asciiTheme="minorHAnsi" w:hAnsiTheme="minorHAnsi"/>
          <w:szCs w:val="22"/>
        </w:rPr>
        <w:t xml:space="preserve">.  See </w:t>
      </w:r>
      <w:r>
        <w:rPr>
          <w:rFonts w:asciiTheme="minorHAnsi" w:hAnsiTheme="minorHAnsi"/>
          <w:szCs w:val="22"/>
        </w:rPr>
        <w:t xml:space="preserve">map in </w:t>
      </w:r>
      <w:r w:rsidRPr="00C27BFD">
        <w:rPr>
          <w:rFonts w:asciiTheme="minorHAnsi" w:hAnsiTheme="minorHAnsi"/>
          <w:szCs w:val="22"/>
        </w:rPr>
        <w:t>Appendix 4.</w:t>
      </w:r>
    </w:p>
    <w:p w14:paraId="178E894F"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Apartments or multi-family units are allowed by Special Permit on the second floor of buildings in the </w:t>
      </w:r>
      <w:r>
        <w:rPr>
          <w:rFonts w:asciiTheme="minorHAnsi" w:hAnsiTheme="minorHAnsi"/>
          <w:szCs w:val="22"/>
        </w:rPr>
        <w:t>T</w:t>
      </w:r>
      <w:r w:rsidRPr="00C27BFD">
        <w:rPr>
          <w:rFonts w:asciiTheme="minorHAnsi" w:hAnsiTheme="minorHAnsi"/>
          <w:szCs w:val="22"/>
        </w:rPr>
        <w:t xml:space="preserve">own’s commercial areas, as well as the half story above the second floor in the Needham Center Overlay District.  Zoning was also amended to promote underground parking in the </w:t>
      </w:r>
      <w:r>
        <w:rPr>
          <w:rFonts w:asciiTheme="minorHAnsi" w:hAnsiTheme="minorHAnsi"/>
          <w:szCs w:val="22"/>
        </w:rPr>
        <w:t xml:space="preserve">Center Overlay </w:t>
      </w:r>
      <w:r w:rsidRPr="00C27BFD">
        <w:rPr>
          <w:rFonts w:asciiTheme="minorHAnsi" w:hAnsiTheme="minorHAnsi"/>
          <w:szCs w:val="22"/>
        </w:rPr>
        <w:t>District by exempting the floor area of the parking garage in the calculations for determining the maximum floor area ratio, allowing more square footage to be dedicated to housing.  Zoning also allowed building height up to 3+1 with three stories of residential above first floor commercial space in the Town Center.</w:t>
      </w:r>
    </w:p>
    <w:p w14:paraId="52364C54"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Mixed residential/business use has been accommodated to some degree in other areas besides the Town Center, including Avery Square, the Hillside Avenue Business District, the Garden Street District, and Lower Chestnut Street area.  </w:t>
      </w:r>
    </w:p>
    <w:p w14:paraId="081B07F0"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Boarding houses (SROs) are allowed by Special Permit in the Central Business District and industrial districts. </w:t>
      </w:r>
    </w:p>
    <w:p w14:paraId="100C385D"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The Town’s Apartment Districts, although limited and primarily built out, allow multi-family development by right without the need for a Special Permit, requiring only Site Plan Approval, and thus involve a much faster and less onerous permitting process.</w:t>
      </w:r>
    </w:p>
    <w:p w14:paraId="3FDB07C6"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Several forms of residential development flexibility are provided: Flexible Development (Section 4.2.4 of the Zoning Bylaw), Planned Residential Development (4.2.5), Residential Compound (4.2.6), and Dimensional Reductions (4.2.7) to encourage “smarter” development that promotes the clustering of units while preserving some open space and other natural features of the property.</w:t>
      </w:r>
    </w:p>
    <w:p w14:paraId="50C6156A"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The Town’s Subdivision Regulations are straightforward, without any unusually demanding provisions.</w:t>
      </w:r>
    </w:p>
    <w:p w14:paraId="5A305F38"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The Town has not imposed barriers such as growth timing, phasing controls, or punitive health or wetlands restrictions as has been done elsewhere.</w:t>
      </w:r>
    </w:p>
    <w:p w14:paraId="0CC1CDC6"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The Town’s split tax classification results in a residential tax rate that is about half that paid by businesses.  The Town also offers tax exemption, work-off, and deferral programs to qualifying owners.</w:t>
      </w:r>
    </w:p>
    <w:p w14:paraId="01FFE406"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Building, sewer, and other development fees have in the past been waived for some affordable developments with non-profit sponsors.  </w:t>
      </w:r>
    </w:p>
    <w:p w14:paraId="50DB6B68" w14:textId="77777777" w:rsidR="002019EC" w:rsidRPr="00C27BFD" w:rsidRDefault="002019EC" w:rsidP="005D3FC9">
      <w:pPr>
        <w:pStyle w:val="CommentText"/>
        <w:numPr>
          <w:ilvl w:val="0"/>
          <w:numId w:val="2"/>
        </w:numPr>
        <w:tabs>
          <w:tab w:val="clear" w:pos="1440"/>
          <w:tab w:val="num" w:pos="720"/>
        </w:tabs>
        <w:spacing w:line="240" w:lineRule="auto"/>
        <w:ind w:left="720"/>
        <w:jc w:val="both"/>
        <w:rPr>
          <w:rFonts w:asciiTheme="minorHAnsi" w:hAnsiTheme="minorHAnsi"/>
          <w:szCs w:val="22"/>
        </w:rPr>
      </w:pPr>
      <w:r w:rsidRPr="00C27BFD">
        <w:rPr>
          <w:rFonts w:asciiTheme="minorHAnsi" w:hAnsiTheme="minorHAnsi"/>
          <w:szCs w:val="22"/>
        </w:rPr>
        <w:t xml:space="preserve">Town officials make good-faith efforts to work with applicants to facilitate timely progress through the regulatory system, rather than using it as a “hurdle.” </w:t>
      </w:r>
    </w:p>
    <w:p w14:paraId="0CB45B97" w14:textId="77777777" w:rsidR="002019EC" w:rsidRPr="00C27BFD" w:rsidRDefault="002019EC" w:rsidP="002019EC">
      <w:pPr>
        <w:pStyle w:val="CommentText"/>
        <w:spacing w:line="240" w:lineRule="auto"/>
        <w:ind w:left="1080"/>
        <w:jc w:val="both"/>
        <w:rPr>
          <w:rFonts w:asciiTheme="minorHAnsi" w:hAnsiTheme="minorHAnsi"/>
          <w:szCs w:val="22"/>
        </w:rPr>
      </w:pPr>
    </w:p>
    <w:p w14:paraId="7E2A5C0F" w14:textId="77777777" w:rsidR="002019EC" w:rsidRPr="00C27BFD" w:rsidRDefault="002019EC" w:rsidP="002019EC">
      <w:pPr>
        <w:pStyle w:val="CommentText"/>
        <w:spacing w:line="240" w:lineRule="auto"/>
        <w:jc w:val="both"/>
        <w:rPr>
          <w:rFonts w:asciiTheme="minorHAnsi" w:hAnsiTheme="minorHAnsi"/>
          <w:szCs w:val="22"/>
        </w:rPr>
      </w:pPr>
      <w:r w:rsidRPr="00C27BFD">
        <w:rPr>
          <w:rFonts w:asciiTheme="minorHAnsi" w:hAnsiTheme="minorHAnsi"/>
          <w:szCs w:val="22"/>
        </w:rPr>
        <w:t>More recent planning and regulatory changes to better promote affordable housing have included:</w:t>
      </w:r>
    </w:p>
    <w:p w14:paraId="3A1AB219" w14:textId="77777777" w:rsidR="002019EC" w:rsidRPr="00C27BFD" w:rsidRDefault="002019EC" w:rsidP="002019EC">
      <w:pPr>
        <w:pStyle w:val="CommentText"/>
        <w:spacing w:line="240" w:lineRule="auto"/>
        <w:jc w:val="both"/>
        <w:rPr>
          <w:rFonts w:asciiTheme="minorHAnsi" w:hAnsiTheme="minorHAnsi"/>
          <w:szCs w:val="22"/>
        </w:rPr>
      </w:pPr>
    </w:p>
    <w:p w14:paraId="2D2F2C4B" w14:textId="77777777" w:rsidR="002019EC" w:rsidRPr="00C27BFD" w:rsidRDefault="002019EC" w:rsidP="005D3FC9">
      <w:pPr>
        <w:pStyle w:val="CommentText"/>
        <w:numPr>
          <w:ilvl w:val="0"/>
          <w:numId w:val="48"/>
        </w:numPr>
        <w:spacing w:line="240" w:lineRule="auto"/>
        <w:jc w:val="both"/>
        <w:rPr>
          <w:rFonts w:asciiTheme="minorHAnsi" w:hAnsiTheme="minorHAnsi"/>
          <w:b/>
          <w:bCs/>
          <w:i/>
          <w:iCs/>
          <w:szCs w:val="22"/>
        </w:rPr>
      </w:pPr>
      <w:r w:rsidRPr="00C27BFD">
        <w:rPr>
          <w:rFonts w:asciiTheme="minorHAnsi" w:hAnsiTheme="minorHAnsi"/>
          <w:b/>
          <w:bCs/>
          <w:i/>
          <w:iCs/>
          <w:szCs w:val="22"/>
        </w:rPr>
        <w:t>Overlay Districts</w:t>
      </w:r>
    </w:p>
    <w:p w14:paraId="05C31077" w14:textId="77777777" w:rsidR="002019EC" w:rsidRDefault="002019EC" w:rsidP="002019EC">
      <w:pPr>
        <w:pStyle w:val="CommentText"/>
        <w:spacing w:line="240" w:lineRule="auto"/>
        <w:ind w:left="720"/>
        <w:jc w:val="both"/>
        <w:rPr>
          <w:rFonts w:asciiTheme="minorHAnsi" w:hAnsiTheme="minorHAnsi"/>
          <w:bCs/>
          <w:szCs w:val="22"/>
        </w:rPr>
      </w:pPr>
      <w:r w:rsidRPr="00C27BFD">
        <w:rPr>
          <w:rFonts w:asciiTheme="minorHAnsi" w:hAnsiTheme="minorHAnsi"/>
          <w:szCs w:val="22"/>
        </w:rPr>
        <w:lastRenderedPageBreak/>
        <w:t xml:space="preserve">Notable among zoning changes has been the introduction of Overlay Districts that promote smart growth development, affordable housing, mixed-use development, and other urban amenities in several commercial areas of town including Needham Center, the Lower Chestnut and Garden Street areas, and Mixed Use Overlay District (MUOD) in the Highland </w:t>
      </w:r>
      <w:r>
        <w:rPr>
          <w:rFonts w:asciiTheme="minorHAnsi" w:hAnsiTheme="minorHAnsi"/>
          <w:szCs w:val="22"/>
        </w:rPr>
        <w:t xml:space="preserve">Avenue/Route 128 area.  Needham also established an Elder Services District off of Gould Street to serve the community’s increasingly aging population.  Most of these Districts require the integration of </w:t>
      </w:r>
      <w:r w:rsidRPr="008B749D">
        <w:rPr>
          <w:rFonts w:asciiTheme="minorHAnsi" w:hAnsiTheme="minorHAnsi"/>
          <w:bCs/>
          <w:szCs w:val="22"/>
        </w:rPr>
        <w:t>affordable housing equivalent to one unit for properties</w:t>
      </w:r>
      <w:r>
        <w:rPr>
          <w:rFonts w:asciiTheme="minorHAnsi" w:hAnsiTheme="minorHAnsi"/>
          <w:bCs/>
          <w:szCs w:val="22"/>
        </w:rPr>
        <w:t xml:space="preserve"> of less than</w:t>
      </w:r>
      <w:r w:rsidRPr="008B749D">
        <w:rPr>
          <w:rFonts w:asciiTheme="minorHAnsi" w:hAnsiTheme="minorHAnsi"/>
          <w:bCs/>
          <w:szCs w:val="22"/>
        </w:rPr>
        <w:t xml:space="preserve"> ten units and 10% of all units for those with </w:t>
      </w:r>
      <w:r>
        <w:rPr>
          <w:rFonts w:asciiTheme="minorHAnsi" w:hAnsiTheme="minorHAnsi"/>
          <w:bCs/>
          <w:szCs w:val="22"/>
        </w:rPr>
        <w:t xml:space="preserve">ten or </w:t>
      </w:r>
      <w:r w:rsidRPr="008B749D">
        <w:rPr>
          <w:rFonts w:asciiTheme="minorHAnsi" w:hAnsiTheme="minorHAnsi"/>
          <w:bCs/>
          <w:szCs w:val="22"/>
        </w:rPr>
        <w:t>more units</w:t>
      </w:r>
      <w:r>
        <w:rPr>
          <w:rFonts w:asciiTheme="minorHAnsi" w:hAnsiTheme="minorHAnsi"/>
          <w:bCs/>
          <w:szCs w:val="22"/>
        </w:rPr>
        <w:t>.  The more recent MUOD increased the affordability requirement to 12.5%.</w:t>
      </w:r>
    </w:p>
    <w:p w14:paraId="275B6931" w14:textId="77777777" w:rsidR="002019EC" w:rsidRDefault="002019EC" w:rsidP="002019EC">
      <w:pPr>
        <w:pStyle w:val="CommentText"/>
        <w:spacing w:line="240" w:lineRule="auto"/>
        <w:ind w:left="720"/>
        <w:jc w:val="both"/>
        <w:rPr>
          <w:rFonts w:asciiTheme="minorHAnsi" w:hAnsiTheme="minorHAnsi"/>
          <w:bCs/>
          <w:szCs w:val="22"/>
        </w:rPr>
      </w:pPr>
    </w:p>
    <w:p w14:paraId="78DF4CF9" w14:textId="77777777" w:rsidR="002019EC" w:rsidRDefault="002019EC" w:rsidP="005D3FC9">
      <w:pPr>
        <w:pStyle w:val="CommentText"/>
        <w:numPr>
          <w:ilvl w:val="0"/>
          <w:numId w:val="48"/>
        </w:numPr>
        <w:spacing w:line="240" w:lineRule="auto"/>
        <w:jc w:val="both"/>
        <w:rPr>
          <w:rFonts w:asciiTheme="minorHAnsi" w:hAnsiTheme="minorHAnsi"/>
          <w:b/>
          <w:i/>
          <w:iCs/>
          <w:szCs w:val="22"/>
        </w:rPr>
      </w:pPr>
      <w:r>
        <w:rPr>
          <w:rFonts w:asciiTheme="minorHAnsi" w:hAnsiTheme="minorHAnsi"/>
          <w:b/>
          <w:i/>
          <w:iCs/>
          <w:szCs w:val="22"/>
        </w:rPr>
        <w:t xml:space="preserve">Project-based Rezoning </w:t>
      </w:r>
    </w:p>
    <w:p w14:paraId="2998D3EF" w14:textId="77777777" w:rsidR="002019EC" w:rsidRDefault="002019EC" w:rsidP="002019EC">
      <w:pPr>
        <w:pStyle w:val="CommentText"/>
        <w:spacing w:line="240" w:lineRule="auto"/>
        <w:ind w:left="720"/>
        <w:jc w:val="both"/>
        <w:rPr>
          <w:rFonts w:asciiTheme="minorHAnsi" w:hAnsiTheme="minorHAnsi"/>
          <w:szCs w:val="22"/>
        </w:rPr>
      </w:pPr>
      <w:r>
        <w:rPr>
          <w:rFonts w:asciiTheme="minorHAnsi" w:hAnsiTheme="minorHAnsi"/>
          <w:szCs w:val="22"/>
        </w:rPr>
        <w:t>Needham</w:t>
      </w:r>
      <w:r w:rsidRPr="008B749D">
        <w:rPr>
          <w:rFonts w:asciiTheme="minorHAnsi" w:hAnsiTheme="minorHAnsi"/>
          <w:szCs w:val="22"/>
        </w:rPr>
        <w:t xml:space="preserve"> has </w:t>
      </w:r>
      <w:r>
        <w:rPr>
          <w:rFonts w:asciiTheme="minorHAnsi" w:hAnsiTheme="minorHAnsi"/>
          <w:szCs w:val="22"/>
        </w:rPr>
        <w:t>demonstrated</w:t>
      </w:r>
      <w:r w:rsidRPr="008B749D">
        <w:rPr>
          <w:rFonts w:asciiTheme="minorHAnsi" w:hAnsiTheme="minorHAnsi"/>
          <w:szCs w:val="22"/>
        </w:rPr>
        <w:t xml:space="preserve"> a willingness to rezone property to accommodate affordability efforts</w:t>
      </w:r>
      <w:r>
        <w:rPr>
          <w:rFonts w:asciiTheme="minorHAnsi" w:hAnsiTheme="minorHAnsi"/>
          <w:szCs w:val="22"/>
        </w:rPr>
        <w:t>.  For example,</w:t>
      </w:r>
      <w:r w:rsidRPr="008B749D">
        <w:rPr>
          <w:rFonts w:asciiTheme="minorHAnsi" w:hAnsiTheme="minorHAnsi"/>
          <w:szCs w:val="22"/>
        </w:rPr>
        <w:t xml:space="preserve"> the </w:t>
      </w:r>
      <w:r>
        <w:rPr>
          <w:rFonts w:asciiTheme="minorHAnsi" w:hAnsiTheme="minorHAnsi"/>
          <w:szCs w:val="22"/>
        </w:rPr>
        <w:t xml:space="preserve">Needham Housing Authority’s </w:t>
      </w:r>
      <w:r w:rsidRPr="008B749D">
        <w:rPr>
          <w:rFonts w:asciiTheme="minorHAnsi" w:hAnsiTheme="minorHAnsi"/>
          <w:szCs w:val="22"/>
        </w:rPr>
        <w:t>High Rock Estates development</w:t>
      </w:r>
      <w:r>
        <w:rPr>
          <w:rFonts w:asciiTheme="minorHAnsi" w:hAnsiTheme="minorHAnsi"/>
          <w:szCs w:val="22"/>
        </w:rPr>
        <w:t xml:space="preserve"> precipitated zoning changes to allow the conversion of small single-family bungalows to duplex units, some of which were redeveloped as affordable rentals and others as condominiums.  More recently, the Town approved new zoning for The Residences at Carter Mill that involved the redevelopment of the Avery Crossing assisted living units with 72 Independent Apartments (nine of which will be affordable), 55 Assisted Living Apartments, and 28 Memory Care Apartments.</w:t>
      </w:r>
    </w:p>
    <w:p w14:paraId="67074BD1" w14:textId="77777777" w:rsidR="002019EC" w:rsidRDefault="002019EC" w:rsidP="002019EC">
      <w:pPr>
        <w:pStyle w:val="CommentText"/>
        <w:spacing w:line="240" w:lineRule="auto"/>
        <w:ind w:left="720"/>
        <w:jc w:val="both"/>
        <w:rPr>
          <w:rFonts w:asciiTheme="minorHAnsi" w:hAnsiTheme="minorHAnsi"/>
          <w:b/>
          <w:i/>
          <w:iCs/>
          <w:szCs w:val="22"/>
        </w:rPr>
      </w:pPr>
      <w:r>
        <w:rPr>
          <w:rFonts w:asciiTheme="minorHAnsi" w:hAnsiTheme="minorHAnsi"/>
          <w:b/>
          <w:i/>
          <w:iCs/>
          <w:szCs w:val="22"/>
        </w:rPr>
        <w:t xml:space="preserve"> </w:t>
      </w:r>
    </w:p>
    <w:p w14:paraId="1DF48285" w14:textId="77777777" w:rsidR="002019EC" w:rsidRPr="00D27AA4" w:rsidRDefault="002019EC" w:rsidP="005D3FC9">
      <w:pPr>
        <w:pStyle w:val="CommentText"/>
        <w:numPr>
          <w:ilvl w:val="0"/>
          <w:numId w:val="48"/>
        </w:numPr>
        <w:spacing w:line="240" w:lineRule="auto"/>
        <w:jc w:val="both"/>
        <w:rPr>
          <w:rFonts w:asciiTheme="minorHAnsi" w:hAnsiTheme="minorHAnsi"/>
          <w:b/>
          <w:szCs w:val="22"/>
        </w:rPr>
      </w:pPr>
      <w:r w:rsidRPr="00D27AA4">
        <w:rPr>
          <w:rFonts w:asciiTheme="minorHAnsi" w:hAnsiTheme="minorHAnsi"/>
          <w:b/>
          <w:i/>
          <w:iCs/>
          <w:szCs w:val="22"/>
        </w:rPr>
        <w:t>Neighborhood Business District Changes</w:t>
      </w:r>
    </w:p>
    <w:p w14:paraId="483FE9E1" w14:textId="7A9598E5" w:rsidR="002019EC" w:rsidRDefault="002019EC" w:rsidP="002019EC">
      <w:pPr>
        <w:pStyle w:val="CommentText"/>
        <w:spacing w:line="240" w:lineRule="auto"/>
        <w:ind w:left="720"/>
        <w:jc w:val="both"/>
        <w:rPr>
          <w:rFonts w:asciiTheme="minorHAnsi" w:hAnsiTheme="minorHAnsi"/>
          <w:bCs/>
          <w:szCs w:val="22"/>
        </w:rPr>
      </w:pPr>
      <w:r>
        <w:rPr>
          <w:rFonts w:asciiTheme="minorHAnsi" w:hAnsiTheme="minorHAnsi"/>
          <w:bCs/>
          <w:szCs w:val="22"/>
        </w:rPr>
        <w:t>Zoning was changed in the</w:t>
      </w:r>
      <w:r w:rsidR="00C62728">
        <w:rPr>
          <w:rFonts w:asciiTheme="minorHAnsi" w:hAnsiTheme="minorHAnsi"/>
          <w:bCs/>
          <w:szCs w:val="22"/>
        </w:rPr>
        <w:t xml:space="preserve"> </w:t>
      </w:r>
      <w:r>
        <w:rPr>
          <w:rFonts w:asciiTheme="minorHAnsi" w:hAnsiTheme="minorHAnsi"/>
          <w:bCs/>
          <w:szCs w:val="22"/>
        </w:rPr>
        <w:t>Neighborhood Business District to allow mixed-uses</w:t>
      </w:r>
      <w:r w:rsidR="004E2FEE">
        <w:rPr>
          <w:rFonts w:asciiTheme="minorHAnsi" w:hAnsiTheme="minorHAnsi"/>
          <w:bCs/>
          <w:szCs w:val="22"/>
        </w:rPr>
        <w:t xml:space="preserve"> in districts where a portion of the area is located within 150 feet of the boundary of Route 128.</w:t>
      </w:r>
      <w:r>
        <w:rPr>
          <w:rFonts w:asciiTheme="minorHAnsi" w:hAnsiTheme="minorHAnsi"/>
          <w:bCs/>
          <w:szCs w:val="22"/>
        </w:rPr>
        <w:t xml:space="preserve">  Provisions also require that 12.5% of the units created be affordable with the added option of allowing payment in-lieu of units to be paid into the Needham Affordable Housing Trust in support of other affordable housing initiatives</w:t>
      </w:r>
      <w:r w:rsidRPr="008B749D">
        <w:rPr>
          <w:rFonts w:asciiTheme="minorHAnsi" w:hAnsiTheme="minorHAnsi"/>
          <w:bCs/>
          <w:szCs w:val="22"/>
        </w:rPr>
        <w:t xml:space="preserve">. </w:t>
      </w:r>
      <w:r>
        <w:rPr>
          <w:rStyle w:val="FootnoteReference"/>
          <w:rFonts w:asciiTheme="minorHAnsi" w:hAnsiTheme="minorHAnsi"/>
          <w:bCs/>
          <w:szCs w:val="22"/>
        </w:rPr>
        <w:footnoteReference w:id="39"/>
      </w:r>
      <w:r w:rsidRPr="008B749D">
        <w:rPr>
          <w:rFonts w:asciiTheme="minorHAnsi" w:hAnsiTheme="minorHAnsi"/>
          <w:bCs/>
          <w:szCs w:val="22"/>
        </w:rPr>
        <w:t xml:space="preserve"> </w:t>
      </w:r>
    </w:p>
    <w:p w14:paraId="56FC341B" w14:textId="77777777" w:rsidR="002019EC" w:rsidRPr="00DA1232" w:rsidRDefault="002019EC" w:rsidP="002019EC">
      <w:pPr>
        <w:pStyle w:val="CommentText"/>
        <w:spacing w:line="240" w:lineRule="auto"/>
        <w:ind w:left="720"/>
        <w:jc w:val="both"/>
        <w:rPr>
          <w:rFonts w:asciiTheme="minorHAnsi" w:hAnsiTheme="minorHAnsi"/>
          <w:bCs/>
          <w:szCs w:val="22"/>
        </w:rPr>
      </w:pPr>
    </w:p>
    <w:p w14:paraId="2467C1B5" w14:textId="77777777" w:rsidR="002019EC" w:rsidRDefault="002019EC" w:rsidP="005D3FC9">
      <w:pPr>
        <w:pStyle w:val="NormalWeb"/>
        <w:numPr>
          <w:ilvl w:val="0"/>
          <w:numId w:val="48"/>
        </w:numPr>
        <w:shd w:val="clear" w:color="auto" w:fill="FFFFFF"/>
        <w:spacing w:after="0" w:line="280" w:lineRule="atLeast"/>
        <w:jc w:val="both"/>
        <w:rPr>
          <w:rFonts w:asciiTheme="minorHAnsi" w:hAnsiTheme="minorHAnsi"/>
          <w:b/>
          <w:bCs/>
          <w:i/>
          <w:iCs/>
          <w:sz w:val="22"/>
          <w:szCs w:val="22"/>
        </w:rPr>
      </w:pPr>
      <w:r>
        <w:rPr>
          <w:rFonts w:asciiTheme="minorHAnsi" w:hAnsiTheme="minorHAnsi"/>
          <w:b/>
          <w:bCs/>
          <w:i/>
          <w:iCs/>
          <w:sz w:val="22"/>
          <w:szCs w:val="22"/>
        </w:rPr>
        <w:t xml:space="preserve">Local </w:t>
      </w:r>
      <w:r w:rsidRPr="00A36D7E">
        <w:rPr>
          <w:rFonts w:asciiTheme="minorHAnsi" w:hAnsiTheme="minorHAnsi"/>
          <w:b/>
          <w:bCs/>
          <w:i/>
          <w:iCs/>
          <w:sz w:val="22"/>
          <w:szCs w:val="22"/>
        </w:rPr>
        <w:t>40B Guidelines</w:t>
      </w:r>
    </w:p>
    <w:p w14:paraId="3B7F04B0" w14:textId="77777777" w:rsidR="002019EC" w:rsidRDefault="002019EC" w:rsidP="002019EC">
      <w:pPr>
        <w:pStyle w:val="NormalWeb"/>
        <w:shd w:val="clear" w:color="auto" w:fill="FFFFFF"/>
        <w:spacing w:after="0" w:line="280" w:lineRule="atLeast"/>
        <w:ind w:left="720"/>
        <w:jc w:val="both"/>
        <w:rPr>
          <w:rFonts w:asciiTheme="minorHAnsi" w:hAnsiTheme="minorHAnsi"/>
          <w:sz w:val="22"/>
          <w:szCs w:val="22"/>
        </w:rPr>
      </w:pPr>
      <w:r>
        <w:rPr>
          <w:rFonts w:asciiTheme="minorHAnsi" w:hAnsiTheme="minorHAnsi"/>
          <w:sz w:val="22"/>
          <w:szCs w:val="22"/>
        </w:rPr>
        <w:t xml:space="preserve">The Town adopted Local Chapter 40B Guidelines in 2012 to advise the Zoning Board of Appeals and other Town boards and departments with a role in the development review process on local housing priorities and the review process for comprehensive permits.  Now that the Town has surpassed the 10% affordability goal under Chapter 40B and is no longer susceptible to 40B projects it deems do not address local needs and priorities, the Town is revisiting the Guidelines and discussing changes to better reflect current Town preferences for locations, income targets, design, density, etc. for new affordable housing development.  </w:t>
      </w:r>
    </w:p>
    <w:p w14:paraId="12E395CD" w14:textId="77777777" w:rsidR="002019EC" w:rsidRDefault="002019EC" w:rsidP="002019EC">
      <w:pPr>
        <w:pStyle w:val="NormalWeb"/>
        <w:shd w:val="clear" w:color="auto" w:fill="FFFFFF"/>
        <w:spacing w:after="0" w:line="280" w:lineRule="atLeast"/>
        <w:ind w:left="720"/>
        <w:jc w:val="both"/>
        <w:rPr>
          <w:rFonts w:asciiTheme="minorHAnsi" w:hAnsiTheme="minorHAnsi"/>
          <w:sz w:val="22"/>
          <w:szCs w:val="22"/>
        </w:rPr>
      </w:pPr>
    </w:p>
    <w:p w14:paraId="3FF6A659" w14:textId="77777777" w:rsidR="002019EC" w:rsidRDefault="002019EC" w:rsidP="005D3FC9">
      <w:pPr>
        <w:pStyle w:val="NormalWeb"/>
        <w:numPr>
          <w:ilvl w:val="0"/>
          <w:numId w:val="48"/>
        </w:numPr>
        <w:shd w:val="clear" w:color="auto" w:fill="FFFFFF"/>
        <w:spacing w:after="0" w:line="280" w:lineRule="atLeast"/>
        <w:jc w:val="both"/>
        <w:rPr>
          <w:rFonts w:asciiTheme="minorHAnsi" w:hAnsiTheme="minorHAnsi"/>
          <w:b/>
          <w:bCs/>
          <w:i/>
          <w:iCs/>
          <w:sz w:val="22"/>
          <w:szCs w:val="22"/>
        </w:rPr>
      </w:pPr>
      <w:r w:rsidRPr="00A36D7E">
        <w:rPr>
          <w:rFonts w:asciiTheme="minorHAnsi" w:hAnsiTheme="minorHAnsi"/>
          <w:b/>
          <w:bCs/>
          <w:i/>
          <w:iCs/>
          <w:sz w:val="22"/>
          <w:szCs w:val="22"/>
        </w:rPr>
        <w:t>Needham Affordable Housing Trus</w:t>
      </w:r>
      <w:r>
        <w:rPr>
          <w:rFonts w:asciiTheme="minorHAnsi" w:hAnsiTheme="minorHAnsi"/>
          <w:b/>
          <w:bCs/>
          <w:i/>
          <w:iCs/>
          <w:sz w:val="22"/>
          <w:szCs w:val="22"/>
        </w:rPr>
        <w:t>t</w:t>
      </w:r>
    </w:p>
    <w:p w14:paraId="74588C1B" w14:textId="77777777" w:rsidR="002019EC" w:rsidRDefault="002019EC" w:rsidP="002019EC">
      <w:pPr>
        <w:pStyle w:val="NormalWeb"/>
        <w:shd w:val="clear" w:color="auto" w:fill="FFFFFF"/>
        <w:spacing w:after="0" w:line="280" w:lineRule="atLeast"/>
        <w:ind w:left="720"/>
        <w:jc w:val="both"/>
        <w:rPr>
          <w:rFonts w:asciiTheme="minorHAnsi" w:hAnsiTheme="minorHAnsi"/>
          <w:sz w:val="22"/>
          <w:szCs w:val="22"/>
        </w:rPr>
      </w:pPr>
      <w:r>
        <w:rPr>
          <w:rFonts w:asciiTheme="minorHAnsi" w:hAnsiTheme="minorHAnsi"/>
          <w:sz w:val="22"/>
          <w:szCs w:val="22"/>
        </w:rPr>
        <w:t>Town Meeting approved the Needham Affordable Housing Trust at its 2017 Annual Meeting to provide for the preservation and creation of affordable housing for low- and moderate-income residents.</w:t>
      </w:r>
    </w:p>
    <w:p w14:paraId="0403D79B" w14:textId="77777777" w:rsidR="002019EC" w:rsidRDefault="002019EC" w:rsidP="002019EC">
      <w:pPr>
        <w:pStyle w:val="NormalWeb"/>
        <w:shd w:val="clear" w:color="auto" w:fill="FFFFFF"/>
        <w:spacing w:after="0" w:line="280" w:lineRule="atLeast"/>
        <w:ind w:left="720"/>
        <w:jc w:val="both"/>
        <w:rPr>
          <w:rFonts w:asciiTheme="minorHAnsi" w:hAnsiTheme="minorHAnsi"/>
          <w:sz w:val="22"/>
          <w:szCs w:val="22"/>
        </w:rPr>
      </w:pPr>
    </w:p>
    <w:p w14:paraId="22730916" w14:textId="77777777" w:rsidR="002019EC" w:rsidRDefault="002019EC" w:rsidP="002019EC">
      <w:pPr>
        <w:pStyle w:val="BodyText"/>
        <w:tabs>
          <w:tab w:val="num" w:pos="720"/>
        </w:tabs>
        <w:spacing w:after="0"/>
        <w:ind w:left="720"/>
        <w:jc w:val="both"/>
        <w:rPr>
          <w:rFonts w:ascii="Calibri" w:hAnsi="Calibri"/>
          <w:bCs/>
          <w:sz w:val="22"/>
          <w:szCs w:val="22"/>
        </w:rPr>
      </w:pPr>
      <w:r w:rsidRPr="008E718A">
        <w:rPr>
          <w:rFonts w:ascii="Calibri" w:hAnsi="Calibri"/>
          <w:bCs/>
          <w:sz w:val="22"/>
          <w:szCs w:val="22"/>
        </w:rPr>
        <w:lastRenderedPageBreak/>
        <w:t>The state enacted the Municipal Affordable Housing Trust Fund Act on June 7, 2005,</w:t>
      </w:r>
      <w:r>
        <w:rPr>
          <w:rStyle w:val="FootnoteReference"/>
          <w:rFonts w:ascii="Calibri" w:hAnsi="Calibri"/>
          <w:bCs/>
          <w:sz w:val="22"/>
          <w:szCs w:val="22"/>
        </w:rPr>
        <w:footnoteReference w:id="40"/>
      </w:r>
      <w:r w:rsidRPr="008E718A">
        <w:rPr>
          <w:rFonts w:ascii="Calibri" w:hAnsi="Calibri"/>
          <w:bCs/>
          <w:sz w:val="22"/>
          <w:szCs w:val="22"/>
        </w:rPr>
        <w:t xml:space="preserve"> which simplified the process of establishing housing funds that are dedicated to subsidizing affordable housing.  The law provides guidelines on what trusts can do and allows communities to collect funds for housing, segregate them out of the general budget into an affordable housing trust fund, and use these funds without going back to Town Meeting for approval.  It also enables trust</w:t>
      </w:r>
      <w:r>
        <w:rPr>
          <w:rFonts w:ascii="Calibri" w:hAnsi="Calibri"/>
          <w:bCs/>
          <w:sz w:val="22"/>
          <w:szCs w:val="22"/>
        </w:rPr>
        <w:t>s to own and manage real estate</w:t>
      </w:r>
      <w:r w:rsidRPr="008E718A">
        <w:rPr>
          <w:rFonts w:ascii="Calibri" w:hAnsi="Calibri"/>
          <w:bCs/>
          <w:sz w:val="22"/>
          <w:szCs w:val="22"/>
        </w:rPr>
        <w:t xml:space="preserve">.  The law further requires that local housing trusts be governed by at least a five-member board of trustees, appointed by </w:t>
      </w:r>
      <w:r>
        <w:rPr>
          <w:rFonts w:ascii="Calibri" w:hAnsi="Calibri"/>
          <w:bCs/>
          <w:sz w:val="22"/>
          <w:szCs w:val="22"/>
        </w:rPr>
        <w:t>the Select Board</w:t>
      </w:r>
      <w:r w:rsidRPr="008E718A">
        <w:rPr>
          <w:rFonts w:ascii="Calibri" w:hAnsi="Calibri"/>
          <w:bCs/>
          <w:sz w:val="22"/>
          <w:szCs w:val="22"/>
        </w:rPr>
        <w:t xml:space="preserve">. </w:t>
      </w:r>
      <w:r>
        <w:rPr>
          <w:rFonts w:ascii="Calibri" w:hAnsi="Calibri"/>
          <w:bCs/>
          <w:sz w:val="22"/>
          <w:szCs w:val="22"/>
        </w:rPr>
        <w:t>In the case of Needham, members of the Housing Trust include the Select Board, the Town Manager, and an appointed at-large member.</w:t>
      </w:r>
    </w:p>
    <w:p w14:paraId="3230582D" w14:textId="77777777" w:rsidR="002019EC" w:rsidRDefault="002019EC" w:rsidP="002019EC">
      <w:pPr>
        <w:pStyle w:val="NormalWeb"/>
        <w:shd w:val="clear" w:color="auto" w:fill="FFFFFF"/>
        <w:spacing w:after="0" w:line="280" w:lineRule="atLeast"/>
        <w:ind w:left="720"/>
        <w:jc w:val="both"/>
        <w:rPr>
          <w:rFonts w:asciiTheme="minorHAnsi" w:hAnsiTheme="minorHAnsi"/>
          <w:sz w:val="22"/>
          <w:szCs w:val="22"/>
        </w:rPr>
      </w:pPr>
    </w:p>
    <w:p w14:paraId="03B37F42" w14:textId="77777777" w:rsidR="002019EC" w:rsidRPr="00C27BFD" w:rsidRDefault="002019EC" w:rsidP="002019EC">
      <w:pPr>
        <w:pStyle w:val="NormalWeb"/>
        <w:shd w:val="clear" w:color="auto" w:fill="FFFFFF"/>
        <w:spacing w:after="0" w:line="280" w:lineRule="atLeast"/>
        <w:ind w:left="720"/>
        <w:jc w:val="both"/>
        <w:rPr>
          <w:rFonts w:asciiTheme="minorHAnsi" w:hAnsiTheme="minorHAnsi"/>
          <w:sz w:val="22"/>
          <w:szCs w:val="22"/>
        </w:rPr>
      </w:pPr>
      <w:r>
        <w:rPr>
          <w:rFonts w:asciiTheme="minorHAnsi" w:hAnsiTheme="minorHAnsi"/>
          <w:sz w:val="22"/>
          <w:szCs w:val="22"/>
        </w:rPr>
        <w:t xml:space="preserve">Since the </w:t>
      </w:r>
      <w:r w:rsidRPr="00C27BFD">
        <w:rPr>
          <w:rFonts w:asciiTheme="minorHAnsi" w:hAnsiTheme="minorHAnsi"/>
          <w:sz w:val="22"/>
          <w:szCs w:val="22"/>
        </w:rPr>
        <w:t xml:space="preserve">Housing Trust’s establishment, it has met twice a year to discuss a wide range of housing issues and has sponsored the Small Repair Grant Program and advocated for the Emergency Rental Assistance Program.  Funding in the Housing Trust remains limited to date, largely capitalized by monitoring and resale fees.  The monitoring fees are paid annually by the property owners and by the seller when affordable homeownership units turn over.  The Housing Trust is entrusted with ensuring compliance with state affordability requirements.  </w:t>
      </w:r>
    </w:p>
    <w:p w14:paraId="1825B057" w14:textId="77777777" w:rsidR="002019EC" w:rsidRPr="00C27BFD" w:rsidRDefault="002019EC" w:rsidP="002019EC">
      <w:pPr>
        <w:pStyle w:val="NormalWeb"/>
        <w:shd w:val="clear" w:color="auto" w:fill="FFFFFF"/>
        <w:spacing w:after="0" w:line="280" w:lineRule="atLeast"/>
        <w:ind w:left="720"/>
        <w:jc w:val="both"/>
        <w:rPr>
          <w:rFonts w:asciiTheme="minorHAnsi" w:hAnsiTheme="minorHAnsi"/>
          <w:sz w:val="22"/>
          <w:szCs w:val="22"/>
        </w:rPr>
      </w:pPr>
    </w:p>
    <w:p w14:paraId="78EAB745" w14:textId="77777777" w:rsidR="002019EC" w:rsidRDefault="002019EC" w:rsidP="005D3FC9">
      <w:pPr>
        <w:pStyle w:val="NormalWeb"/>
        <w:numPr>
          <w:ilvl w:val="0"/>
          <w:numId w:val="48"/>
        </w:numPr>
        <w:shd w:val="clear" w:color="auto" w:fill="FFFFFF"/>
        <w:spacing w:after="0" w:line="280" w:lineRule="atLeast"/>
        <w:jc w:val="both"/>
        <w:rPr>
          <w:rFonts w:asciiTheme="minorHAnsi" w:hAnsiTheme="minorHAnsi"/>
          <w:b/>
          <w:bCs/>
          <w:i/>
          <w:iCs/>
          <w:sz w:val="22"/>
          <w:szCs w:val="22"/>
        </w:rPr>
      </w:pPr>
      <w:r>
        <w:rPr>
          <w:rFonts w:asciiTheme="minorHAnsi" w:hAnsiTheme="minorHAnsi"/>
          <w:b/>
          <w:bCs/>
          <w:i/>
          <w:iCs/>
          <w:sz w:val="22"/>
          <w:szCs w:val="22"/>
        </w:rPr>
        <w:t>Accessory Dwelling Units (ADUs)</w:t>
      </w:r>
    </w:p>
    <w:p w14:paraId="5F85BEB6" w14:textId="77777777" w:rsidR="002019EC" w:rsidRDefault="002019EC" w:rsidP="002019EC">
      <w:pPr>
        <w:ind w:left="720"/>
        <w:jc w:val="both"/>
        <w:rPr>
          <w:rFonts w:asciiTheme="minorHAnsi" w:hAnsiTheme="minorHAnsi" w:cstheme="minorHAnsi"/>
          <w:sz w:val="22"/>
          <w:szCs w:val="22"/>
        </w:rPr>
      </w:pPr>
      <w:r>
        <w:rPr>
          <w:rFonts w:asciiTheme="minorHAnsi" w:hAnsiTheme="minorHAnsi"/>
          <w:sz w:val="22"/>
          <w:szCs w:val="22"/>
        </w:rPr>
        <w:t xml:space="preserve">The 2019 Special Town Meeting approved the bylaw to permit the creation of accessory dwelling units (ADUs) by Special Permit of the Board of Appeals.  The bylaw limits the units </w:t>
      </w:r>
      <w:r w:rsidRPr="007E7189">
        <w:rPr>
          <w:rFonts w:asciiTheme="minorHAnsi" w:hAnsiTheme="minorHAnsi" w:cstheme="minorHAnsi"/>
          <w:sz w:val="22"/>
          <w:szCs w:val="22"/>
        </w:rPr>
        <w:t xml:space="preserve">to single-family homes </w:t>
      </w:r>
      <w:r>
        <w:rPr>
          <w:rFonts w:asciiTheme="minorHAnsi" w:hAnsiTheme="minorHAnsi" w:cstheme="minorHAnsi"/>
          <w:sz w:val="22"/>
          <w:szCs w:val="22"/>
        </w:rPr>
        <w:t>that are occupied “b</w:t>
      </w:r>
      <w:r w:rsidRPr="007E7189">
        <w:rPr>
          <w:rFonts w:asciiTheme="minorHAnsi" w:hAnsiTheme="minorHAnsi" w:cstheme="minorHAnsi"/>
          <w:sz w:val="22"/>
          <w:szCs w:val="22"/>
        </w:rPr>
        <w:t>y the Owner; Family members related to the Owner by blood, adoption or marriage (spouse, parent, sibling, child, or a spouse of such persons); and Caregivers of Family members who look after an elderly, chronically ill or disabled Owner who needs assistance with activities of daily living or a Family member who needs such assistance, subject to specified standards and procedures.”</w:t>
      </w:r>
      <w:r w:rsidRPr="007E7189">
        <w:rPr>
          <w:rStyle w:val="FootnoteReference"/>
          <w:rFonts w:asciiTheme="minorHAnsi" w:hAnsiTheme="minorHAnsi" w:cstheme="minorHAnsi"/>
          <w:sz w:val="22"/>
          <w:szCs w:val="22"/>
        </w:rPr>
        <w:footnoteReference w:id="41"/>
      </w:r>
      <w:r w:rsidRPr="007E7189">
        <w:rPr>
          <w:rFonts w:asciiTheme="minorHAnsi" w:hAnsiTheme="minorHAnsi" w:cstheme="minorHAnsi"/>
          <w:sz w:val="22"/>
          <w:szCs w:val="22"/>
        </w:rPr>
        <w:t xml:space="preserve">  The bylaw also defined the ADU as “an apartment in a single-family detached dwelling that is a second, self-contained dwelling unit and a complete, separate housekeeping unit containing provisions for living, sleeping, cooking and eating.  The ADU must be subordinate in size to the principal dwelling unit on a lot, and constructed to maintain the appearance and essential character of the single-family dwelling.</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42"/>
      </w:r>
      <w:r w:rsidRPr="007E7189">
        <w:rPr>
          <w:rFonts w:asciiTheme="minorHAnsi" w:hAnsiTheme="minorHAnsi" w:cstheme="minorHAnsi"/>
          <w:sz w:val="22"/>
          <w:szCs w:val="22"/>
        </w:rPr>
        <w:t xml:space="preserve"> </w:t>
      </w:r>
    </w:p>
    <w:p w14:paraId="28F234A5" w14:textId="77777777" w:rsidR="002019EC" w:rsidRDefault="002019EC" w:rsidP="002019EC">
      <w:pPr>
        <w:ind w:left="720"/>
        <w:jc w:val="both"/>
        <w:rPr>
          <w:rFonts w:asciiTheme="minorHAnsi" w:hAnsiTheme="minorHAnsi" w:cstheme="minorHAnsi"/>
          <w:sz w:val="22"/>
          <w:szCs w:val="22"/>
        </w:rPr>
      </w:pPr>
    </w:p>
    <w:p w14:paraId="6EDA6053" w14:textId="4C73F5B3" w:rsidR="002019EC" w:rsidRPr="007E7189" w:rsidRDefault="002019EC" w:rsidP="002019EC">
      <w:pPr>
        <w:ind w:left="720"/>
        <w:jc w:val="both"/>
        <w:rPr>
          <w:rFonts w:asciiTheme="minorHAnsi" w:hAnsiTheme="minorHAnsi" w:cstheme="minorHAnsi"/>
          <w:sz w:val="22"/>
          <w:szCs w:val="22"/>
        </w:rPr>
      </w:pPr>
      <w:r>
        <w:rPr>
          <w:rFonts w:asciiTheme="minorHAnsi" w:hAnsiTheme="minorHAnsi" w:cstheme="minorHAnsi"/>
          <w:sz w:val="22"/>
          <w:szCs w:val="22"/>
        </w:rPr>
        <w:t>Other provisions limited the ADU to no more than 850 square feet with one bedroom, located in a</w:t>
      </w:r>
      <w:r w:rsidRPr="007E7189">
        <w:rPr>
          <w:rFonts w:asciiTheme="minorHAnsi" w:hAnsiTheme="minorHAnsi" w:cstheme="minorHAnsi"/>
          <w:sz w:val="22"/>
          <w:szCs w:val="22"/>
        </w:rPr>
        <w:t xml:space="preserve"> primary structure</w:t>
      </w:r>
      <w:r>
        <w:rPr>
          <w:rFonts w:asciiTheme="minorHAnsi" w:hAnsiTheme="minorHAnsi" w:cstheme="minorHAnsi"/>
          <w:sz w:val="22"/>
          <w:szCs w:val="22"/>
        </w:rPr>
        <w:t xml:space="preserve"> and not an accessory structure</w:t>
      </w:r>
      <w:r w:rsidRPr="007E7189">
        <w:rPr>
          <w:rFonts w:asciiTheme="minorHAnsi" w:hAnsiTheme="minorHAnsi" w:cstheme="minorHAnsi"/>
          <w:sz w:val="22"/>
          <w:szCs w:val="22"/>
        </w:rPr>
        <w:t xml:space="preserve">, and </w:t>
      </w:r>
      <w:r>
        <w:rPr>
          <w:rFonts w:asciiTheme="minorHAnsi" w:hAnsiTheme="minorHAnsi" w:cstheme="minorHAnsi"/>
          <w:sz w:val="22"/>
          <w:szCs w:val="22"/>
        </w:rPr>
        <w:t xml:space="preserve">with </w:t>
      </w:r>
      <w:r w:rsidRPr="007E7189">
        <w:rPr>
          <w:rFonts w:asciiTheme="minorHAnsi" w:hAnsiTheme="minorHAnsi" w:cstheme="minorHAnsi"/>
          <w:sz w:val="22"/>
          <w:szCs w:val="22"/>
        </w:rPr>
        <w:t>exterior entrances and access ways</w:t>
      </w:r>
      <w:r>
        <w:rPr>
          <w:rFonts w:asciiTheme="minorHAnsi" w:hAnsiTheme="minorHAnsi" w:cstheme="minorHAnsi"/>
          <w:sz w:val="22"/>
          <w:szCs w:val="22"/>
        </w:rPr>
        <w:t xml:space="preserve"> that</w:t>
      </w:r>
      <w:r w:rsidRPr="007E7189">
        <w:rPr>
          <w:rFonts w:asciiTheme="minorHAnsi" w:hAnsiTheme="minorHAnsi" w:cstheme="minorHAnsi"/>
          <w:sz w:val="22"/>
          <w:szCs w:val="22"/>
        </w:rPr>
        <w:t xml:space="preserve"> do not detract from the single-family appearance of the dwelling</w:t>
      </w:r>
      <w:r>
        <w:rPr>
          <w:rFonts w:asciiTheme="minorHAnsi" w:hAnsiTheme="minorHAnsi" w:cstheme="minorHAnsi"/>
          <w:sz w:val="22"/>
          <w:szCs w:val="22"/>
        </w:rPr>
        <w:t xml:space="preserve">, among other conditions. </w:t>
      </w:r>
      <w:r w:rsidRPr="007E7189">
        <w:rPr>
          <w:rFonts w:asciiTheme="minorHAnsi" w:hAnsiTheme="minorHAnsi" w:cstheme="minorHAnsi"/>
          <w:sz w:val="22"/>
          <w:szCs w:val="22"/>
        </w:rPr>
        <w:t xml:space="preserve">While the bylaw limited occupancy to family members </w:t>
      </w:r>
      <w:r>
        <w:rPr>
          <w:rFonts w:asciiTheme="minorHAnsi" w:hAnsiTheme="minorHAnsi" w:cstheme="minorHAnsi"/>
          <w:sz w:val="22"/>
          <w:szCs w:val="22"/>
        </w:rPr>
        <w:t>or</w:t>
      </w:r>
      <w:r w:rsidRPr="007E7189">
        <w:rPr>
          <w:rFonts w:asciiTheme="minorHAnsi" w:hAnsiTheme="minorHAnsi" w:cstheme="minorHAnsi"/>
          <w:sz w:val="22"/>
          <w:szCs w:val="22"/>
        </w:rPr>
        <w:t xml:space="preserve"> caregivers</w:t>
      </w:r>
      <w:r>
        <w:rPr>
          <w:rFonts w:asciiTheme="minorHAnsi" w:hAnsiTheme="minorHAnsi" w:cstheme="minorHAnsi"/>
          <w:sz w:val="22"/>
          <w:szCs w:val="22"/>
        </w:rPr>
        <w:t xml:space="preserve">, it does promote greater housing diversity in the community by allowing small apartments in existing dwellings, enables extended family members to live together, and also provides opportunities for live-in support for people with disabilities.  A total of </w:t>
      </w:r>
      <w:r w:rsidR="00242E0E">
        <w:rPr>
          <w:rFonts w:asciiTheme="minorHAnsi" w:hAnsiTheme="minorHAnsi" w:cstheme="minorHAnsi"/>
          <w:sz w:val="22"/>
          <w:szCs w:val="22"/>
        </w:rPr>
        <w:t>eight</w:t>
      </w:r>
      <w:r>
        <w:rPr>
          <w:rFonts w:asciiTheme="minorHAnsi" w:hAnsiTheme="minorHAnsi" w:cstheme="minorHAnsi"/>
          <w:sz w:val="22"/>
          <w:szCs w:val="22"/>
        </w:rPr>
        <w:t xml:space="preserve"> ADUs </w:t>
      </w:r>
      <w:r w:rsidR="00242E0E">
        <w:rPr>
          <w:rFonts w:asciiTheme="minorHAnsi" w:hAnsiTheme="minorHAnsi" w:cstheme="minorHAnsi"/>
          <w:sz w:val="22"/>
          <w:szCs w:val="22"/>
        </w:rPr>
        <w:t>have been</w:t>
      </w:r>
      <w:r>
        <w:rPr>
          <w:rFonts w:asciiTheme="minorHAnsi" w:hAnsiTheme="minorHAnsi" w:cstheme="minorHAnsi"/>
          <w:sz w:val="22"/>
          <w:szCs w:val="22"/>
        </w:rPr>
        <w:t xml:space="preserve"> permitted </w:t>
      </w:r>
      <w:r w:rsidR="00242E0E">
        <w:rPr>
          <w:rFonts w:asciiTheme="minorHAnsi" w:hAnsiTheme="minorHAnsi" w:cstheme="minorHAnsi"/>
          <w:sz w:val="22"/>
          <w:szCs w:val="22"/>
        </w:rPr>
        <w:t>as of March 2022</w:t>
      </w:r>
      <w:r>
        <w:rPr>
          <w:rFonts w:asciiTheme="minorHAnsi" w:hAnsiTheme="minorHAnsi" w:cstheme="minorHAnsi"/>
          <w:sz w:val="22"/>
          <w:szCs w:val="22"/>
        </w:rPr>
        <w:t>.</w:t>
      </w:r>
    </w:p>
    <w:p w14:paraId="4AAE4DCF" w14:textId="77777777" w:rsidR="002019EC" w:rsidRPr="007E7189" w:rsidRDefault="002019EC" w:rsidP="002019EC">
      <w:pPr>
        <w:pStyle w:val="NormalWeb"/>
        <w:shd w:val="clear" w:color="auto" w:fill="FFFFFF"/>
        <w:spacing w:after="0" w:line="280" w:lineRule="atLeast"/>
        <w:ind w:left="720"/>
        <w:jc w:val="both"/>
        <w:rPr>
          <w:rFonts w:asciiTheme="minorHAnsi" w:hAnsiTheme="minorHAnsi" w:cstheme="minorHAnsi"/>
          <w:sz w:val="22"/>
          <w:szCs w:val="22"/>
        </w:rPr>
      </w:pPr>
    </w:p>
    <w:p w14:paraId="1BEBC934" w14:textId="77777777" w:rsidR="002019EC" w:rsidRDefault="002019EC" w:rsidP="002019EC">
      <w:pPr>
        <w:pStyle w:val="CommentText"/>
        <w:spacing w:line="240" w:lineRule="auto"/>
        <w:jc w:val="both"/>
        <w:rPr>
          <w:rFonts w:asciiTheme="minorHAnsi" w:hAnsiTheme="minorHAnsi"/>
          <w:bCs/>
          <w:szCs w:val="22"/>
        </w:rPr>
      </w:pPr>
      <w:r>
        <w:rPr>
          <w:rFonts w:asciiTheme="minorHAnsi" w:hAnsiTheme="minorHAnsi"/>
          <w:bCs/>
          <w:szCs w:val="22"/>
        </w:rPr>
        <w:t>More details on zoning are summarized in Appendix 2.</w:t>
      </w:r>
    </w:p>
    <w:p w14:paraId="3F92A2E9" w14:textId="77777777" w:rsidR="002019EC" w:rsidRDefault="002019EC" w:rsidP="002019EC">
      <w:pPr>
        <w:pStyle w:val="NormalWeb"/>
        <w:shd w:val="clear" w:color="auto" w:fill="FFFFFF"/>
        <w:spacing w:after="0" w:line="280" w:lineRule="atLeast"/>
        <w:jc w:val="both"/>
        <w:rPr>
          <w:rFonts w:asciiTheme="minorHAnsi" w:hAnsiTheme="minorHAnsi"/>
          <w:b/>
          <w:bCs/>
          <w:color w:val="0070C0"/>
        </w:rPr>
      </w:pPr>
    </w:p>
    <w:p w14:paraId="7780A85F" w14:textId="77777777" w:rsidR="002019EC" w:rsidRPr="00A12D15" w:rsidRDefault="002019EC" w:rsidP="002019EC">
      <w:pPr>
        <w:pStyle w:val="NormalWeb"/>
        <w:shd w:val="clear" w:color="auto" w:fill="FFFFFF"/>
        <w:spacing w:after="0" w:line="280" w:lineRule="atLeast"/>
        <w:jc w:val="both"/>
        <w:rPr>
          <w:rFonts w:asciiTheme="minorHAnsi" w:hAnsiTheme="minorHAnsi"/>
          <w:b/>
          <w:bCs/>
          <w:color w:val="0070C0"/>
        </w:rPr>
      </w:pPr>
      <w:r>
        <w:rPr>
          <w:rFonts w:asciiTheme="minorHAnsi" w:hAnsiTheme="minorHAnsi"/>
          <w:b/>
          <w:bCs/>
          <w:color w:val="0070C0"/>
        </w:rPr>
        <w:t>III.</w:t>
      </w:r>
      <w:r>
        <w:rPr>
          <w:rFonts w:asciiTheme="minorHAnsi" w:hAnsiTheme="minorHAnsi"/>
          <w:b/>
          <w:bCs/>
          <w:color w:val="0070C0"/>
        </w:rPr>
        <w:tab/>
      </w:r>
      <w:r w:rsidRPr="00A12D15">
        <w:rPr>
          <w:rFonts w:asciiTheme="minorHAnsi" w:hAnsiTheme="minorHAnsi"/>
          <w:b/>
          <w:bCs/>
          <w:color w:val="0070C0"/>
        </w:rPr>
        <w:t>Housing Challenges</w:t>
      </w:r>
    </w:p>
    <w:p w14:paraId="1DC83BA6" w14:textId="77777777" w:rsidR="002019EC" w:rsidRDefault="002019EC" w:rsidP="002019EC">
      <w:pPr>
        <w:pStyle w:val="NormalWeb"/>
        <w:shd w:val="clear" w:color="auto" w:fill="FFFFFF"/>
        <w:spacing w:after="0" w:line="280" w:lineRule="atLeast"/>
        <w:jc w:val="both"/>
        <w:rPr>
          <w:rFonts w:asciiTheme="minorHAnsi" w:hAnsiTheme="minorHAnsi"/>
          <w:sz w:val="22"/>
          <w:szCs w:val="22"/>
        </w:rPr>
      </w:pPr>
      <w:r>
        <w:rPr>
          <w:rFonts w:ascii="Calibri" w:hAnsi="Calibri"/>
          <w:sz w:val="22"/>
        </w:rPr>
        <w:t>T</w:t>
      </w:r>
      <w:r w:rsidRPr="004E50E7">
        <w:rPr>
          <w:rFonts w:ascii="Calibri" w:hAnsi="Calibri"/>
          <w:sz w:val="22"/>
        </w:rPr>
        <w:t>he challenges to producing affordable housing in the Boston region have been repeatedly identified in published reports</w:t>
      </w:r>
      <w:r>
        <w:rPr>
          <w:rFonts w:ascii="Calibri" w:hAnsi="Calibri"/>
          <w:sz w:val="22"/>
        </w:rPr>
        <w:t xml:space="preserve"> over the years</w:t>
      </w:r>
      <w:r w:rsidRPr="004E50E7">
        <w:rPr>
          <w:rFonts w:ascii="Calibri" w:hAnsi="Calibri"/>
          <w:sz w:val="22"/>
        </w:rPr>
        <w:t xml:space="preserve"> with strikingly consistent observations</w:t>
      </w:r>
      <w:r w:rsidRPr="004E50E7">
        <w:rPr>
          <w:rFonts w:ascii="Calibri" w:hAnsi="Calibri"/>
          <w:i/>
          <w:sz w:val="22"/>
        </w:rPr>
        <w:t>.</w:t>
      </w:r>
      <w:r w:rsidRPr="004E50E7">
        <w:rPr>
          <w:rFonts w:ascii="Calibri" w:hAnsi="Calibri"/>
          <w:sz w:val="22"/>
        </w:rPr>
        <w:t xml:space="preserve">  While sharp reductions in state </w:t>
      </w:r>
      <w:r w:rsidRPr="004E50E7">
        <w:rPr>
          <w:rFonts w:ascii="Calibri" w:hAnsi="Calibri"/>
          <w:sz w:val="22"/>
        </w:rPr>
        <w:lastRenderedPageBreak/>
        <w:t xml:space="preserve">and federal funds for housing have contributed to the problem, the region’s mismatch between demand and supply is widely seen as the result of both state and local actions that constrain land availability, create regulatory impediments, and add to the costs of construction.  </w:t>
      </w:r>
      <w:r>
        <w:rPr>
          <w:rFonts w:ascii="Calibri" w:hAnsi="Calibri"/>
          <w:sz w:val="22"/>
        </w:rPr>
        <w:t xml:space="preserve">Needham’s location as an inner suburb of Boston with good highway and commuter rail access as well as recognized schools have boosted the demand for housing and thus driven up prices.  </w:t>
      </w:r>
    </w:p>
    <w:p w14:paraId="25A521F4" w14:textId="77777777" w:rsidR="002019EC" w:rsidRDefault="002019EC" w:rsidP="002019EC">
      <w:pPr>
        <w:jc w:val="both"/>
        <w:rPr>
          <w:rFonts w:ascii="Calibri" w:hAnsi="Calibri"/>
          <w:sz w:val="22"/>
        </w:rPr>
      </w:pPr>
    </w:p>
    <w:p w14:paraId="4B144E87" w14:textId="77777777" w:rsidR="002019EC" w:rsidRPr="004E50E7" w:rsidRDefault="002019EC" w:rsidP="002019EC">
      <w:pPr>
        <w:jc w:val="both"/>
        <w:rPr>
          <w:rFonts w:ascii="Calibri" w:hAnsi="Calibri"/>
          <w:sz w:val="22"/>
        </w:rPr>
      </w:pPr>
      <w:r>
        <w:rPr>
          <w:rFonts w:ascii="Calibri" w:hAnsi="Calibri"/>
          <w:sz w:val="22"/>
        </w:rPr>
        <w:t>Particularly challenging are the following housing production constraints:</w:t>
      </w:r>
    </w:p>
    <w:p w14:paraId="6515766B" w14:textId="77777777" w:rsidR="002019EC" w:rsidRPr="004E50E7" w:rsidRDefault="002019EC" w:rsidP="002019EC">
      <w:pPr>
        <w:ind w:left="720"/>
        <w:jc w:val="both"/>
        <w:rPr>
          <w:rFonts w:ascii="Calibri" w:hAnsi="Calibri"/>
          <w:sz w:val="22"/>
        </w:rPr>
      </w:pPr>
    </w:p>
    <w:p w14:paraId="036CDDDC" w14:textId="77777777" w:rsidR="002019EC" w:rsidRPr="00D63ED4" w:rsidRDefault="002019EC" w:rsidP="005D3FC9">
      <w:pPr>
        <w:pStyle w:val="Heading6"/>
        <w:numPr>
          <w:ilvl w:val="0"/>
          <w:numId w:val="49"/>
        </w:numPr>
        <w:tabs>
          <w:tab w:val="num" w:pos="720"/>
        </w:tabs>
        <w:spacing w:before="0"/>
        <w:jc w:val="both"/>
        <w:rPr>
          <w:rFonts w:asciiTheme="minorHAnsi" w:hAnsiTheme="minorHAnsi"/>
          <w:b/>
          <w:bCs/>
          <w:color w:val="auto"/>
          <w:sz w:val="22"/>
          <w:szCs w:val="22"/>
        </w:rPr>
      </w:pPr>
      <w:r w:rsidRPr="00D63ED4">
        <w:rPr>
          <w:rFonts w:asciiTheme="minorHAnsi" w:hAnsiTheme="minorHAnsi"/>
          <w:b/>
          <w:bCs/>
          <w:color w:val="auto"/>
          <w:sz w:val="22"/>
          <w:szCs w:val="22"/>
        </w:rPr>
        <w:t>Limited Developable Property</w:t>
      </w:r>
    </w:p>
    <w:p w14:paraId="0288057C" w14:textId="77777777" w:rsidR="002019EC" w:rsidRDefault="002019EC" w:rsidP="002019EC">
      <w:pPr>
        <w:pStyle w:val="Heading6"/>
        <w:tabs>
          <w:tab w:val="num" w:pos="720"/>
        </w:tabs>
        <w:spacing w:before="0"/>
        <w:ind w:left="720"/>
        <w:jc w:val="both"/>
        <w:rPr>
          <w:rFonts w:asciiTheme="minorHAnsi" w:hAnsiTheme="minorHAnsi"/>
          <w:i w:val="0"/>
          <w:iCs w:val="0"/>
          <w:color w:val="auto"/>
          <w:sz w:val="22"/>
          <w:szCs w:val="22"/>
        </w:rPr>
      </w:pPr>
      <w:r w:rsidRPr="00306AB6">
        <w:rPr>
          <w:rFonts w:ascii="Calibri" w:hAnsi="Calibri"/>
          <w:i w:val="0"/>
          <w:color w:val="auto"/>
          <w:sz w:val="22"/>
        </w:rPr>
        <w:t xml:space="preserve">As an older established community, </w:t>
      </w:r>
      <w:r>
        <w:rPr>
          <w:rFonts w:ascii="Calibri" w:hAnsi="Calibri"/>
          <w:i w:val="0"/>
          <w:color w:val="auto"/>
          <w:sz w:val="22"/>
        </w:rPr>
        <w:t>Needham</w:t>
      </w:r>
      <w:r w:rsidRPr="00306AB6">
        <w:rPr>
          <w:rFonts w:ascii="Calibri" w:hAnsi="Calibri"/>
          <w:i w:val="0"/>
          <w:color w:val="auto"/>
          <w:sz w:val="22"/>
        </w:rPr>
        <w:t xml:space="preserve"> has less land available for development than many other communities in the region, and</w:t>
      </w:r>
      <w:r>
        <w:rPr>
          <w:rFonts w:ascii="Calibri" w:hAnsi="Calibri"/>
          <w:i w:val="0"/>
          <w:color w:val="auto"/>
          <w:sz w:val="22"/>
        </w:rPr>
        <w:t xml:space="preserve"> the</w:t>
      </w:r>
      <w:r w:rsidRPr="00306AB6">
        <w:rPr>
          <w:rFonts w:ascii="Calibri" w:hAnsi="Calibri"/>
          <w:i w:val="0"/>
          <w:color w:val="auto"/>
          <w:sz w:val="22"/>
        </w:rPr>
        <w:t xml:space="preserve"> remaining property has become increasingly valuable and difficult to develop</w:t>
      </w:r>
      <w:r>
        <w:rPr>
          <w:rFonts w:ascii="Calibri" w:hAnsi="Calibri"/>
          <w:i w:val="0"/>
          <w:color w:val="auto"/>
          <w:sz w:val="22"/>
        </w:rPr>
        <w:t>.</w:t>
      </w:r>
      <w:r w:rsidRPr="008B749D">
        <w:rPr>
          <w:rFonts w:asciiTheme="minorHAnsi" w:hAnsiTheme="minorHAnsi"/>
          <w:i w:val="0"/>
          <w:iCs w:val="0"/>
          <w:color w:val="auto"/>
          <w:sz w:val="22"/>
          <w:szCs w:val="22"/>
        </w:rPr>
        <w:t xml:space="preserve"> </w:t>
      </w:r>
    </w:p>
    <w:p w14:paraId="3747213E" w14:textId="77777777" w:rsidR="002019EC" w:rsidRDefault="002019EC" w:rsidP="002019EC">
      <w:pPr>
        <w:pStyle w:val="Heading6"/>
        <w:tabs>
          <w:tab w:val="num" w:pos="720"/>
        </w:tabs>
        <w:spacing w:before="0"/>
        <w:ind w:left="720"/>
        <w:jc w:val="both"/>
        <w:rPr>
          <w:rFonts w:asciiTheme="minorHAnsi" w:hAnsiTheme="minorHAnsi"/>
          <w:i w:val="0"/>
          <w:iCs w:val="0"/>
          <w:color w:val="auto"/>
          <w:sz w:val="22"/>
          <w:szCs w:val="22"/>
        </w:rPr>
      </w:pPr>
    </w:p>
    <w:p w14:paraId="3ED30E09" w14:textId="77777777" w:rsidR="002019EC" w:rsidRPr="00C77EAF" w:rsidRDefault="002019EC" w:rsidP="002019EC">
      <w:pPr>
        <w:pStyle w:val="Heading6"/>
        <w:tabs>
          <w:tab w:val="num" w:pos="720"/>
        </w:tabs>
        <w:spacing w:before="0"/>
        <w:ind w:left="720"/>
        <w:jc w:val="both"/>
        <w:rPr>
          <w:rFonts w:ascii="Calibri" w:hAnsi="Calibri"/>
          <w:i w:val="0"/>
          <w:iCs w:val="0"/>
          <w:color w:val="auto"/>
          <w:sz w:val="22"/>
        </w:rPr>
      </w:pPr>
      <w:r>
        <w:rPr>
          <w:rFonts w:asciiTheme="minorHAnsi" w:hAnsiTheme="minorHAnsi"/>
          <w:i w:val="0"/>
          <w:iCs w:val="0"/>
          <w:color w:val="auto"/>
          <w:sz w:val="22"/>
          <w:szCs w:val="22"/>
        </w:rPr>
        <w:t xml:space="preserve">New development will rely primarily on redevelopment opportunities, particularly those in areas where some greater density and access to public </w:t>
      </w:r>
      <w:r w:rsidRPr="00C77EAF">
        <w:rPr>
          <w:rFonts w:asciiTheme="minorHAnsi" w:hAnsiTheme="minorHAnsi"/>
          <w:i w:val="0"/>
          <w:iCs w:val="0"/>
          <w:color w:val="auto"/>
          <w:sz w:val="22"/>
          <w:szCs w:val="22"/>
        </w:rPr>
        <w:t xml:space="preserve">transit are possible. </w:t>
      </w:r>
      <w:r w:rsidRPr="00C77EAF">
        <w:rPr>
          <w:rFonts w:ascii="Calibri" w:hAnsi="Calibri"/>
          <w:i w:val="0"/>
          <w:iCs w:val="0"/>
          <w:color w:val="auto"/>
          <w:sz w:val="22"/>
        </w:rPr>
        <w:t xml:space="preserve">It will be important for the Town to continue to guide future development to </w:t>
      </w:r>
      <w:r>
        <w:rPr>
          <w:rFonts w:ascii="Calibri" w:hAnsi="Calibri"/>
          <w:i w:val="0"/>
          <w:iCs w:val="0"/>
          <w:color w:val="auto"/>
          <w:sz w:val="22"/>
        </w:rPr>
        <w:t xml:space="preserve">these </w:t>
      </w:r>
      <w:r w:rsidRPr="00C77EAF">
        <w:rPr>
          <w:rFonts w:ascii="Calibri" w:hAnsi="Calibri"/>
          <w:i w:val="0"/>
          <w:iCs w:val="0"/>
          <w:color w:val="auto"/>
          <w:sz w:val="22"/>
        </w:rPr>
        <w:t>appropriate locations, promot</w:t>
      </w:r>
      <w:r>
        <w:rPr>
          <w:rFonts w:ascii="Calibri" w:hAnsi="Calibri"/>
          <w:i w:val="0"/>
          <w:iCs w:val="0"/>
          <w:color w:val="auto"/>
          <w:sz w:val="22"/>
        </w:rPr>
        <w:t>ing</w:t>
      </w:r>
      <w:r w:rsidRPr="00C77EAF">
        <w:rPr>
          <w:rFonts w:ascii="Calibri" w:hAnsi="Calibri"/>
          <w:i w:val="0"/>
          <w:iCs w:val="0"/>
          <w:color w:val="auto"/>
          <w:sz w:val="22"/>
        </w:rPr>
        <w:t xml:space="preserve"> higher densities in some areas while minimizing the effects on the natural environment and preserving open space corridors and recreational opportunities in others.  </w:t>
      </w:r>
    </w:p>
    <w:p w14:paraId="41CE36D4" w14:textId="77777777" w:rsidR="002019EC" w:rsidRDefault="002019EC" w:rsidP="002019EC">
      <w:pPr>
        <w:tabs>
          <w:tab w:val="num" w:pos="0"/>
        </w:tabs>
        <w:jc w:val="both"/>
        <w:rPr>
          <w:rFonts w:asciiTheme="minorHAnsi" w:hAnsiTheme="minorHAnsi"/>
          <w:b/>
          <w:bCs/>
          <w:i/>
          <w:iCs/>
          <w:color w:val="1F497D" w:themeColor="text2"/>
          <w:sz w:val="22"/>
          <w:szCs w:val="22"/>
        </w:rPr>
      </w:pPr>
    </w:p>
    <w:p w14:paraId="1F1A2867" w14:textId="77777777" w:rsidR="002019EC" w:rsidRPr="00D63ED4" w:rsidRDefault="002019EC" w:rsidP="005D3FC9">
      <w:pPr>
        <w:pStyle w:val="ListParagraph"/>
        <w:numPr>
          <w:ilvl w:val="0"/>
          <w:numId w:val="49"/>
        </w:numPr>
        <w:tabs>
          <w:tab w:val="num" w:pos="0"/>
        </w:tabs>
        <w:jc w:val="both"/>
        <w:rPr>
          <w:rFonts w:asciiTheme="minorHAnsi" w:hAnsiTheme="minorHAnsi"/>
          <w:b/>
          <w:bCs/>
          <w:i/>
          <w:iCs/>
          <w:sz w:val="22"/>
          <w:szCs w:val="22"/>
        </w:rPr>
      </w:pPr>
      <w:r w:rsidRPr="00D63ED4">
        <w:rPr>
          <w:rFonts w:asciiTheme="minorHAnsi" w:hAnsiTheme="minorHAnsi"/>
          <w:b/>
          <w:bCs/>
          <w:i/>
          <w:iCs/>
          <w:sz w:val="22"/>
          <w:szCs w:val="22"/>
        </w:rPr>
        <w:t>High Level of Teardown Activity</w:t>
      </w:r>
    </w:p>
    <w:p w14:paraId="498CB289" w14:textId="77777777" w:rsidR="002019EC" w:rsidRPr="008B749D" w:rsidRDefault="002019EC" w:rsidP="002019EC">
      <w:pPr>
        <w:pStyle w:val="BodyTextIndent2"/>
        <w:tabs>
          <w:tab w:val="num" w:pos="720"/>
        </w:tabs>
        <w:spacing w:after="0" w:line="240" w:lineRule="auto"/>
        <w:ind w:left="720"/>
        <w:jc w:val="both"/>
        <w:rPr>
          <w:rFonts w:asciiTheme="minorHAnsi" w:hAnsiTheme="minorHAnsi"/>
          <w:sz w:val="22"/>
          <w:szCs w:val="22"/>
        </w:rPr>
      </w:pPr>
      <w:r>
        <w:rPr>
          <w:rFonts w:asciiTheme="minorHAnsi" w:hAnsiTheme="minorHAnsi"/>
          <w:sz w:val="22"/>
          <w:szCs w:val="22"/>
        </w:rPr>
        <w:t>Driven by the high value of land in Needham, the demolition of older, smaller, and less expensive houses has become the principal source of lots for the construction of new single-family homes thus</w:t>
      </w:r>
      <w:r w:rsidRPr="008B749D">
        <w:rPr>
          <w:rFonts w:asciiTheme="minorHAnsi" w:hAnsiTheme="minorHAnsi"/>
          <w:sz w:val="22"/>
          <w:szCs w:val="22"/>
        </w:rPr>
        <w:t xml:space="preserve"> “recycling” land rather than consuming vacant land.  </w:t>
      </w:r>
      <w:r>
        <w:rPr>
          <w:rFonts w:asciiTheme="minorHAnsi" w:hAnsiTheme="minorHAnsi"/>
          <w:sz w:val="22"/>
          <w:szCs w:val="22"/>
        </w:rPr>
        <w:t>These</w:t>
      </w:r>
      <w:r w:rsidRPr="008B749D">
        <w:rPr>
          <w:rFonts w:asciiTheme="minorHAnsi" w:hAnsiTheme="minorHAnsi"/>
          <w:sz w:val="22"/>
          <w:szCs w:val="22"/>
        </w:rPr>
        <w:t xml:space="preserve"> “teardown</w:t>
      </w:r>
      <w:r>
        <w:rPr>
          <w:rFonts w:asciiTheme="minorHAnsi" w:hAnsiTheme="minorHAnsi"/>
          <w:sz w:val="22"/>
          <w:szCs w:val="22"/>
        </w:rPr>
        <w:t>s</w:t>
      </w:r>
      <w:r w:rsidRPr="008B749D">
        <w:rPr>
          <w:rFonts w:asciiTheme="minorHAnsi" w:hAnsiTheme="minorHAnsi"/>
          <w:sz w:val="22"/>
          <w:szCs w:val="22"/>
        </w:rPr>
        <w:t xml:space="preserve">” of relatively small dwellings </w:t>
      </w:r>
      <w:r>
        <w:rPr>
          <w:rFonts w:asciiTheme="minorHAnsi" w:hAnsiTheme="minorHAnsi"/>
          <w:sz w:val="22"/>
          <w:szCs w:val="22"/>
        </w:rPr>
        <w:t>have</w:t>
      </w:r>
      <w:r w:rsidRPr="008B749D">
        <w:rPr>
          <w:rFonts w:asciiTheme="minorHAnsi" w:hAnsiTheme="minorHAnsi"/>
          <w:sz w:val="22"/>
          <w:szCs w:val="22"/>
        </w:rPr>
        <w:t xml:space="preserve"> </w:t>
      </w:r>
      <w:r>
        <w:rPr>
          <w:rFonts w:asciiTheme="minorHAnsi" w:hAnsiTheme="minorHAnsi"/>
          <w:sz w:val="22"/>
          <w:szCs w:val="22"/>
        </w:rPr>
        <w:t xml:space="preserve">typically been </w:t>
      </w:r>
      <w:r w:rsidRPr="008B749D">
        <w:rPr>
          <w:rFonts w:asciiTheme="minorHAnsi" w:hAnsiTheme="minorHAnsi"/>
          <w:sz w:val="22"/>
          <w:szCs w:val="22"/>
        </w:rPr>
        <w:t xml:space="preserve">replaced </w:t>
      </w:r>
      <w:r>
        <w:rPr>
          <w:rFonts w:asciiTheme="minorHAnsi" w:hAnsiTheme="minorHAnsi"/>
          <w:sz w:val="22"/>
          <w:szCs w:val="22"/>
        </w:rPr>
        <w:t>by</w:t>
      </w:r>
      <w:r w:rsidRPr="008B749D">
        <w:rPr>
          <w:rFonts w:asciiTheme="minorHAnsi" w:hAnsiTheme="minorHAnsi"/>
          <w:sz w:val="22"/>
          <w:szCs w:val="22"/>
        </w:rPr>
        <w:t xml:space="preserve"> substantially larger ones, leaving the number of dwelling units unchanged but increasing their value</w:t>
      </w:r>
      <w:r>
        <w:rPr>
          <w:rFonts w:asciiTheme="minorHAnsi" w:hAnsiTheme="minorHAnsi"/>
          <w:sz w:val="22"/>
          <w:szCs w:val="22"/>
        </w:rPr>
        <w:t xml:space="preserve"> significantly.</w:t>
      </w:r>
      <w:r w:rsidRPr="008B749D">
        <w:rPr>
          <w:rFonts w:asciiTheme="minorHAnsi" w:hAnsiTheme="minorHAnsi"/>
          <w:sz w:val="22"/>
          <w:szCs w:val="22"/>
        </w:rPr>
        <w:t xml:space="preserve"> This </w:t>
      </w:r>
      <w:r>
        <w:rPr>
          <w:rFonts w:asciiTheme="minorHAnsi" w:hAnsiTheme="minorHAnsi"/>
          <w:sz w:val="22"/>
          <w:szCs w:val="22"/>
        </w:rPr>
        <w:t xml:space="preserve">demolition/replacement </w:t>
      </w:r>
      <w:r w:rsidRPr="008B749D">
        <w:rPr>
          <w:rFonts w:asciiTheme="minorHAnsi" w:hAnsiTheme="minorHAnsi"/>
          <w:sz w:val="22"/>
          <w:szCs w:val="22"/>
        </w:rPr>
        <w:t>activity has eliminated many of the smaller more affordable private market units that were develop</w:t>
      </w:r>
      <w:r>
        <w:rPr>
          <w:rFonts w:asciiTheme="minorHAnsi" w:hAnsiTheme="minorHAnsi"/>
          <w:sz w:val="22"/>
          <w:szCs w:val="22"/>
        </w:rPr>
        <w:t>ed years ago as starter housing and has been the driving force pushing sales prices over $1 million</w:t>
      </w:r>
      <w:r w:rsidRPr="008B749D">
        <w:rPr>
          <w:rFonts w:asciiTheme="minorHAnsi" w:hAnsiTheme="minorHAnsi"/>
          <w:sz w:val="22"/>
          <w:szCs w:val="22"/>
        </w:rPr>
        <w:t xml:space="preserve">. </w:t>
      </w:r>
      <w:r>
        <w:rPr>
          <w:rFonts w:asciiTheme="minorHAnsi" w:hAnsiTheme="minorHAnsi"/>
          <w:sz w:val="22"/>
          <w:szCs w:val="22"/>
        </w:rPr>
        <w:t xml:space="preserve"> </w:t>
      </w:r>
    </w:p>
    <w:p w14:paraId="35AA17AC" w14:textId="77777777" w:rsidR="002019EC" w:rsidRDefault="002019EC" w:rsidP="002019EC">
      <w:pPr>
        <w:pStyle w:val="BodyTextIndent2"/>
        <w:tabs>
          <w:tab w:val="num" w:pos="0"/>
        </w:tabs>
        <w:spacing w:after="0" w:line="240" w:lineRule="auto"/>
        <w:ind w:left="0"/>
        <w:jc w:val="both"/>
        <w:rPr>
          <w:rFonts w:asciiTheme="minorHAnsi" w:hAnsiTheme="minorHAnsi"/>
          <w:sz w:val="22"/>
          <w:szCs w:val="22"/>
        </w:rPr>
      </w:pPr>
    </w:p>
    <w:p w14:paraId="595AFC85" w14:textId="77777777" w:rsidR="002019EC" w:rsidRPr="00D63ED4" w:rsidRDefault="002019EC" w:rsidP="005D3FC9">
      <w:pPr>
        <w:pStyle w:val="ListParagraph"/>
        <w:numPr>
          <w:ilvl w:val="0"/>
          <w:numId w:val="49"/>
        </w:numPr>
        <w:tabs>
          <w:tab w:val="num" w:pos="0"/>
        </w:tabs>
        <w:jc w:val="both"/>
        <w:rPr>
          <w:rFonts w:asciiTheme="minorHAnsi" w:hAnsiTheme="minorHAnsi"/>
          <w:b/>
          <w:bCs/>
          <w:i/>
          <w:iCs/>
          <w:sz w:val="22"/>
          <w:szCs w:val="22"/>
        </w:rPr>
      </w:pPr>
      <w:r w:rsidRPr="00D63ED4">
        <w:rPr>
          <w:rFonts w:asciiTheme="minorHAnsi" w:hAnsiTheme="minorHAnsi"/>
          <w:b/>
          <w:bCs/>
          <w:i/>
          <w:iCs/>
          <w:sz w:val="22"/>
          <w:szCs w:val="22"/>
        </w:rPr>
        <w:t>Regulatory Barriers</w:t>
      </w:r>
    </w:p>
    <w:p w14:paraId="12966EC2" w14:textId="77777777" w:rsidR="002019EC" w:rsidRPr="00D25F1D" w:rsidRDefault="002019EC" w:rsidP="002019EC">
      <w:pPr>
        <w:ind w:left="720"/>
        <w:jc w:val="both"/>
        <w:rPr>
          <w:rFonts w:asciiTheme="minorHAnsi" w:hAnsiTheme="minorHAnsi"/>
          <w:sz w:val="22"/>
          <w:szCs w:val="22"/>
        </w:rPr>
      </w:pPr>
      <w:r>
        <w:rPr>
          <w:rFonts w:asciiTheme="minorHAnsi" w:hAnsiTheme="minorHAnsi"/>
          <w:sz w:val="22"/>
          <w:szCs w:val="22"/>
        </w:rPr>
        <w:t>While significant progress has been made to reforming zoning, there still remains</w:t>
      </w:r>
      <w:r w:rsidRPr="008B749D">
        <w:rPr>
          <w:rFonts w:asciiTheme="minorHAnsi" w:hAnsiTheme="minorHAnsi"/>
          <w:sz w:val="22"/>
          <w:szCs w:val="22"/>
        </w:rPr>
        <w:t xml:space="preserve"> room for regulatory improvement</w:t>
      </w:r>
      <w:r>
        <w:rPr>
          <w:rFonts w:asciiTheme="minorHAnsi" w:hAnsiTheme="minorHAnsi"/>
          <w:sz w:val="22"/>
          <w:szCs w:val="22"/>
        </w:rPr>
        <w:t>s</w:t>
      </w:r>
      <w:r w:rsidRPr="008B749D">
        <w:rPr>
          <w:rFonts w:asciiTheme="minorHAnsi" w:hAnsiTheme="minorHAnsi"/>
          <w:sz w:val="22"/>
          <w:szCs w:val="22"/>
        </w:rPr>
        <w:t xml:space="preserve"> to </w:t>
      </w:r>
      <w:r>
        <w:rPr>
          <w:rFonts w:asciiTheme="minorHAnsi" w:hAnsiTheme="minorHAnsi"/>
          <w:sz w:val="22"/>
          <w:szCs w:val="22"/>
        </w:rPr>
        <w:t xml:space="preserve">better </w:t>
      </w:r>
      <w:r w:rsidRPr="008B749D">
        <w:rPr>
          <w:rFonts w:asciiTheme="minorHAnsi" w:hAnsiTheme="minorHAnsi"/>
          <w:sz w:val="22"/>
          <w:szCs w:val="22"/>
        </w:rPr>
        <w:t xml:space="preserve">direct development to appropriate locations based on “smart growth” principles and </w:t>
      </w:r>
      <w:r>
        <w:rPr>
          <w:rFonts w:asciiTheme="minorHAnsi" w:hAnsiTheme="minorHAnsi"/>
          <w:sz w:val="22"/>
          <w:szCs w:val="22"/>
        </w:rPr>
        <w:t>adequate</w:t>
      </w:r>
      <w:r w:rsidRPr="008B749D">
        <w:rPr>
          <w:rFonts w:asciiTheme="minorHAnsi" w:hAnsiTheme="minorHAnsi"/>
          <w:sz w:val="22"/>
          <w:szCs w:val="22"/>
        </w:rPr>
        <w:t xml:space="preserve"> incentives for incorporating public benefits, including affordable </w:t>
      </w:r>
      <w:r w:rsidRPr="00D25F1D">
        <w:rPr>
          <w:rFonts w:asciiTheme="minorHAnsi" w:hAnsiTheme="minorHAnsi"/>
          <w:sz w:val="22"/>
          <w:szCs w:val="22"/>
        </w:rPr>
        <w:t>housing.  As previously mentioned, there is a near-absence of developable vacant land that is zoned to permit multi-family housing, even two-family dwellings.  Actual development of multi-family housing now generally occurs through redevelopment of already developed sites, rezoning by Town Meeting, or</w:t>
      </w:r>
      <w:r>
        <w:rPr>
          <w:rFonts w:asciiTheme="minorHAnsi" w:hAnsiTheme="minorHAnsi"/>
          <w:sz w:val="22"/>
          <w:szCs w:val="22"/>
        </w:rPr>
        <w:t>, in the past,</w:t>
      </w:r>
      <w:r w:rsidRPr="00D25F1D">
        <w:rPr>
          <w:rFonts w:asciiTheme="minorHAnsi" w:hAnsiTheme="minorHAnsi"/>
          <w:sz w:val="22"/>
          <w:szCs w:val="22"/>
        </w:rPr>
        <w:t xml:space="preserve"> a Chapter 40B override of applicable zoning.  The Overlay Districts mentioned above  have reduced these barriers </w:t>
      </w:r>
      <w:r>
        <w:rPr>
          <w:rFonts w:asciiTheme="minorHAnsi" w:hAnsiTheme="minorHAnsi"/>
          <w:sz w:val="22"/>
          <w:szCs w:val="22"/>
        </w:rPr>
        <w:t xml:space="preserve">somewhat </w:t>
      </w:r>
      <w:r w:rsidRPr="00D25F1D">
        <w:rPr>
          <w:rFonts w:asciiTheme="minorHAnsi" w:hAnsiTheme="minorHAnsi"/>
          <w:sz w:val="22"/>
          <w:szCs w:val="22"/>
        </w:rPr>
        <w:t xml:space="preserve">in </w:t>
      </w:r>
      <w:r>
        <w:rPr>
          <w:rFonts w:asciiTheme="minorHAnsi" w:hAnsiTheme="minorHAnsi"/>
          <w:sz w:val="22"/>
          <w:szCs w:val="22"/>
        </w:rPr>
        <w:t>certain</w:t>
      </w:r>
      <w:r w:rsidRPr="00D25F1D">
        <w:rPr>
          <w:rFonts w:asciiTheme="minorHAnsi" w:hAnsiTheme="minorHAnsi"/>
          <w:sz w:val="22"/>
          <w:szCs w:val="22"/>
        </w:rPr>
        <w:t xml:space="preserve"> areas. </w:t>
      </w:r>
    </w:p>
    <w:p w14:paraId="3023C64B" w14:textId="77777777" w:rsidR="002019EC" w:rsidRDefault="002019EC" w:rsidP="002019EC">
      <w:pPr>
        <w:pStyle w:val="CommentText"/>
        <w:tabs>
          <w:tab w:val="num" w:pos="720"/>
        </w:tabs>
        <w:spacing w:line="240" w:lineRule="auto"/>
        <w:ind w:left="720" w:hanging="360"/>
        <w:jc w:val="both"/>
        <w:rPr>
          <w:rFonts w:ascii="Calibri" w:hAnsi="Calibri"/>
          <w:szCs w:val="20"/>
        </w:rPr>
      </w:pPr>
      <w:r>
        <w:rPr>
          <w:rFonts w:asciiTheme="minorHAnsi" w:hAnsiTheme="minorHAnsi"/>
          <w:szCs w:val="22"/>
        </w:rPr>
        <w:tab/>
      </w:r>
    </w:p>
    <w:p w14:paraId="677AFF77" w14:textId="77777777" w:rsidR="002019EC" w:rsidRPr="00D63ED4" w:rsidRDefault="002019EC" w:rsidP="005D3FC9">
      <w:pPr>
        <w:pStyle w:val="Title"/>
        <w:numPr>
          <w:ilvl w:val="0"/>
          <w:numId w:val="49"/>
        </w:numPr>
        <w:jc w:val="both"/>
        <w:rPr>
          <w:rFonts w:asciiTheme="minorHAnsi" w:hAnsiTheme="minorHAnsi"/>
          <w:i/>
          <w:iCs/>
          <w:sz w:val="22"/>
          <w:szCs w:val="22"/>
        </w:rPr>
      </w:pPr>
      <w:r w:rsidRPr="00D63ED4">
        <w:rPr>
          <w:rFonts w:asciiTheme="minorHAnsi" w:hAnsiTheme="minorHAnsi"/>
          <w:i/>
          <w:iCs/>
          <w:sz w:val="22"/>
          <w:szCs w:val="22"/>
        </w:rPr>
        <w:t>Limited Availability of Subsidies</w:t>
      </w:r>
    </w:p>
    <w:p w14:paraId="74A7585C" w14:textId="77777777" w:rsidR="002019EC" w:rsidRPr="008B749D" w:rsidRDefault="002019EC" w:rsidP="002019EC">
      <w:pPr>
        <w:tabs>
          <w:tab w:val="left" w:pos="360"/>
        </w:tabs>
        <w:ind w:left="720"/>
        <w:jc w:val="both"/>
        <w:rPr>
          <w:rFonts w:asciiTheme="minorHAnsi" w:hAnsiTheme="minorHAnsi"/>
          <w:sz w:val="22"/>
          <w:szCs w:val="22"/>
        </w:rPr>
      </w:pPr>
      <w:r w:rsidRPr="008B749D">
        <w:rPr>
          <w:rFonts w:asciiTheme="minorHAnsi" w:hAnsiTheme="minorHAnsi"/>
          <w:sz w:val="22"/>
          <w:szCs w:val="22"/>
        </w:rPr>
        <w:t>Financial resources to subsidize affordable housing preservation and production as well as rental assistance have suffered budget cuts over the years making funding more limited and extremely competitive.  Communities are finding it increasingly challenging to obtain necessary funding for programs and development projects and must be strategic in leveraging limited local resources. Because of substantial</w:t>
      </w:r>
      <w:r>
        <w:rPr>
          <w:rFonts w:asciiTheme="minorHAnsi" w:hAnsiTheme="minorHAnsi"/>
          <w:sz w:val="22"/>
          <w:szCs w:val="22"/>
        </w:rPr>
        <w:t xml:space="preserve"> and growing</w:t>
      </w:r>
      <w:r w:rsidRPr="008B749D">
        <w:rPr>
          <w:rFonts w:asciiTheme="minorHAnsi" w:hAnsiTheme="minorHAnsi"/>
          <w:sz w:val="22"/>
          <w:szCs w:val="22"/>
        </w:rPr>
        <w:t xml:space="preserve"> affordability gaps, affordable housing initiatives are likely to require </w:t>
      </w:r>
      <w:r>
        <w:rPr>
          <w:rFonts w:asciiTheme="minorHAnsi" w:hAnsiTheme="minorHAnsi"/>
          <w:sz w:val="22"/>
          <w:szCs w:val="22"/>
        </w:rPr>
        <w:t xml:space="preserve">layers of public and </w:t>
      </w:r>
      <w:r w:rsidRPr="008B749D">
        <w:rPr>
          <w:rFonts w:asciiTheme="minorHAnsi" w:hAnsiTheme="minorHAnsi"/>
          <w:sz w:val="22"/>
          <w:szCs w:val="22"/>
        </w:rPr>
        <w:t xml:space="preserve">private investment.  </w:t>
      </w:r>
    </w:p>
    <w:p w14:paraId="52F5C359" w14:textId="77777777" w:rsidR="002019EC" w:rsidRPr="008B749D" w:rsidRDefault="002019EC" w:rsidP="002019EC">
      <w:pPr>
        <w:tabs>
          <w:tab w:val="left" w:pos="360"/>
        </w:tabs>
        <w:ind w:left="720"/>
        <w:jc w:val="both"/>
        <w:rPr>
          <w:rFonts w:asciiTheme="minorHAnsi" w:hAnsiTheme="minorHAnsi"/>
          <w:sz w:val="22"/>
          <w:szCs w:val="22"/>
        </w:rPr>
      </w:pPr>
    </w:p>
    <w:p w14:paraId="395405F9" w14:textId="77777777" w:rsidR="002019EC" w:rsidRPr="008B749D" w:rsidRDefault="002019EC" w:rsidP="002019EC">
      <w:pPr>
        <w:tabs>
          <w:tab w:val="left" w:pos="360"/>
        </w:tabs>
        <w:ind w:left="720"/>
        <w:jc w:val="both"/>
        <w:rPr>
          <w:rFonts w:asciiTheme="minorHAnsi" w:hAnsiTheme="minorHAnsi"/>
          <w:sz w:val="22"/>
          <w:szCs w:val="22"/>
        </w:rPr>
      </w:pPr>
      <w:r w:rsidRPr="008B749D">
        <w:rPr>
          <w:rFonts w:asciiTheme="minorHAnsi" w:hAnsiTheme="minorHAnsi"/>
          <w:sz w:val="22"/>
          <w:szCs w:val="22"/>
        </w:rPr>
        <w:t xml:space="preserve">Needham approved the Community Preservation Act (CPA) in November 2004, which has been a very important resource for supporting affordable housing efforts.  Over the years the Town has </w:t>
      </w:r>
      <w:r>
        <w:rPr>
          <w:rFonts w:asciiTheme="minorHAnsi" w:hAnsiTheme="minorHAnsi"/>
          <w:sz w:val="22"/>
          <w:szCs w:val="22"/>
        </w:rPr>
        <w:t xml:space="preserve">committed </w:t>
      </w:r>
      <w:r w:rsidRPr="008B749D">
        <w:rPr>
          <w:rFonts w:asciiTheme="minorHAnsi" w:hAnsiTheme="minorHAnsi"/>
          <w:sz w:val="22"/>
          <w:szCs w:val="22"/>
        </w:rPr>
        <w:t>about $1.</w:t>
      </w:r>
      <w:r>
        <w:rPr>
          <w:rFonts w:asciiTheme="minorHAnsi" w:hAnsiTheme="minorHAnsi"/>
          <w:sz w:val="22"/>
          <w:szCs w:val="22"/>
        </w:rPr>
        <w:t>6</w:t>
      </w:r>
      <w:r w:rsidRPr="008B749D">
        <w:rPr>
          <w:rFonts w:asciiTheme="minorHAnsi" w:hAnsiTheme="minorHAnsi"/>
          <w:sz w:val="22"/>
          <w:szCs w:val="22"/>
        </w:rPr>
        <w:t xml:space="preserve"> million of its CPA funds on housing initiatives including:</w:t>
      </w:r>
    </w:p>
    <w:p w14:paraId="6775F6B9" w14:textId="77777777" w:rsidR="002019EC" w:rsidRPr="008B749D" w:rsidRDefault="002019EC" w:rsidP="002019EC">
      <w:pPr>
        <w:tabs>
          <w:tab w:val="left" w:pos="360"/>
        </w:tabs>
        <w:ind w:left="720" w:right="-720"/>
        <w:jc w:val="both"/>
        <w:rPr>
          <w:rFonts w:asciiTheme="minorHAnsi" w:hAnsiTheme="minorHAnsi"/>
          <w:sz w:val="22"/>
          <w:szCs w:val="22"/>
        </w:rPr>
      </w:pPr>
    </w:p>
    <w:p w14:paraId="33870C2C" w14:textId="77777777" w:rsidR="002019EC" w:rsidRPr="004A78FF" w:rsidRDefault="002019EC" w:rsidP="005D3FC9">
      <w:pPr>
        <w:pStyle w:val="CommentText"/>
        <w:numPr>
          <w:ilvl w:val="1"/>
          <w:numId w:val="2"/>
        </w:numPr>
        <w:tabs>
          <w:tab w:val="clear" w:pos="2160"/>
          <w:tab w:val="num" w:pos="1440"/>
        </w:tabs>
        <w:spacing w:line="240" w:lineRule="auto"/>
        <w:ind w:left="1440"/>
        <w:jc w:val="both"/>
        <w:rPr>
          <w:rFonts w:asciiTheme="minorHAnsi" w:hAnsiTheme="minorHAnsi"/>
          <w:szCs w:val="22"/>
        </w:rPr>
      </w:pPr>
      <w:r>
        <w:rPr>
          <w:rFonts w:asciiTheme="minorHAnsi" w:hAnsiTheme="minorHAnsi"/>
          <w:szCs w:val="22"/>
        </w:rPr>
        <w:t xml:space="preserve">$120,000 in recent funding to support an Emergency Rental Assistance Program </w:t>
      </w:r>
    </w:p>
    <w:p w14:paraId="5EEABC37" w14:textId="77777777" w:rsidR="002019EC" w:rsidRDefault="002019EC" w:rsidP="005D3FC9">
      <w:pPr>
        <w:pStyle w:val="CommentText"/>
        <w:numPr>
          <w:ilvl w:val="1"/>
          <w:numId w:val="2"/>
        </w:numPr>
        <w:tabs>
          <w:tab w:val="clear" w:pos="2160"/>
          <w:tab w:val="num" w:pos="1440"/>
        </w:tabs>
        <w:spacing w:line="240" w:lineRule="auto"/>
        <w:ind w:left="1440"/>
        <w:jc w:val="both"/>
        <w:rPr>
          <w:rFonts w:asciiTheme="minorHAnsi" w:hAnsiTheme="minorHAnsi"/>
          <w:szCs w:val="22"/>
        </w:rPr>
      </w:pPr>
      <w:r w:rsidRPr="008B749D">
        <w:rPr>
          <w:rFonts w:asciiTheme="minorHAnsi" w:hAnsiTheme="minorHAnsi"/>
          <w:bCs/>
          <w:szCs w:val="22"/>
        </w:rPr>
        <w:t xml:space="preserve">$860,500 for four </w:t>
      </w:r>
      <w:r w:rsidRPr="008B749D">
        <w:rPr>
          <w:rFonts w:asciiTheme="minorHAnsi" w:hAnsiTheme="minorHAnsi"/>
          <w:szCs w:val="22"/>
        </w:rPr>
        <w:t>grants to the Needham Housing Authority, three for the High Rock Estates project and another for a feasibility study for redeveloping NHA property.</w:t>
      </w:r>
      <w:r>
        <w:rPr>
          <w:rFonts w:asciiTheme="minorHAnsi" w:hAnsiTheme="minorHAnsi"/>
          <w:szCs w:val="22"/>
        </w:rPr>
        <w:t xml:space="preserve">  </w:t>
      </w:r>
    </w:p>
    <w:p w14:paraId="6E4367B7" w14:textId="6FA35D72" w:rsidR="002019EC" w:rsidRPr="008B749D" w:rsidRDefault="002019EC" w:rsidP="005D3FC9">
      <w:pPr>
        <w:pStyle w:val="CommentText"/>
        <w:numPr>
          <w:ilvl w:val="1"/>
          <w:numId w:val="2"/>
        </w:numPr>
        <w:tabs>
          <w:tab w:val="clear" w:pos="2160"/>
          <w:tab w:val="num" w:pos="1440"/>
        </w:tabs>
        <w:spacing w:line="240" w:lineRule="auto"/>
        <w:ind w:left="1440"/>
        <w:jc w:val="both"/>
        <w:rPr>
          <w:rFonts w:asciiTheme="minorHAnsi" w:hAnsiTheme="minorHAnsi"/>
          <w:szCs w:val="22"/>
        </w:rPr>
      </w:pPr>
      <w:r>
        <w:rPr>
          <w:rFonts w:asciiTheme="minorHAnsi" w:hAnsiTheme="minorHAnsi"/>
          <w:szCs w:val="22"/>
        </w:rPr>
        <w:t xml:space="preserve">Another $150,000 grant to NHA for development consulting services which </w:t>
      </w:r>
      <w:r w:rsidR="005A3637">
        <w:rPr>
          <w:rFonts w:asciiTheme="minorHAnsi" w:hAnsiTheme="minorHAnsi"/>
          <w:szCs w:val="22"/>
        </w:rPr>
        <w:t xml:space="preserve">enabled NHA to bring on the services of the Cambridge Housing Authority to help it </w:t>
      </w:r>
      <w:r w:rsidR="00242E0E">
        <w:rPr>
          <w:rFonts w:asciiTheme="minorHAnsi" w:hAnsiTheme="minorHAnsi"/>
          <w:szCs w:val="22"/>
        </w:rPr>
        <w:t xml:space="preserve">determine how best to </w:t>
      </w:r>
      <w:r w:rsidR="005A3637">
        <w:rPr>
          <w:rFonts w:asciiTheme="minorHAnsi" w:hAnsiTheme="minorHAnsi"/>
          <w:szCs w:val="22"/>
        </w:rPr>
        <w:t>refinance much needed property improvements.</w:t>
      </w:r>
      <w:r>
        <w:rPr>
          <w:rFonts w:asciiTheme="minorHAnsi" w:hAnsiTheme="minorHAnsi"/>
          <w:szCs w:val="22"/>
        </w:rPr>
        <w:t xml:space="preserve"> </w:t>
      </w:r>
    </w:p>
    <w:p w14:paraId="2AEEBA3D" w14:textId="77777777" w:rsidR="002019EC" w:rsidRPr="008B749D" w:rsidRDefault="002019EC" w:rsidP="005D3FC9">
      <w:pPr>
        <w:pStyle w:val="CommentText"/>
        <w:numPr>
          <w:ilvl w:val="1"/>
          <w:numId w:val="2"/>
        </w:numPr>
        <w:tabs>
          <w:tab w:val="clear" w:pos="2160"/>
          <w:tab w:val="num" w:pos="1440"/>
        </w:tabs>
        <w:spacing w:line="240" w:lineRule="auto"/>
        <w:ind w:left="1440"/>
        <w:jc w:val="both"/>
        <w:rPr>
          <w:rFonts w:asciiTheme="minorHAnsi" w:hAnsiTheme="minorHAnsi"/>
          <w:szCs w:val="22"/>
        </w:rPr>
      </w:pPr>
      <w:r w:rsidRPr="008B749D">
        <w:rPr>
          <w:rFonts w:asciiTheme="minorHAnsi" w:hAnsiTheme="minorHAnsi"/>
          <w:szCs w:val="22"/>
        </w:rPr>
        <w:t>$370,000 for the Charles River Center (formerly the Charles River ARC) for four grants including three grants for existing group homes and another for a new group residence for five people with significant physical and cognitive disabilities.</w:t>
      </w:r>
    </w:p>
    <w:p w14:paraId="236B7939" w14:textId="77777777" w:rsidR="002019EC" w:rsidRPr="008B749D" w:rsidRDefault="002019EC" w:rsidP="005D3FC9">
      <w:pPr>
        <w:pStyle w:val="CommentText"/>
        <w:numPr>
          <w:ilvl w:val="1"/>
          <w:numId w:val="2"/>
        </w:numPr>
        <w:tabs>
          <w:tab w:val="clear" w:pos="2160"/>
          <w:tab w:val="num" w:pos="1440"/>
        </w:tabs>
        <w:spacing w:line="240" w:lineRule="auto"/>
        <w:ind w:left="1440"/>
        <w:jc w:val="both"/>
        <w:rPr>
          <w:rFonts w:asciiTheme="minorHAnsi" w:hAnsiTheme="minorHAnsi"/>
          <w:szCs w:val="22"/>
        </w:rPr>
      </w:pPr>
      <w:r w:rsidRPr="008B749D">
        <w:rPr>
          <w:rFonts w:asciiTheme="minorHAnsi" w:hAnsiTheme="minorHAnsi"/>
          <w:szCs w:val="22"/>
        </w:rPr>
        <w:t>$25,</w:t>
      </w:r>
      <w:r w:rsidRPr="00C27BFD">
        <w:rPr>
          <w:rFonts w:asciiTheme="minorHAnsi" w:hAnsiTheme="minorHAnsi"/>
          <w:szCs w:val="22"/>
        </w:rPr>
        <w:t>000 for a housing consultant to prepare Chapter 40B guidelines and additional funding tow</w:t>
      </w:r>
      <w:r>
        <w:rPr>
          <w:rFonts w:asciiTheme="minorHAnsi" w:hAnsiTheme="minorHAnsi"/>
          <w:szCs w:val="22"/>
        </w:rPr>
        <w:t>ards a portion of the part-time Housing Specialist position over three years</w:t>
      </w:r>
      <w:r w:rsidRPr="008B749D">
        <w:rPr>
          <w:rFonts w:asciiTheme="minorHAnsi" w:hAnsiTheme="minorHAnsi"/>
          <w:szCs w:val="22"/>
        </w:rPr>
        <w:t>.</w:t>
      </w:r>
    </w:p>
    <w:p w14:paraId="6D1648FC" w14:textId="77777777" w:rsidR="002019EC" w:rsidRDefault="002019EC" w:rsidP="002019EC">
      <w:pPr>
        <w:tabs>
          <w:tab w:val="left" w:pos="360"/>
        </w:tabs>
        <w:ind w:left="720"/>
        <w:jc w:val="both"/>
        <w:rPr>
          <w:rFonts w:asciiTheme="minorHAnsi" w:hAnsiTheme="minorHAnsi"/>
          <w:sz w:val="22"/>
          <w:szCs w:val="22"/>
        </w:rPr>
      </w:pPr>
    </w:p>
    <w:p w14:paraId="0AFADE1E" w14:textId="77777777" w:rsidR="002019EC" w:rsidRDefault="002019EC" w:rsidP="002019EC">
      <w:pPr>
        <w:tabs>
          <w:tab w:val="left" w:pos="360"/>
        </w:tabs>
        <w:ind w:left="720"/>
        <w:jc w:val="both"/>
        <w:rPr>
          <w:rFonts w:asciiTheme="minorHAnsi" w:hAnsiTheme="minorHAnsi"/>
          <w:sz w:val="22"/>
          <w:szCs w:val="22"/>
        </w:rPr>
      </w:pPr>
      <w:r>
        <w:rPr>
          <w:rFonts w:asciiTheme="minorHAnsi" w:hAnsiTheme="minorHAnsi"/>
          <w:sz w:val="22"/>
          <w:szCs w:val="22"/>
        </w:rPr>
        <w:t>Most of the CPA reserve funds have been set-aside to support a future NHA project to redevelop existing public housing.  It should be noted that while a minimum of 10% of the Town’s annual CPA funding must be reserved for community housing, communities can dedicate  a higher percentage of CPA funds for housing.  The balance in the CPA Community Housing reserve as of December 31, 2020 is $2,459,763</w:t>
      </w:r>
    </w:p>
    <w:p w14:paraId="5527CE08" w14:textId="77777777" w:rsidR="002019EC" w:rsidRPr="008B749D" w:rsidRDefault="002019EC" w:rsidP="002019EC">
      <w:pPr>
        <w:tabs>
          <w:tab w:val="left" w:pos="360"/>
        </w:tabs>
        <w:ind w:left="720"/>
        <w:jc w:val="both"/>
        <w:rPr>
          <w:rFonts w:asciiTheme="minorHAnsi" w:hAnsiTheme="minorHAnsi"/>
          <w:sz w:val="22"/>
          <w:szCs w:val="22"/>
        </w:rPr>
      </w:pPr>
    </w:p>
    <w:p w14:paraId="7317FE64" w14:textId="1AB6B12A" w:rsidR="002019EC" w:rsidRPr="008B749D" w:rsidRDefault="002019EC" w:rsidP="002019EC">
      <w:pPr>
        <w:tabs>
          <w:tab w:val="left" w:pos="0"/>
        </w:tabs>
        <w:ind w:left="720"/>
        <w:jc w:val="both"/>
        <w:rPr>
          <w:rFonts w:asciiTheme="minorHAnsi" w:hAnsiTheme="minorHAnsi"/>
          <w:sz w:val="22"/>
          <w:szCs w:val="22"/>
        </w:rPr>
      </w:pPr>
      <w:r w:rsidRPr="008B749D">
        <w:rPr>
          <w:rFonts w:asciiTheme="minorHAnsi" w:hAnsiTheme="minorHAnsi"/>
          <w:sz w:val="22"/>
          <w:szCs w:val="22"/>
        </w:rPr>
        <w:t>The Town also joined the Metro West HOME Consortium in 2008, which has enabled it to secure HOME Program funding to address local affordable housing needs.  Funding has fluctuated over the years from an allocation of $57,521 in fiscal year 2009, to $67,387 by 2011, down to $36,149</w:t>
      </w:r>
      <w:r>
        <w:rPr>
          <w:rFonts w:asciiTheme="minorHAnsi" w:hAnsiTheme="minorHAnsi"/>
          <w:sz w:val="22"/>
          <w:szCs w:val="22"/>
        </w:rPr>
        <w:t xml:space="preserve"> in 2013, and then as low as $27,455 and $27,750 in 2020 and 2021, respective</w:t>
      </w:r>
      <w:r w:rsidR="004E2FEE">
        <w:rPr>
          <w:rFonts w:asciiTheme="minorHAnsi" w:hAnsiTheme="minorHAnsi"/>
          <w:sz w:val="22"/>
          <w:szCs w:val="22"/>
        </w:rPr>
        <w:t>l</w:t>
      </w:r>
      <w:r>
        <w:rPr>
          <w:rFonts w:asciiTheme="minorHAnsi" w:hAnsiTheme="minorHAnsi"/>
          <w:sz w:val="22"/>
          <w:szCs w:val="22"/>
        </w:rPr>
        <w:t>y</w:t>
      </w:r>
      <w:r w:rsidRPr="008B749D">
        <w:rPr>
          <w:rFonts w:asciiTheme="minorHAnsi" w:hAnsiTheme="minorHAnsi"/>
          <w:sz w:val="22"/>
          <w:szCs w:val="22"/>
        </w:rPr>
        <w:t xml:space="preserve">.  </w:t>
      </w:r>
      <w:r>
        <w:rPr>
          <w:rFonts w:asciiTheme="minorHAnsi" w:hAnsiTheme="minorHAnsi"/>
          <w:sz w:val="22"/>
          <w:szCs w:val="22"/>
        </w:rPr>
        <w:t>T</w:t>
      </w:r>
      <w:r w:rsidRPr="008B749D">
        <w:rPr>
          <w:rFonts w:asciiTheme="minorHAnsi" w:hAnsiTheme="minorHAnsi"/>
          <w:sz w:val="22"/>
          <w:szCs w:val="22"/>
        </w:rPr>
        <w:t xml:space="preserve">he Town has spent </w:t>
      </w:r>
      <w:r>
        <w:rPr>
          <w:rFonts w:asciiTheme="minorHAnsi" w:hAnsiTheme="minorHAnsi"/>
          <w:sz w:val="22"/>
          <w:szCs w:val="22"/>
        </w:rPr>
        <w:t xml:space="preserve">$280,000 in HOME funds for </w:t>
      </w:r>
      <w:r w:rsidRPr="008B749D">
        <w:rPr>
          <w:rFonts w:asciiTheme="minorHAnsi" w:hAnsiTheme="minorHAnsi"/>
          <w:sz w:val="22"/>
          <w:szCs w:val="22"/>
        </w:rPr>
        <w:t xml:space="preserve">the Charles River </w:t>
      </w:r>
      <w:r>
        <w:rPr>
          <w:rFonts w:asciiTheme="minorHAnsi" w:hAnsiTheme="minorHAnsi"/>
          <w:sz w:val="22"/>
          <w:szCs w:val="22"/>
        </w:rPr>
        <w:t xml:space="preserve">Center’s </w:t>
      </w:r>
      <w:r w:rsidRPr="008B749D">
        <w:rPr>
          <w:rFonts w:asciiTheme="minorHAnsi" w:hAnsiTheme="minorHAnsi"/>
          <w:sz w:val="22"/>
          <w:szCs w:val="22"/>
        </w:rPr>
        <w:t>group residence at 1285 South Street</w:t>
      </w:r>
      <w:r>
        <w:rPr>
          <w:rFonts w:asciiTheme="minorHAnsi" w:hAnsiTheme="minorHAnsi"/>
          <w:sz w:val="22"/>
          <w:szCs w:val="22"/>
        </w:rPr>
        <w:t xml:space="preserve"> in addition to annual operating/administrative funds</w:t>
      </w:r>
      <w:r w:rsidRPr="008B749D">
        <w:rPr>
          <w:rFonts w:asciiTheme="minorHAnsi" w:hAnsiTheme="minorHAnsi"/>
          <w:sz w:val="22"/>
          <w:szCs w:val="22"/>
        </w:rPr>
        <w:t xml:space="preserve">.   </w:t>
      </w:r>
    </w:p>
    <w:p w14:paraId="7A873B56" w14:textId="77777777" w:rsidR="002019EC" w:rsidRDefault="002019EC" w:rsidP="002019EC">
      <w:pPr>
        <w:tabs>
          <w:tab w:val="left" w:pos="0"/>
          <w:tab w:val="num" w:pos="720"/>
        </w:tabs>
        <w:jc w:val="both"/>
        <w:rPr>
          <w:rFonts w:asciiTheme="minorHAnsi" w:hAnsiTheme="minorHAnsi"/>
          <w:sz w:val="22"/>
          <w:szCs w:val="22"/>
        </w:rPr>
      </w:pPr>
    </w:p>
    <w:p w14:paraId="30FC3992" w14:textId="77777777" w:rsidR="002019EC" w:rsidRPr="00D63ED4" w:rsidRDefault="002019EC" w:rsidP="005D3FC9">
      <w:pPr>
        <w:pStyle w:val="Title"/>
        <w:numPr>
          <w:ilvl w:val="0"/>
          <w:numId w:val="50"/>
        </w:numPr>
        <w:tabs>
          <w:tab w:val="left" w:pos="0"/>
        </w:tabs>
        <w:jc w:val="both"/>
        <w:rPr>
          <w:rFonts w:asciiTheme="minorHAnsi" w:hAnsiTheme="minorHAnsi"/>
          <w:i/>
          <w:iCs/>
          <w:sz w:val="22"/>
          <w:szCs w:val="22"/>
        </w:rPr>
      </w:pPr>
      <w:r w:rsidRPr="00D63ED4">
        <w:rPr>
          <w:rFonts w:asciiTheme="minorHAnsi" w:hAnsiTheme="minorHAnsi"/>
          <w:i/>
          <w:iCs/>
          <w:sz w:val="22"/>
          <w:szCs w:val="22"/>
        </w:rPr>
        <w:t>Community Perceptions</w:t>
      </w:r>
    </w:p>
    <w:p w14:paraId="57395C19" w14:textId="77777777" w:rsidR="002019EC" w:rsidRPr="008B749D" w:rsidRDefault="002019EC" w:rsidP="002019EC">
      <w:pPr>
        <w:tabs>
          <w:tab w:val="left" w:pos="720"/>
        </w:tabs>
        <w:ind w:left="720"/>
        <w:jc w:val="both"/>
        <w:rPr>
          <w:rFonts w:asciiTheme="minorHAnsi" w:hAnsiTheme="minorHAnsi"/>
          <w:sz w:val="22"/>
          <w:szCs w:val="22"/>
        </w:rPr>
      </w:pPr>
      <w:r w:rsidRPr="008B749D">
        <w:rPr>
          <w:rFonts w:asciiTheme="minorHAnsi" w:hAnsiTheme="minorHAnsi"/>
          <w:sz w:val="22"/>
          <w:szCs w:val="22"/>
        </w:rPr>
        <w:t>Residents in most communities are concerned about the impacts that any new development will have on local services and the quality of life</w:t>
      </w:r>
      <w:r>
        <w:rPr>
          <w:rFonts w:asciiTheme="minorHAnsi" w:hAnsiTheme="minorHAnsi"/>
          <w:sz w:val="22"/>
          <w:szCs w:val="22"/>
        </w:rPr>
        <w:t xml:space="preserve">. Some residents may </w:t>
      </w:r>
      <w:r w:rsidRPr="008B749D">
        <w:rPr>
          <w:rFonts w:asciiTheme="minorHAnsi" w:hAnsiTheme="minorHAnsi"/>
          <w:sz w:val="22"/>
          <w:szCs w:val="22"/>
        </w:rPr>
        <w:t>have negative impressions of affordable housing in general</w:t>
      </w:r>
      <w:r>
        <w:rPr>
          <w:rFonts w:asciiTheme="minorHAnsi" w:hAnsiTheme="minorHAnsi"/>
          <w:sz w:val="22"/>
          <w:szCs w:val="22"/>
        </w:rPr>
        <w:t xml:space="preserve"> or question whether it is even needed in the community</w:t>
      </w:r>
      <w:r w:rsidRPr="008B749D">
        <w:rPr>
          <w:rFonts w:asciiTheme="minorHAnsi" w:hAnsiTheme="minorHAnsi"/>
          <w:sz w:val="22"/>
          <w:szCs w:val="22"/>
        </w:rPr>
        <w:t xml:space="preserve">.  Local opposition to new affordable developments has become more the norm than the exception.  </w:t>
      </w:r>
    </w:p>
    <w:p w14:paraId="4E8EFE8D" w14:textId="77777777" w:rsidR="002019EC" w:rsidRPr="008B749D" w:rsidRDefault="002019EC" w:rsidP="002019EC">
      <w:pPr>
        <w:tabs>
          <w:tab w:val="left" w:pos="720"/>
        </w:tabs>
        <w:ind w:left="720"/>
        <w:jc w:val="both"/>
        <w:rPr>
          <w:rFonts w:asciiTheme="minorHAnsi" w:hAnsiTheme="minorHAnsi"/>
          <w:sz w:val="22"/>
          <w:szCs w:val="22"/>
        </w:rPr>
      </w:pPr>
    </w:p>
    <w:p w14:paraId="5EC84E66" w14:textId="77777777" w:rsidR="002019EC" w:rsidRPr="008B749D" w:rsidRDefault="002019EC" w:rsidP="002019EC">
      <w:pPr>
        <w:tabs>
          <w:tab w:val="left" w:pos="720"/>
        </w:tabs>
        <w:ind w:left="720"/>
        <w:jc w:val="both"/>
        <w:rPr>
          <w:rFonts w:asciiTheme="minorHAnsi" w:hAnsiTheme="minorHAnsi"/>
          <w:sz w:val="22"/>
          <w:szCs w:val="22"/>
        </w:rPr>
      </w:pPr>
      <w:r>
        <w:rPr>
          <w:rFonts w:asciiTheme="minorHAnsi" w:hAnsiTheme="minorHAnsi"/>
          <w:sz w:val="22"/>
          <w:szCs w:val="22"/>
        </w:rPr>
        <w:t>On the other hand, national events like the Black Lives Matter movement and the current pandemic have been catalytic in promoting greater community interest and discussion regarding housing issues, including the need for more affordable housing in the community</w:t>
      </w:r>
      <w:r w:rsidRPr="008B749D">
        <w:rPr>
          <w:rFonts w:asciiTheme="minorHAnsi" w:hAnsiTheme="minorHAnsi"/>
          <w:sz w:val="22"/>
          <w:szCs w:val="22"/>
        </w:rPr>
        <w:t xml:space="preserve">.  </w:t>
      </w:r>
    </w:p>
    <w:p w14:paraId="45747D77" w14:textId="77777777" w:rsidR="002019EC" w:rsidRDefault="002019EC" w:rsidP="002019EC">
      <w:pPr>
        <w:pStyle w:val="Title"/>
        <w:tabs>
          <w:tab w:val="left" w:pos="720"/>
        </w:tabs>
        <w:ind w:left="720"/>
        <w:jc w:val="both"/>
        <w:rPr>
          <w:rFonts w:asciiTheme="minorHAnsi" w:hAnsiTheme="minorHAnsi"/>
          <w:b w:val="0"/>
          <w:bCs w:val="0"/>
          <w:i/>
          <w:iCs/>
          <w:sz w:val="22"/>
          <w:szCs w:val="22"/>
        </w:rPr>
      </w:pPr>
    </w:p>
    <w:p w14:paraId="20FE12FA" w14:textId="77777777" w:rsidR="002019EC" w:rsidRPr="00C27BFD" w:rsidRDefault="002019EC" w:rsidP="005D3FC9">
      <w:pPr>
        <w:pStyle w:val="BodyTextIndent"/>
        <w:numPr>
          <w:ilvl w:val="0"/>
          <w:numId w:val="50"/>
        </w:numPr>
        <w:spacing w:after="0"/>
        <w:jc w:val="both"/>
        <w:rPr>
          <w:rFonts w:asciiTheme="minorHAnsi" w:hAnsiTheme="minorHAnsi"/>
          <w:b/>
          <w:bCs/>
          <w:i/>
          <w:iCs/>
          <w:sz w:val="22"/>
          <w:szCs w:val="22"/>
        </w:rPr>
      </w:pPr>
      <w:r w:rsidRPr="00D63ED4">
        <w:rPr>
          <w:rFonts w:asciiTheme="minorHAnsi" w:hAnsiTheme="minorHAnsi"/>
          <w:b/>
          <w:bCs/>
          <w:i/>
          <w:iCs/>
          <w:sz w:val="22"/>
          <w:szCs w:val="22"/>
        </w:rPr>
        <w:t>Infrastructure Constraints</w:t>
      </w:r>
    </w:p>
    <w:p w14:paraId="4E2AC501" w14:textId="77777777" w:rsidR="002019EC" w:rsidRPr="00C27BFD" w:rsidRDefault="002019EC" w:rsidP="002019EC">
      <w:pPr>
        <w:pStyle w:val="NormalWeb"/>
        <w:shd w:val="clear" w:color="auto" w:fill="FFFFFF"/>
        <w:spacing w:after="0" w:line="280" w:lineRule="atLeast"/>
        <w:ind w:left="720"/>
        <w:jc w:val="both"/>
        <w:rPr>
          <w:rFonts w:asciiTheme="minorHAnsi" w:hAnsiTheme="minorHAnsi"/>
          <w:sz w:val="22"/>
          <w:szCs w:val="22"/>
        </w:rPr>
      </w:pPr>
      <w:r w:rsidRPr="00C27BFD">
        <w:rPr>
          <w:rFonts w:asciiTheme="minorHAnsi" w:hAnsiTheme="minorHAnsi"/>
          <w:sz w:val="22"/>
          <w:szCs w:val="22"/>
        </w:rPr>
        <w:t>As a general matter, the Town’s infrastructure is likely sufficient to accommodate proposed incremental growth related to affordable housing development.  An exception is potential public education costs, particularly if school enrollments warrant construction of additional facilities.  A high percentage of the Town’s tax levy already is used directly or indirectly for school operations and services, existing schools are at or over capacity, and land for new facilities is at a premium.</w:t>
      </w:r>
    </w:p>
    <w:p w14:paraId="59D49C71" w14:textId="77777777" w:rsidR="002019EC" w:rsidRPr="00C27BFD" w:rsidRDefault="002019EC" w:rsidP="002019EC">
      <w:pPr>
        <w:pStyle w:val="NormalWeb"/>
        <w:shd w:val="clear" w:color="auto" w:fill="FFFFFF"/>
        <w:spacing w:after="0" w:line="280" w:lineRule="atLeast"/>
        <w:ind w:left="720"/>
        <w:jc w:val="both"/>
        <w:rPr>
          <w:rFonts w:asciiTheme="minorHAnsi" w:hAnsiTheme="minorHAnsi"/>
          <w:sz w:val="22"/>
          <w:szCs w:val="22"/>
        </w:rPr>
      </w:pPr>
    </w:p>
    <w:p w14:paraId="4C82762A" w14:textId="77777777" w:rsidR="002019EC" w:rsidRPr="008B749D" w:rsidRDefault="002019EC" w:rsidP="002019EC">
      <w:pPr>
        <w:ind w:left="720"/>
        <w:jc w:val="both"/>
        <w:rPr>
          <w:rFonts w:asciiTheme="minorHAnsi" w:hAnsiTheme="minorHAnsi"/>
          <w:sz w:val="22"/>
          <w:szCs w:val="22"/>
        </w:rPr>
      </w:pPr>
      <w:r w:rsidRPr="00C27BFD">
        <w:rPr>
          <w:rFonts w:asciiTheme="minorHAnsi" w:hAnsiTheme="minorHAnsi"/>
          <w:sz w:val="22"/>
          <w:szCs w:val="22"/>
        </w:rPr>
        <w:lastRenderedPageBreak/>
        <w:t xml:space="preserve">There are a number of areas of town that are not served by Town sewer services, most in the outskirts near the Wellesley and Dover lines and comprising </w:t>
      </w:r>
      <w:r w:rsidRPr="008B749D">
        <w:rPr>
          <w:rFonts w:asciiTheme="minorHAnsi" w:hAnsiTheme="minorHAnsi"/>
          <w:sz w:val="22"/>
          <w:szCs w:val="22"/>
        </w:rPr>
        <w:t>not more than 10% of all Needham’s properties.  Most of these areas are part of the Town’s water protection zone.  There are also several pockets where gravity issues constrain the extension of such services.  A number of environmental concerns have arisen in these areas as some septic systems have failed and needed replace</w:t>
      </w:r>
      <w:r>
        <w:rPr>
          <w:rFonts w:asciiTheme="minorHAnsi" w:hAnsiTheme="minorHAnsi"/>
          <w:sz w:val="22"/>
          <w:szCs w:val="22"/>
        </w:rPr>
        <w:t>ment</w:t>
      </w:r>
      <w:r w:rsidRPr="008B749D">
        <w:rPr>
          <w:rFonts w:asciiTheme="minorHAnsi" w:hAnsiTheme="minorHAnsi"/>
          <w:sz w:val="22"/>
          <w:szCs w:val="22"/>
        </w:rPr>
        <w:t xml:space="preserve"> to protect local water sources.  The Town is aggressively encouraging the extension and connection to municipal sewer lines where possible.</w:t>
      </w:r>
    </w:p>
    <w:p w14:paraId="43FBFE4D" w14:textId="77777777" w:rsidR="002019EC" w:rsidRDefault="002019EC" w:rsidP="002019EC">
      <w:pPr>
        <w:pStyle w:val="BodyText"/>
        <w:tabs>
          <w:tab w:val="left" w:pos="0"/>
        </w:tabs>
        <w:spacing w:after="0"/>
        <w:jc w:val="both"/>
        <w:rPr>
          <w:rFonts w:ascii="Calibri" w:hAnsi="Calibri"/>
          <w:color w:val="FF0000"/>
          <w:sz w:val="22"/>
          <w:szCs w:val="22"/>
        </w:rPr>
        <w:sectPr w:rsidR="002019EC">
          <w:pgSz w:w="12240" w:h="15840"/>
          <w:pgMar w:top="1440" w:right="1440" w:bottom="1440" w:left="1440" w:header="720" w:footer="720" w:gutter="0"/>
          <w:cols w:space="720"/>
          <w:docGrid w:linePitch="360"/>
        </w:sectPr>
      </w:pPr>
    </w:p>
    <w:p w14:paraId="31B2D7D4" w14:textId="2F883EE6" w:rsidR="002019EC" w:rsidRPr="00AE1889" w:rsidRDefault="002019EC" w:rsidP="002019EC">
      <w:pPr>
        <w:jc w:val="center"/>
        <w:rPr>
          <w:rFonts w:asciiTheme="minorHAnsi" w:hAnsiTheme="minorHAnsi"/>
          <w:b/>
          <w:bCs/>
          <w:color w:val="0070C0"/>
          <w:sz w:val="28"/>
          <w:szCs w:val="28"/>
        </w:rPr>
      </w:pPr>
      <w:r w:rsidRPr="00AE1889">
        <w:rPr>
          <w:rFonts w:asciiTheme="minorHAnsi" w:hAnsiTheme="minorHAnsi"/>
          <w:b/>
          <w:bCs/>
          <w:color w:val="0070C0"/>
          <w:sz w:val="28"/>
          <w:szCs w:val="28"/>
        </w:rPr>
        <w:lastRenderedPageBreak/>
        <w:t>A</w:t>
      </w:r>
      <w:r w:rsidR="00DA339C">
        <w:rPr>
          <w:rFonts w:asciiTheme="minorHAnsi" w:hAnsiTheme="minorHAnsi"/>
          <w:b/>
          <w:bCs/>
          <w:color w:val="0070C0"/>
          <w:sz w:val="28"/>
          <w:szCs w:val="28"/>
        </w:rPr>
        <w:t>ttachment</w:t>
      </w:r>
      <w:r w:rsidRPr="00AE1889">
        <w:rPr>
          <w:rFonts w:asciiTheme="minorHAnsi" w:hAnsiTheme="minorHAnsi"/>
          <w:b/>
          <w:bCs/>
          <w:color w:val="0070C0"/>
          <w:sz w:val="28"/>
          <w:szCs w:val="28"/>
        </w:rPr>
        <w:t xml:space="preserve"> </w:t>
      </w:r>
      <w:r w:rsidR="003D46E6">
        <w:rPr>
          <w:rFonts w:asciiTheme="minorHAnsi" w:hAnsiTheme="minorHAnsi"/>
          <w:b/>
          <w:bCs/>
          <w:color w:val="0070C0"/>
          <w:sz w:val="28"/>
          <w:szCs w:val="28"/>
        </w:rPr>
        <w:t>1</w:t>
      </w:r>
    </w:p>
    <w:p w14:paraId="350E9D28" w14:textId="77777777" w:rsidR="002019EC" w:rsidRPr="00AE1889" w:rsidRDefault="002019EC" w:rsidP="002019EC">
      <w:pPr>
        <w:jc w:val="center"/>
        <w:rPr>
          <w:rFonts w:asciiTheme="minorHAnsi" w:hAnsiTheme="minorHAnsi"/>
          <w:b/>
          <w:bCs/>
          <w:color w:val="0070C0"/>
          <w:sz w:val="28"/>
          <w:szCs w:val="28"/>
        </w:rPr>
      </w:pPr>
      <w:r w:rsidRPr="00AE1889">
        <w:rPr>
          <w:rFonts w:asciiTheme="minorHAnsi" w:hAnsiTheme="minorHAnsi"/>
          <w:b/>
          <w:bCs/>
          <w:color w:val="0070C0"/>
          <w:sz w:val="28"/>
          <w:szCs w:val="28"/>
        </w:rPr>
        <w:t>Zoning Analysis Spreadsheet</w:t>
      </w:r>
    </w:p>
    <w:p w14:paraId="0CAFE9C4" w14:textId="77777777" w:rsidR="002019EC" w:rsidRPr="001D2F3C" w:rsidRDefault="002019EC" w:rsidP="002019EC">
      <w:pPr>
        <w:jc w:val="center"/>
        <w:rPr>
          <w:rFonts w:asciiTheme="minorHAnsi" w:hAnsiTheme="minorHAnsi"/>
          <w:b/>
          <w:bCs/>
          <w:color w:val="0070C0"/>
        </w:rPr>
      </w:pPr>
    </w:p>
    <w:p w14:paraId="53A7BCB3" w14:textId="77777777" w:rsidR="002019EC" w:rsidRPr="004974A2" w:rsidRDefault="002019EC" w:rsidP="002019EC">
      <w:pPr>
        <w:rPr>
          <w:rFonts w:asciiTheme="minorHAnsi" w:hAnsiTheme="minorHAnsi"/>
          <w:b/>
          <w:bCs/>
          <w:sz w:val="22"/>
          <w:szCs w:val="22"/>
        </w:rPr>
      </w:pPr>
      <w:r w:rsidRPr="004974A2">
        <w:rPr>
          <w:rFonts w:asciiTheme="minorHAnsi" w:hAnsiTheme="minorHAnsi"/>
          <w:b/>
          <w:bCs/>
          <w:sz w:val="22"/>
          <w:szCs w:val="22"/>
        </w:rPr>
        <w:t>Description of the File</w:t>
      </w:r>
    </w:p>
    <w:p w14:paraId="64FEF737" w14:textId="77777777" w:rsidR="002019EC" w:rsidRPr="004974A2" w:rsidRDefault="002019EC" w:rsidP="002019EC">
      <w:pPr>
        <w:jc w:val="both"/>
        <w:rPr>
          <w:rFonts w:asciiTheme="minorHAnsi" w:hAnsiTheme="minorHAnsi"/>
          <w:bCs/>
          <w:sz w:val="22"/>
          <w:szCs w:val="22"/>
        </w:rPr>
      </w:pPr>
      <w:r w:rsidRPr="004974A2">
        <w:rPr>
          <w:rFonts w:asciiTheme="minorHAnsi" w:hAnsiTheme="minorHAnsi"/>
          <w:bCs/>
          <w:sz w:val="22"/>
          <w:szCs w:val="22"/>
        </w:rPr>
        <w:t>This file lists all non-single-family zones in Needham as of Jan 2021, and the restrictions and conditions associated with building multi-family housing and mixed-use developments (i.e., developments that include multi-family housing with other uses such as retail stores or commercial offices).</w:t>
      </w:r>
    </w:p>
    <w:p w14:paraId="245EF12B" w14:textId="77777777" w:rsidR="002019EC" w:rsidRPr="004974A2" w:rsidRDefault="002019EC" w:rsidP="002019EC">
      <w:pPr>
        <w:jc w:val="both"/>
        <w:rPr>
          <w:rFonts w:asciiTheme="minorHAnsi" w:hAnsiTheme="minorHAnsi"/>
          <w:bCs/>
          <w:sz w:val="22"/>
          <w:szCs w:val="22"/>
        </w:rPr>
      </w:pPr>
    </w:p>
    <w:p w14:paraId="6956BF95" w14:textId="77777777" w:rsidR="002019EC" w:rsidRPr="004974A2" w:rsidRDefault="002019EC" w:rsidP="002019EC">
      <w:pPr>
        <w:jc w:val="both"/>
        <w:rPr>
          <w:rFonts w:asciiTheme="minorHAnsi" w:hAnsiTheme="minorHAnsi"/>
          <w:bCs/>
          <w:sz w:val="22"/>
          <w:szCs w:val="22"/>
        </w:rPr>
      </w:pPr>
      <w:r w:rsidRPr="004974A2">
        <w:rPr>
          <w:rFonts w:asciiTheme="minorHAnsi" w:hAnsiTheme="minorHAnsi"/>
          <w:bCs/>
          <w:sz w:val="22"/>
          <w:szCs w:val="22"/>
        </w:rPr>
        <w:t>This file lists where Affordable Housing is required as a percentage of multi-family housing units in a building or development and highlights districts where multi-family or mixed-use housing is allowed or allowable by special permit with no Affordable Housing requirement. This file also serves as an overview of existing (non-Needham Housing Authority) multi-family housing more generally in Needham.  In this file, Needham is divided into three zoning maps running from North to South.</w:t>
      </w:r>
    </w:p>
    <w:p w14:paraId="4000A37A" w14:textId="77777777" w:rsidR="002019EC" w:rsidRPr="004974A2" w:rsidRDefault="002019EC" w:rsidP="002019EC">
      <w:pPr>
        <w:jc w:val="both"/>
        <w:rPr>
          <w:rFonts w:asciiTheme="minorHAnsi" w:hAnsiTheme="minorHAnsi"/>
          <w:bCs/>
          <w:sz w:val="22"/>
          <w:szCs w:val="22"/>
        </w:rPr>
      </w:pPr>
    </w:p>
    <w:p w14:paraId="738C4BD2" w14:textId="77777777" w:rsidR="002019EC" w:rsidRPr="004974A2" w:rsidRDefault="002019EC" w:rsidP="002019EC">
      <w:pPr>
        <w:jc w:val="both"/>
        <w:rPr>
          <w:rFonts w:asciiTheme="minorHAnsi" w:hAnsiTheme="minorHAnsi"/>
          <w:b/>
          <w:bCs/>
          <w:sz w:val="22"/>
          <w:szCs w:val="22"/>
        </w:rPr>
      </w:pPr>
      <w:r w:rsidRPr="004974A2">
        <w:rPr>
          <w:rFonts w:asciiTheme="minorHAnsi" w:hAnsiTheme="minorHAnsi"/>
          <w:b/>
          <w:bCs/>
          <w:sz w:val="22"/>
          <w:szCs w:val="22"/>
        </w:rPr>
        <w:t xml:space="preserve">Glossary of </w:t>
      </w:r>
      <w:r>
        <w:rPr>
          <w:rFonts w:asciiTheme="minorHAnsi" w:hAnsiTheme="minorHAnsi"/>
          <w:b/>
          <w:bCs/>
          <w:sz w:val="22"/>
          <w:szCs w:val="22"/>
        </w:rPr>
        <w:t>T</w:t>
      </w:r>
      <w:r w:rsidRPr="004974A2">
        <w:rPr>
          <w:rFonts w:asciiTheme="minorHAnsi" w:hAnsiTheme="minorHAnsi"/>
          <w:b/>
          <w:bCs/>
          <w:sz w:val="22"/>
          <w:szCs w:val="22"/>
        </w:rPr>
        <w:t>erms</w:t>
      </w:r>
    </w:p>
    <w:p w14:paraId="6845A296" w14:textId="77777777" w:rsidR="002019EC" w:rsidRPr="004974A2" w:rsidRDefault="002019EC" w:rsidP="002019EC">
      <w:pPr>
        <w:jc w:val="both"/>
        <w:rPr>
          <w:rFonts w:asciiTheme="minorHAnsi" w:hAnsiTheme="minorHAnsi"/>
          <w:b/>
          <w:bCs/>
          <w:sz w:val="22"/>
          <w:szCs w:val="22"/>
        </w:rPr>
      </w:pPr>
      <w:r w:rsidRPr="004974A2">
        <w:rPr>
          <w:rFonts w:asciiTheme="minorHAnsi" w:hAnsiTheme="minorHAnsi"/>
          <w:b/>
          <w:bCs/>
          <w:sz w:val="22"/>
          <w:szCs w:val="22"/>
        </w:rPr>
        <w:t>Inclusionary zoning</w:t>
      </w:r>
    </w:p>
    <w:p w14:paraId="527B3287" w14:textId="77777777" w:rsidR="002019EC" w:rsidRPr="004974A2" w:rsidRDefault="002019EC" w:rsidP="002019EC">
      <w:pPr>
        <w:jc w:val="both"/>
        <w:rPr>
          <w:rFonts w:asciiTheme="minorHAnsi" w:hAnsiTheme="minorHAnsi"/>
          <w:bCs/>
          <w:sz w:val="22"/>
          <w:szCs w:val="22"/>
        </w:rPr>
      </w:pPr>
      <w:r w:rsidRPr="004974A2">
        <w:rPr>
          <w:rFonts w:asciiTheme="minorHAnsi" w:hAnsiTheme="minorHAnsi"/>
          <w:bCs/>
          <w:sz w:val="22"/>
          <w:szCs w:val="22"/>
        </w:rPr>
        <w:t xml:space="preserve">Refers to municipal zoning bylaws and ordinances that require a given share of new construction to be affordable by households below a certain income (usually 80% of median income of the metropolitan area), referred to as Affordable Housing. </w:t>
      </w:r>
    </w:p>
    <w:p w14:paraId="5B4E3D4F" w14:textId="77777777" w:rsidR="002019EC" w:rsidRPr="004974A2" w:rsidRDefault="002019EC" w:rsidP="002019EC">
      <w:pPr>
        <w:jc w:val="both"/>
        <w:rPr>
          <w:rFonts w:asciiTheme="minorHAnsi" w:hAnsiTheme="minorHAnsi"/>
          <w:bCs/>
          <w:sz w:val="22"/>
          <w:szCs w:val="22"/>
        </w:rPr>
      </w:pPr>
    </w:p>
    <w:p w14:paraId="6392D87D" w14:textId="77777777" w:rsidR="002019EC" w:rsidRPr="004974A2" w:rsidRDefault="002019EC" w:rsidP="002019EC">
      <w:pPr>
        <w:jc w:val="both"/>
        <w:rPr>
          <w:rFonts w:asciiTheme="minorHAnsi" w:hAnsiTheme="minorHAnsi"/>
          <w:bCs/>
          <w:sz w:val="22"/>
          <w:szCs w:val="22"/>
        </w:rPr>
      </w:pPr>
      <w:r w:rsidRPr="004974A2">
        <w:rPr>
          <w:rFonts w:asciiTheme="minorHAnsi" w:hAnsiTheme="minorHAnsi"/>
          <w:bCs/>
          <w:sz w:val="22"/>
          <w:szCs w:val="22"/>
        </w:rPr>
        <w:t>The term Inclusionary Zoning indicates that these bylaws and ordinances seek to provide Affordable Housing Units that the market would otherwise not produce under current zoning in the absence of Inclusionary Zoning provisions.</w:t>
      </w:r>
    </w:p>
    <w:p w14:paraId="1388169E" w14:textId="77777777" w:rsidR="002019EC" w:rsidRPr="004974A2" w:rsidRDefault="002019EC" w:rsidP="002019EC">
      <w:pPr>
        <w:jc w:val="both"/>
        <w:rPr>
          <w:rFonts w:asciiTheme="minorHAnsi" w:hAnsiTheme="minorHAnsi"/>
          <w:bCs/>
          <w:sz w:val="22"/>
          <w:szCs w:val="22"/>
        </w:rPr>
      </w:pPr>
    </w:p>
    <w:p w14:paraId="66D871C1" w14:textId="77777777" w:rsidR="002019EC" w:rsidRPr="004974A2" w:rsidRDefault="002019EC" w:rsidP="002019EC">
      <w:pPr>
        <w:jc w:val="both"/>
        <w:rPr>
          <w:rFonts w:asciiTheme="minorHAnsi" w:hAnsiTheme="minorHAnsi"/>
          <w:b/>
          <w:bCs/>
          <w:sz w:val="22"/>
          <w:szCs w:val="22"/>
        </w:rPr>
      </w:pPr>
      <w:r w:rsidRPr="004974A2">
        <w:rPr>
          <w:rFonts w:asciiTheme="minorHAnsi" w:hAnsiTheme="minorHAnsi"/>
          <w:b/>
          <w:bCs/>
          <w:sz w:val="22"/>
          <w:szCs w:val="22"/>
        </w:rPr>
        <w:t>Overlay District</w:t>
      </w:r>
    </w:p>
    <w:p w14:paraId="1890E876" w14:textId="77777777" w:rsidR="002019EC" w:rsidRPr="004974A2" w:rsidRDefault="002019EC" w:rsidP="002019EC">
      <w:pPr>
        <w:jc w:val="both"/>
        <w:rPr>
          <w:rFonts w:asciiTheme="minorHAnsi" w:hAnsiTheme="minorHAnsi"/>
          <w:bCs/>
          <w:sz w:val="22"/>
          <w:szCs w:val="22"/>
        </w:rPr>
      </w:pPr>
      <w:r w:rsidRPr="004974A2">
        <w:rPr>
          <w:rFonts w:asciiTheme="minorHAnsi" w:hAnsiTheme="minorHAnsi"/>
          <w:bCs/>
          <w:sz w:val="22"/>
          <w:szCs w:val="22"/>
        </w:rPr>
        <w:t>An Overlay District is a type of land use zoning district that "lies" on top of the underlying zoning district.  An Overlay District could cover more than one underlying zoning district; also, there could be more than one Overlay District covering a single underlying zoning district.</w:t>
      </w:r>
    </w:p>
    <w:p w14:paraId="0A32A733" w14:textId="77777777" w:rsidR="002019EC" w:rsidRPr="004974A2" w:rsidRDefault="002019EC" w:rsidP="002019EC">
      <w:pPr>
        <w:jc w:val="both"/>
        <w:rPr>
          <w:rFonts w:asciiTheme="minorHAnsi" w:hAnsiTheme="minorHAnsi"/>
          <w:bCs/>
          <w:sz w:val="22"/>
          <w:szCs w:val="22"/>
        </w:rPr>
      </w:pPr>
    </w:p>
    <w:p w14:paraId="54450912" w14:textId="77777777" w:rsidR="002019EC" w:rsidRPr="004974A2" w:rsidRDefault="002019EC" w:rsidP="002019EC">
      <w:pPr>
        <w:rPr>
          <w:rFonts w:asciiTheme="minorHAnsi" w:hAnsiTheme="minorHAnsi"/>
          <w:b/>
          <w:bCs/>
          <w:sz w:val="22"/>
          <w:szCs w:val="22"/>
        </w:rPr>
      </w:pPr>
      <w:r w:rsidRPr="004974A2">
        <w:rPr>
          <w:rFonts w:asciiTheme="minorHAnsi" w:hAnsiTheme="minorHAnsi"/>
          <w:b/>
          <w:bCs/>
          <w:sz w:val="22"/>
          <w:szCs w:val="22"/>
        </w:rPr>
        <w:t>Acronyms Used</w:t>
      </w:r>
    </w:p>
    <w:p w14:paraId="7779E48F" w14:textId="77777777" w:rsidR="002019EC" w:rsidRPr="004974A2" w:rsidRDefault="002019EC" w:rsidP="002019EC">
      <w:pPr>
        <w:rPr>
          <w:rFonts w:asciiTheme="minorHAnsi" w:hAnsiTheme="minorHAnsi"/>
          <w:bCs/>
          <w:sz w:val="22"/>
          <w:szCs w:val="22"/>
        </w:rPr>
      </w:pPr>
      <w:r w:rsidRPr="004974A2">
        <w:rPr>
          <w:rFonts w:asciiTheme="minorHAnsi" w:hAnsiTheme="minorHAnsi"/>
          <w:bCs/>
          <w:sz w:val="22"/>
          <w:szCs w:val="22"/>
        </w:rPr>
        <w:t>CCRC: Continuing Care Retirement Community</w:t>
      </w:r>
    </w:p>
    <w:p w14:paraId="1A4226CE" w14:textId="77777777" w:rsidR="002019EC" w:rsidRPr="004974A2" w:rsidRDefault="002019EC" w:rsidP="002019EC">
      <w:pPr>
        <w:rPr>
          <w:rFonts w:asciiTheme="minorHAnsi" w:hAnsiTheme="minorHAnsi"/>
          <w:bCs/>
          <w:sz w:val="22"/>
          <w:szCs w:val="22"/>
        </w:rPr>
      </w:pPr>
      <w:r w:rsidRPr="004974A2">
        <w:rPr>
          <w:rFonts w:asciiTheme="minorHAnsi" w:hAnsiTheme="minorHAnsi"/>
          <w:bCs/>
          <w:sz w:val="22"/>
          <w:szCs w:val="22"/>
        </w:rPr>
        <w:t>FAR: Floor area ratio (ratio of floor area to lot area)</w:t>
      </w:r>
    </w:p>
    <w:p w14:paraId="76D77331" w14:textId="77777777" w:rsidR="002019EC" w:rsidRPr="004974A2" w:rsidRDefault="002019EC" w:rsidP="002019EC">
      <w:pPr>
        <w:rPr>
          <w:rFonts w:asciiTheme="minorHAnsi" w:hAnsiTheme="minorHAnsi"/>
          <w:bCs/>
          <w:sz w:val="22"/>
          <w:szCs w:val="22"/>
        </w:rPr>
      </w:pPr>
      <w:r w:rsidRPr="004974A2">
        <w:rPr>
          <w:rFonts w:asciiTheme="minorHAnsi" w:hAnsiTheme="minorHAnsi"/>
          <w:bCs/>
          <w:sz w:val="22"/>
          <w:szCs w:val="22"/>
        </w:rPr>
        <w:t>AHU: Affordable Housing Unit</w:t>
      </w:r>
    </w:p>
    <w:p w14:paraId="426B0E25" w14:textId="77777777" w:rsidR="002019EC" w:rsidRPr="004974A2" w:rsidRDefault="002019EC" w:rsidP="002019EC">
      <w:pPr>
        <w:rPr>
          <w:rFonts w:asciiTheme="minorHAnsi" w:hAnsiTheme="minorHAnsi"/>
          <w:bCs/>
          <w:sz w:val="22"/>
          <w:szCs w:val="22"/>
        </w:rPr>
      </w:pPr>
      <w:r w:rsidRPr="004974A2">
        <w:rPr>
          <w:rFonts w:asciiTheme="minorHAnsi" w:hAnsiTheme="minorHAnsi"/>
          <w:bCs/>
          <w:sz w:val="22"/>
          <w:szCs w:val="22"/>
        </w:rPr>
        <w:t>DU: Dwelling Unit</w:t>
      </w:r>
    </w:p>
    <w:p w14:paraId="200A7849" w14:textId="2DA822C6" w:rsidR="002019EC" w:rsidRDefault="002019EC" w:rsidP="002019EC">
      <w:pPr>
        <w:rPr>
          <w:rFonts w:asciiTheme="minorHAnsi" w:hAnsiTheme="minorHAnsi"/>
          <w:bCs/>
          <w:sz w:val="22"/>
          <w:szCs w:val="22"/>
        </w:rPr>
      </w:pPr>
      <w:r w:rsidRPr="004974A2">
        <w:rPr>
          <w:rFonts w:asciiTheme="minorHAnsi" w:hAnsiTheme="minorHAnsi"/>
          <w:bCs/>
          <w:sz w:val="22"/>
          <w:szCs w:val="22"/>
        </w:rPr>
        <w:t>MUOD:  Mixed Use Overlay District</w:t>
      </w:r>
    </w:p>
    <w:p w14:paraId="264AC7CB" w14:textId="1DDF83A0" w:rsidR="00CB5C62" w:rsidRDefault="00CB5C62" w:rsidP="002019EC">
      <w:pPr>
        <w:rPr>
          <w:rFonts w:asciiTheme="minorHAnsi" w:hAnsiTheme="minorHAnsi"/>
          <w:bCs/>
          <w:sz w:val="22"/>
          <w:szCs w:val="22"/>
        </w:rPr>
      </w:pPr>
    </w:p>
    <w:p w14:paraId="22C9528A" w14:textId="20704191" w:rsidR="00CB5C62" w:rsidRDefault="00CB5C62" w:rsidP="002019EC">
      <w:pPr>
        <w:rPr>
          <w:rFonts w:asciiTheme="minorHAnsi" w:hAnsiTheme="minorHAnsi"/>
          <w:bCs/>
          <w:sz w:val="22"/>
          <w:szCs w:val="22"/>
        </w:rPr>
      </w:pPr>
    </w:p>
    <w:p w14:paraId="0D900B74" w14:textId="6A142852" w:rsidR="00CB5C62" w:rsidRDefault="00CB5C62" w:rsidP="002019EC">
      <w:pPr>
        <w:rPr>
          <w:rFonts w:asciiTheme="minorHAnsi" w:hAnsiTheme="minorHAnsi"/>
          <w:bCs/>
          <w:sz w:val="22"/>
          <w:szCs w:val="22"/>
        </w:rPr>
      </w:pPr>
    </w:p>
    <w:p w14:paraId="225BC10F" w14:textId="350A2C2D" w:rsidR="00CB5C62" w:rsidRDefault="00CB5C62" w:rsidP="002019EC">
      <w:pPr>
        <w:rPr>
          <w:rFonts w:asciiTheme="minorHAnsi" w:hAnsiTheme="minorHAnsi"/>
          <w:bCs/>
          <w:sz w:val="22"/>
          <w:szCs w:val="22"/>
        </w:rPr>
      </w:pPr>
    </w:p>
    <w:p w14:paraId="624D7803" w14:textId="5101F7BC" w:rsidR="00CB5C62" w:rsidRDefault="00CB5C62" w:rsidP="002019EC">
      <w:pPr>
        <w:rPr>
          <w:rFonts w:asciiTheme="minorHAnsi" w:hAnsiTheme="minorHAnsi"/>
          <w:bCs/>
          <w:sz w:val="22"/>
          <w:szCs w:val="22"/>
        </w:rPr>
      </w:pPr>
    </w:p>
    <w:p w14:paraId="5389CFAC" w14:textId="68F0D44C" w:rsidR="00CB5C62" w:rsidRDefault="00CB5C62" w:rsidP="002019EC">
      <w:pPr>
        <w:rPr>
          <w:rFonts w:asciiTheme="minorHAnsi" w:hAnsiTheme="minorHAnsi"/>
          <w:bCs/>
          <w:sz w:val="22"/>
          <w:szCs w:val="22"/>
        </w:rPr>
      </w:pPr>
    </w:p>
    <w:p w14:paraId="7A0D4724" w14:textId="6A6F209E" w:rsidR="00CB5C62" w:rsidRDefault="00CB5C62" w:rsidP="002019EC">
      <w:pPr>
        <w:rPr>
          <w:rFonts w:asciiTheme="minorHAnsi" w:hAnsiTheme="minorHAnsi"/>
          <w:bCs/>
          <w:sz w:val="22"/>
          <w:szCs w:val="22"/>
        </w:rPr>
      </w:pPr>
    </w:p>
    <w:p w14:paraId="44434702" w14:textId="6407E9FF" w:rsidR="00CB5C62" w:rsidRDefault="00CB5C62" w:rsidP="002019EC">
      <w:pPr>
        <w:rPr>
          <w:rFonts w:asciiTheme="minorHAnsi" w:hAnsiTheme="minorHAnsi"/>
          <w:bCs/>
          <w:sz w:val="22"/>
          <w:szCs w:val="22"/>
        </w:rPr>
      </w:pPr>
    </w:p>
    <w:p w14:paraId="1EA8C669" w14:textId="44D27E8E" w:rsidR="00CB5C62" w:rsidRDefault="00CB5C62" w:rsidP="002019EC">
      <w:pPr>
        <w:rPr>
          <w:rFonts w:asciiTheme="minorHAnsi" w:hAnsiTheme="minorHAnsi"/>
          <w:bCs/>
          <w:sz w:val="22"/>
          <w:szCs w:val="22"/>
        </w:rPr>
      </w:pPr>
    </w:p>
    <w:p w14:paraId="5A4DF01E" w14:textId="7B018344" w:rsidR="00696E17" w:rsidRDefault="00696E17" w:rsidP="002019EC">
      <w:pPr>
        <w:rPr>
          <w:rFonts w:asciiTheme="minorHAnsi" w:hAnsiTheme="minorHAnsi"/>
          <w:bCs/>
          <w:sz w:val="22"/>
          <w:szCs w:val="22"/>
        </w:rPr>
      </w:pPr>
    </w:p>
    <w:p w14:paraId="0415B5C7" w14:textId="4FEB4053" w:rsidR="00696E17" w:rsidRDefault="00696E17" w:rsidP="002019EC">
      <w:pPr>
        <w:rPr>
          <w:rFonts w:asciiTheme="minorHAnsi" w:hAnsiTheme="minorHAnsi"/>
          <w:bCs/>
          <w:sz w:val="22"/>
          <w:szCs w:val="22"/>
        </w:rPr>
      </w:pPr>
    </w:p>
    <w:p w14:paraId="0F0F905D" w14:textId="6321FBF3" w:rsidR="00696E17" w:rsidRDefault="00696E17" w:rsidP="002019EC">
      <w:pPr>
        <w:rPr>
          <w:rFonts w:asciiTheme="minorHAnsi" w:hAnsiTheme="minorHAnsi"/>
          <w:bCs/>
          <w:sz w:val="22"/>
          <w:szCs w:val="22"/>
        </w:rPr>
      </w:pPr>
    </w:p>
    <w:p w14:paraId="1F1D5BE6" w14:textId="77777777" w:rsidR="002019EC" w:rsidRDefault="002019EC" w:rsidP="002019EC">
      <w:pPr>
        <w:jc w:val="center"/>
        <w:rPr>
          <w:rFonts w:asciiTheme="minorHAnsi" w:hAnsiTheme="minorHAnsi"/>
          <w:b/>
          <w:bCs/>
          <w:color w:val="0070C0"/>
        </w:rPr>
      </w:pPr>
    </w:p>
    <w:p w14:paraId="445B45B8" w14:textId="77777777" w:rsidR="002019EC" w:rsidRDefault="002019EC" w:rsidP="002019EC">
      <w:pPr>
        <w:ind w:left="-720" w:right="-540"/>
        <w:jc w:val="center"/>
        <w:rPr>
          <w:rFonts w:asciiTheme="minorHAnsi" w:hAnsiTheme="minorHAnsi"/>
          <w:b/>
          <w:bCs/>
          <w:color w:val="0070C0"/>
        </w:rPr>
      </w:pPr>
      <w:r w:rsidRPr="00F676F4">
        <w:rPr>
          <w:noProof/>
        </w:rPr>
        <w:drawing>
          <wp:inline distT="0" distB="0" distL="0" distR="0" wp14:anchorId="4EB549B4" wp14:editId="1BD951A3">
            <wp:extent cx="6770038" cy="2329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1146" cy="2336996"/>
                    </a:xfrm>
                    <a:prstGeom prst="rect">
                      <a:avLst/>
                    </a:prstGeom>
                    <a:noFill/>
                    <a:ln>
                      <a:noFill/>
                    </a:ln>
                  </pic:spPr>
                </pic:pic>
              </a:graphicData>
            </a:graphic>
          </wp:inline>
        </w:drawing>
      </w:r>
    </w:p>
    <w:p w14:paraId="7C8E8266" w14:textId="77777777" w:rsidR="002019EC" w:rsidRDefault="002019EC" w:rsidP="002019EC">
      <w:pPr>
        <w:ind w:left="-720" w:right="-540"/>
        <w:jc w:val="center"/>
        <w:rPr>
          <w:rFonts w:asciiTheme="minorHAnsi" w:hAnsiTheme="minorHAnsi"/>
          <w:b/>
          <w:bCs/>
          <w:color w:val="0070C0"/>
        </w:rPr>
      </w:pPr>
    </w:p>
    <w:p w14:paraId="022D8C1A" w14:textId="77777777" w:rsidR="002019EC" w:rsidRDefault="002019EC" w:rsidP="002019EC">
      <w:pPr>
        <w:ind w:left="-720" w:right="-540"/>
        <w:jc w:val="center"/>
        <w:rPr>
          <w:rFonts w:asciiTheme="minorHAnsi" w:hAnsiTheme="minorHAnsi"/>
          <w:b/>
          <w:bCs/>
          <w:color w:val="0070C0"/>
        </w:rPr>
      </w:pPr>
      <w:r>
        <w:rPr>
          <w:noProof/>
        </w:rPr>
        <w:drawing>
          <wp:inline distT="0" distB="0" distL="0" distR="0" wp14:anchorId="7B1DAC7C" wp14:editId="3C6EFBD2">
            <wp:extent cx="5438775" cy="3209926"/>
            <wp:effectExtent l="0" t="0" r="0" b="9525"/>
            <wp:docPr id="15" name="Picture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3209926"/>
                    </a:xfrm>
                    <a:prstGeom prst="rect">
                      <a:avLst/>
                    </a:prstGeom>
                    <a:noFill/>
                    <a:ln>
                      <a:noFill/>
                    </a:ln>
                  </pic:spPr>
                </pic:pic>
              </a:graphicData>
            </a:graphic>
          </wp:inline>
        </w:drawing>
      </w:r>
    </w:p>
    <w:p w14:paraId="28647D77" w14:textId="77777777" w:rsidR="002019EC" w:rsidRDefault="002019EC" w:rsidP="002019EC">
      <w:pPr>
        <w:spacing w:after="160" w:line="259" w:lineRule="auto"/>
        <w:rPr>
          <w:rFonts w:asciiTheme="minorHAnsi" w:hAnsiTheme="minorHAnsi"/>
          <w:b/>
          <w:bCs/>
          <w:color w:val="0070C0"/>
        </w:rPr>
      </w:pPr>
      <w:r>
        <w:rPr>
          <w:rFonts w:asciiTheme="minorHAnsi" w:hAnsiTheme="minorHAnsi"/>
          <w:b/>
          <w:bCs/>
          <w:color w:val="0070C0"/>
        </w:rPr>
        <w:br w:type="page"/>
      </w:r>
    </w:p>
    <w:p w14:paraId="322E04AB" w14:textId="77777777" w:rsidR="002019EC" w:rsidRDefault="002019EC" w:rsidP="002019EC">
      <w:pPr>
        <w:spacing w:after="160" w:line="259" w:lineRule="auto"/>
        <w:rPr>
          <w:rFonts w:asciiTheme="minorHAnsi" w:hAnsiTheme="minorHAnsi"/>
          <w:b/>
          <w:bCs/>
          <w:color w:val="0070C0"/>
        </w:rPr>
      </w:pPr>
      <w:r w:rsidRPr="00FC1894">
        <w:rPr>
          <w:noProof/>
        </w:rPr>
        <w:lastRenderedPageBreak/>
        <w:drawing>
          <wp:inline distT="0" distB="0" distL="0" distR="0" wp14:anchorId="08BF7AFD" wp14:editId="34DDEB44">
            <wp:extent cx="6286500" cy="21831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2183130"/>
                    </a:xfrm>
                    <a:prstGeom prst="rect">
                      <a:avLst/>
                    </a:prstGeom>
                    <a:noFill/>
                    <a:ln>
                      <a:noFill/>
                    </a:ln>
                  </pic:spPr>
                </pic:pic>
              </a:graphicData>
            </a:graphic>
          </wp:inline>
        </w:drawing>
      </w:r>
    </w:p>
    <w:p w14:paraId="2A75D4B6" w14:textId="77777777" w:rsidR="002019EC" w:rsidRDefault="002019EC" w:rsidP="002019EC">
      <w:pPr>
        <w:spacing w:after="160" w:line="259" w:lineRule="auto"/>
        <w:rPr>
          <w:rFonts w:asciiTheme="minorHAnsi" w:hAnsiTheme="minorHAnsi"/>
          <w:b/>
          <w:bCs/>
          <w:color w:val="0070C0"/>
        </w:rPr>
      </w:pPr>
      <w:r>
        <w:rPr>
          <w:noProof/>
        </w:rPr>
        <w:drawing>
          <wp:inline distT="0" distB="0" distL="0" distR="0" wp14:anchorId="409761C0" wp14:editId="0A8DD89F">
            <wp:extent cx="5419725" cy="3314700"/>
            <wp:effectExtent l="0" t="0" r="9525" b="0"/>
            <wp:docPr id="17" name="Picture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725" cy="3314700"/>
                    </a:xfrm>
                    <a:prstGeom prst="rect">
                      <a:avLst/>
                    </a:prstGeom>
                    <a:noFill/>
                    <a:ln>
                      <a:noFill/>
                    </a:ln>
                  </pic:spPr>
                </pic:pic>
              </a:graphicData>
            </a:graphic>
          </wp:inline>
        </w:drawing>
      </w:r>
    </w:p>
    <w:p w14:paraId="056E13A0" w14:textId="77777777" w:rsidR="002019EC" w:rsidRDefault="002019EC" w:rsidP="002019EC">
      <w:pPr>
        <w:spacing w:after="160" w:line="259" w:lineRule="auto"/>
        <w:rPr>
          <w:rFonts w:asciiTheme="minorHAnsi" w:hAnsiTheme="minorHAnsi"/>
          <w:b/>
          <w:bCs/>
          <w:color w:val="0070C0"/>
        </w:rPr>
      </w:pPr>
      <w:r>
        <w:rPr>
          <w:rFonts w:asciiTheme="minorHAnsi" w:hAnsiTheme="minorHAnsi"/>
          <w:b/>
          <w:bCs/>
          <w:color w:val="0070C0"/>
        </w:rPr>
        <w:br w:type="page"/>
      </w:r>
    </w:p>
    <w:p w14:paraId="6AF39BDE" w14:textId="02A4EE79" w:rsidR="002019EC" w:rsidRDefault="00B21DBF" w:rsidP="00B21DBF">
      <w:pPr>
        <w:spacing w:after="160" w:line="259" w:lineRule="auto"/>
        <w:ind w:left="-990"/>
        <w:rPr>
          <w:rFonts w:asciiTheme="minorHAnsi" w:hAnsiTheme="minorHAnsi"/>
          <w:b/>
          <w:bCs/>
          <w:color w:val="0070C0"/>
        </w:rPr>
      </w:pPr>
      <w:r>
        <w:rPr>
          <w:noProof/>
        </w:rPr>
        <w:lastRenderedPageBreak/>
        <w:drawing>
          <wp:inline distT="0" distB="0" distL="0" distR="0" wp14:anchorId="0C5D5780" wp14:editId="14840FBA">
            <wp:extent cx="7675880" cy="227632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4167"/>
                    <a:stretch/>
                  </pic:blipFill>
                  <pic:spPr bwMode="auto">
                    <a:xfrm>
                      <a:off x="0" y="0"/>
                      <a:ext cx="7701260" cy="2283848"/>
                    </a:xfrm>
                    <a:prstGeom prst="rect">
                      <a:avLst/>
                    </a:prstGeom>
                    <a:noFill/>
                    <a:ln>
                      <a:noFill/>
                    </a:ln>
                    <a:extLst>
                      <a:ext uri="{53640926-AAD7-44D8-BBD7-CCE9431645EC}">
                        <a14:shadowObscured xmlns:a14="http://schemas.microsoft.com/office/drawing/2010/main"/>
                      </a:ext>
                    </a:extLst>
                  </pic:spPr>
                </pic:pic>
              </a:graphicData>
            </a:graphic>
          </wp:inline>
        </w:drawing>
      </w:r>
    </w:p>
    <w:p w14:paraId="1EAF7D13" w14:textId="77777777" w:rsidR="002019EC" w:rsidRDefault="002019EC" w:rsidP="002019EC">
      <w:pPr>
        <w:spacing w:after="160" w:line="259" w:lineRule="auto"/>
        <w:rPr>
          <w:rFonts w:asciiTheme="minorHAnsi" w:hAnsiTheme="minorHAnsi"/>
          <w:b/>
          <w:bCs/>
          <w:color w:val="0070C0"/>
        </w:rPr>
      </w:pPr>
      <w:r>
        <w:rPr>
          <w:noProof/>
        </w:rPr>
        <w:drawing>
          <wp:inline distT="0" distB="0" distL="0" distR="0" wp14:anchorId="14F0E7CE" wp14:editId="78F9906A">
            <wp:extent cx="3431783" cy="4829687"/>
            <wp:effectExtent l="0" t="0" r="0" b="9525"/>
            <wp:docPr id="19" name="Picture 5">
              <a:extLst xmlns:a="http://schemas.openxmlformats.org/drawingml/2006/main">
                <a:ext uri="{FF2B5EF4-FFF2-40B4-BE49-F238E27FC236}">
                  <a16:creationId xmlns:a16="http://schemas.microsoft.com/office/drawing/2014/main" id="{00000000-0008-0000-03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300-00000600000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1588" cy="4843485"/>
                    </a:xfrm>
                    <a:prstGeom prst="rect">
                      <a:avLst/>
                    </a:prstGeom>
                    <a:noFill/>
                  </pic:spPr>
                </pic:pic>
              </a:graphicData>
            </a:graphic>
          </wp:inline>
        </w:drawing>
      </w:r>
    </w:p>
    <w:p w14:paraId="4D5E0B42" w14:textId="77777777" w:rsidR="002019EC" w:rsidRDefault="002019EC" w:rsidP="002019EC">
      <w:pPr>
        <w:spacing w:after="160" w:line="259" w:lineRule="auto"/>
        <w:rPr>
          <w:rFonts w:asciiTheme="minorHAnsi" w:hAnsiTheme="minorHAnsi"/>
          <w:b/>
          <w:bCs/>
          <w:color w:val="0070C0"/>
        </w:rPr>
      </w:pPr>
    </w:p>
    <w:p w14:paraId="2BE2B626" w14:textId="6F0EDE95" w:rsidR="002019EC" w:rsidRDefault="00B21DBF" w:rsidP="00B21DBF">
      <w:pPr>
        <w:spacing w:after="160" w:line="259" w:lineRule="auto"/>
        <w:ind w:left="-990"/>
        <w:rPr>
          <w:rFonts w:asciiTheme="minorHAnsi" w:hAnsiTheme="minorHAnsi"/>
          <w:b/>
          <w:bCs/>
          <w:color w:val="0070C0"/>
        </w:rPr>
      </w:pPr>
      <w:r>
        <w:rPr>
          <w:noProof/>
        </w:rPr>
        <w:lastRenderedPageBreak/>
        <w:drawing>
          <wp:inline distT="0" distB="0" distL="0" distR="0" wp14:anchorId="287DEAF9" wp14:editId="6468B1E6">
            <wp:extent cx="7435152" cy="44791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55" t="6203" r="6753" b="9926"/>
                    <a:stretch/>
                  </pic:blipFill>
                  <pic:spPr bwMode="auto">
                    <a:xfrm>
                      <a:off x="0" y="0"/>
                      <a:ext cx="7448212" cy="4487044"/>
                    </a:xfrm>
                    <a:prstGeom prst="rect">
                      <a:avLst/>
                    </a:prstGeom>
                    <a:noFill/>
                    <a:ln>
                      <a:noFill/>
                    </a:ln>
                    <a:extLst>
                      <a:ext uri="{53640926-AAD7-44D8-BBD7-CCE9431645EC}">
                        <a14:shadowObscured xmlns:a14="http://schemas.microsoft.com/office/drawing/2010/main"/>
                      </a:ext>
                    </a:extLst>
                  </pic:spPr>
                </pic:pic>
              </a:graphicData>
            </a:graphic>
          </wp:inline>
        </w:drawing>
      </w:r>
    </w:p>
    <w:p w14:paraId="33729B1C" w14:textId="77777777" w:rsidR="002019EC" w:rsidRDefault="002019EC" w:rsidP="002019EC">
      <w:pPr>
        <w:spacing w:after="160" w:line="259" w:lineRule="auto"/>
        <w:ind w:left="-540" w:right="-360"/>
        <w:rPr>
          <w:rFonts w:asciiTheme="minorHAnsi" w:hAnsiTheme="minorHAnsi"/>
          <w:b/>
          <w:bCs/>
          <w:color w:val="0070C0"/>
          <w:sz w:val="28"/>
          <w:szCs w:val="28"/>
        </w:rPr>
      </w:pPr>
      <w:r>
        <w:rPr>
          <w:rFonts w:asciiTheme="minorHAnsi" w:hAnsiTheme="minorHAnsi"/>
          <w:b/>
          <w:bCs/>
          <w:color w:val="0070C0"/>
          <w:sz w:val="28"/>
          <w:szCs w:val="28"/>
        </w:rPr>
        <w:br w:type="page"/>
      </w:r>
    </w:p>
    <w:p w14:paraId="1E2AC1AE" w14:textId="71BB89CC" w:rsidR="002019EC" w:rsidRDefault="002019EC" w:rsidP="009F6013">
      <w:pPr>
        <w:pStyle w:val="Header"/>
        <w:ind w:left="720" w:hanging="720"/>
        <w:jc w:val="center"/>
        <w:rPr>
          <w:rFonts w:ascii="Calibri" w:hAnsi="Calibri"/>
          <w:b/>
          <w:color w:val="002060"/>
          <w:sz w:val="28"/>
          <w:szCs w:val="28"/>
        </w:rPr>
        <w:sectPr w:rsidR="002019EC" w:rsidSect="00AC3B55">
          <w:pgSz w:w="12240" w:h="15840"/>
          <w:pgMar w:top="1440" w:right="1440" w:bottom="1440" w:left="1440" w:header="720" w:footer="720" w:gutter="0"/>
          <w:cols w:space="720"/>
          <w:docGrid w:linePitch="360"/>
        </w:sectPr>
      </w:pPr>
    </w:p>
    <w:p w14:paraId="6316A9DF" w14:textId="06CE23EC" w:rsidR="009F6013" w:rsidRDefault="009F6013" w:rsidP="009F6013">
      <w:pPr>
        <w:pStyle w:val="Header"/>
        <w:ind w:left="720" w:hanging="720"/>
        <w:jc w:val="center"/>
        <w:rPr>
          <w:rFonts w:ascii="Calibri" w:hAnsi="Calibri"/>
          <w:b/>
          <w:color w:val="002060"/>
          <w:sz w:val="28"/>
          <w:szCs w:val="28"/>
        </w:rPr>
      </w:pPr>
      <w:r>
        <w:rPr>
          <w:rFonts w:ascii="Calibri" w:hAnsi="Calibri"/>
          <w:b/>
          <w:color w:val="002060"/>
          <w:sz w:val="28"/>
          <w:szCs w:val="28"/>
        </w:rPr>
        <w:lastRenderedPageBreak/>
        <w:t>Appendix 2</w:t>
      </w:r>
    </w:p>
    <w:p w14:paraId="3ADC3FC8" w14:textId="6CFB4625" w:rsidR="00C04CAD" w:rsidRDefault="00F65EA4" w:rsidP="008772FC">
      <w:pPr>
        <w:pStyle w:val="Header"/>
        <w:ind w:left="720" w:hanging="720"/>
        <w:jc w:val="center"/>
        <w:rPr>
          <w:rFonts w:ascii="Calibri" w:hAnsi="Calibri"/>
          <w:b/>
          <w:color w:val="002060"/>
          <w:sz w:val="28"/>
          <w:szCs w:val="28"/>
        </w:rPr>
      </w:pPr>
      <w:r>
        <w:rPr>
          <w:rFonts w:ascii="Calibri" w:hAnsi="Calibri"/>
          <w:b/>
          <w:color w:val="002060"/>
          <w:sz w:val="28"/>
          <w:szCs w:val="28"/>
        </w:rPr>
        <w:t>Glossary of Housing Terms</w:t>
      </w:r>
    </w:p>
    <w:p w14:paraId="7EBEED5A" w14:textId="4B4B2823" w:rsidR="00F65EA4" w:rsidRDefault="00F65EA4" w:rsidP="008772FC">
      <w:pPr>
        <w:pStyle w:val="Header"/>
        <w:ind w:left="720" w:hanging="720"/>
        <w:jc w:val="center"/>
        <w:rPr>
          <w:rFonts w:ascii="Calibri" w:hAnsi="Calibri"/>
          <w:b/>
          <w:color w:val="002060"/>
          <w:sz w:val="28"/>
          <w:szCs w:val="28"/>
        </w:rPr>
      </w:pPr>
    </w:p>
    <w:p w14:paraId="04F027F9" w14:textId="3FFD66B2" w:rsidR="00BA5D4A" w:rsidRDefault="00BA5D4A" w:rsidP="00F65EA4">
      <w:pPr>
        <w:tabs>
          <w:tab w:val="left" w:pos="0"/>
        </w:tabs>
        <w:jc w:val="both"/>
        <w:rPr>
          <w:rFonts w:asciiTheme="minorHAnsi" w:hAnsiTheme="minorHAnsi" w:cstheme="minorHAnsi"/>
          <w:b/>
          <w:bCs/>
          <w:sz w:val="22"/>
          <w:szCs w:val="22"/>
        </w:rPr>
      </w:pPr>
    </w:p>
    <w:p w14:paraId="5BCD388E" w14:textId="20618691" w:rsidR="0028351E" w:rsidRDefault="0028351E" w:rsidP="00F65EA4">
      <w:pPr>
        <w:tabs>
          <w:tab w:val="left" w:pos="0"/>
        </w:tabs>
        <w:jc w:val="both"/>
        <w:rPr>
          <w:rFonts w:asciiTheme="minorHAnsi" w:hAnsiTheme="minorHAnsi" w:cstheme="minorHAnsi"/>
          <w:b/>
          <w:bCs/>
          <w:sz w:val="22"/>
          <w:szCs w:val="22"/>
        </w:rPr>
      </w:pPr>
      <w:r>
        <w:rPr>
          <w:rFonts w:asciiTheme="minorHAnsi" w:hAnsiTheme="minorHAnsi" w:cstheme="minorHAnsi"/>
          <w:b/>
          <w:bCs/>
          <w:sz w:val="22"/>
          <w:szCs w:val="22"/>
        </w:rPr>
        <w:t>Accessory Dwelling Units (ADUs</w:t>
      </w:r>
      <w:r w:rsidR="00936A60">
        <w:rPr>
          <w:rFonts w:asciiTheme="minorHAnsi" w:hAnsiTheme="minorHAnsi" w:cstheme="minorHAnsi"/>
          <w:b/>
          <w:bCs/>
          <w:sz w:val="22"/>
          <w:szCs w:val="22"/>
        </w:rPr>
        <w:t>)</w:t>
      </w:r>
    </w:p>
    <w:p w14:paraId="2C186308" w14:textId="3FE778E2" w:rsidR="00BA5D4A" w:rsidRDefault="0028351E" w:rsidP="00F65EA4">
      <w:pPr>
        <w:tabs>
          <w:tab w:val="left" w:pos="0"/>
        </w:tabs>
        <w:jc w:val="both"/>
        <w:rPr>
          <w:rFonts w:asciiTheme="minorHAnsi" w:hAnsiTheme="minorHAnsi" w:cstheme="minorHAnsi"/>
          <w:color w:val="111111"/>
          <w:sz w:val="22"/>
          <w:szCs w:val="22"/>
          <w:shd w:val="clear" w:color="auto" w:fill="FFFFFF"/>
        </w:rPr>
      </w:pPr>
      <w:r w:rsidRPr="0028351E">
        <w:rPr>
          <w:rFonts w:asciiTheme="minorHAnsi" w:hAnsiTheme="minorHAnsi" w:cstheme="minorHAnsi"/>
          <w:color w:val="111111"/>
          <w:sz w:val="22"/>
          <w:szCs w:val="22"/>
          <w:shd w:val="clear" w:color="auto" w:fill="FFFFFF"/>
        </w:rPr>
        <w:t>An </w:t>
      </w:r>
      <w:r w:rsidRPr="00BA5D4A">
        <w:rPr>
          <w:rStyle w:val="Strong"/>
          <w:rFonts w:asciiTheme="minorHAnsi" w:hAnsiTheme="minorHAnsi" w:cstheme="minorHAnsi"/>
          <w:b w:val="0"/>
          <w:bCs w:val="0"/>
          <w:color w:val="111111"/>
          <w:sz w:val="22"/>
          <w:szCs w:val="22"/>
          <w:shd w:val="clear" w:color="auto" w:fill="FFFFFF"/>
        </w:rPr>
        <w:t>Accessory</w:t>
      </w:r>
      <w:r w:rsidRPr="0028351E">
        <w:rPr>
          <w:rFonts w:asciiTheme="minorHAnsi" w:hAnsiTheme="minorHAnsi" w:cstheme="minorHAnsi"/>
          <w:color w:val="111111"/>
          <w:sz w:val="22"/>
          <w:szCs w:val="22"/>
          <w:shd w:val="clear" w:color="auto" w:fill="FFFFFF"/>
        </w:rPr>
        <w:t xml:space="preserve"> Dwelling Unit (ADU) refers to a habitable living unit added to, created within, or detached from a primary </w:t>
      </w:r>
      <w:r w:rsidR="00BA5D4A">
        <w:rPr>
          <w:rFonts w:asciiTheme="minorHAnsi" w:hAnsiTheme="minorHAnsi" w:cstheme="minorHAnsi"/>
          <w:color w:val="111111"/>
          <w:sz w:val="22"/>
          <w:szCs w:val="22"/>
          <w:shd w:val="clear" w:color="auto" w:fill="FFFFFF"/>
        </w:rPr>
        <w:t>s</w:t>
      </w:r>
      <w:r w:rsidRPr="0028351E">
        <w:rPr>
          <w:rFonts w:asciiTheme="minorHAnsi" w:hAnsiTheme="minorHAnsi" w:cstheme="minorHAnsi"/>
          <w:color w:val="111111"/>
          <w:sz w:val="22"/>
          <w:szCs w:val="22"/>
          <w:shd w:val="clear" w:color="auto" w:fill="FFFFFF"/>
        </w:rPr>
        <w:t>ingle</w:t>
      </w:r>
      <w:r w:rsidR="00BA5D4A">
        <w:rPr>
          <w:rFonts w:asciiTheme="minorHAnsi" w:hAnsiTheme="minorHAnsi" w:cstheme="minorHAnsi"/>
          <w:color w:val="111111"/>
          <w:sz w:val="22"/>
          <w:szCs w:val="22"/>
          <w:shd w:val="clear" w:color="auto" w:fill="FFFFFF"/>
        </w:rPr>
        <w:t>-f</w:t>
      </w:r>
      <w:r w:rsidRPr="0028351E">
        <w:rPr>
          <w:rFonts w:asciiTheme="minorHAnsi" w:hAnsiTheme="minorHAnsi" w:cstheme="minorHAnsi"/>
          <w:color w:val="111111"/>
          <w:sz w:val="22"/>
          <w:szCs w:val="22"/>
          <w:shd w:val="clear" w:color="auto" w:fill="FFFFFF"/>
        </w:rPr>
        <w:t>amily dwelling, which together constitute a single interest in real estate.</w:t>
      </w:r>
      <w:r w:rsidR="00BA5D4A">
        <w:rPr>
          <w:rFonts w:asciiTheme="minorHAnsi" w:hAnsiTheme="minorHAnsi" w:cstheme="minorHAnsi"/>
          <w:color w:val="111111"/>
          <w:sz w:val="22"/>
          <w:szCs w:val="22"/>
          <w:shd w:val="clear" w:color="auto" w:fill="FFFFFF"/>
        </w:rPr>
        <w:t xml:space="preserve"> These units are often commonly referred to as accessory or in=law apartments. </w:t>
      </w:r>
    </w:p>
    <w:p w14:paraId="029064D4" w14:textId="77777777" w:rsidR="00BA5D4A" w:rsidRDefault="00BA5D4A" w:rsidP="00F65EA4">
      <w:pPr>
        <w:tabs>
          <w:tab w:val="left" w:pos="0"/>
        </w:tabs>
        <w:jc w:val="both"/>
        <w:rPr>
          <w:rFonts w:asciiTheme="minorHAnsi" w:hAnsiTheme="minorHAnsi" w:cstheme="minorHAnsi"/>
          <w:color w:val="111111"/>
          <w:sz w:val="22"/>
          <w:szCs w:val="22"/>
          <w:shd w:val="clear" w:color="auto" w:fill="FFFFFF"/>
        </w:rPr>
      </w:pPr>
    </w:p>
    <w:p w14:paraId="12F77773" w14:textId="3E9C059E" w:rsidR="00F65EA4" w:rsidRPr="0028351E" w:rsidRDefault="00F65EA4" w:rsidP="00F65EA4">
      <w:pPr>
        <w:tabs>
          <w:tab w:val="left" w:pos="0"/>
        </w:tabs>
        <w:jc w:val="both"/>
        <w:rPr>
          <w:rFonts w:asciiTheme="minorHAnsi" w:hAnsiTheme="minorHAnsi" w:cstheme="minorHAnsi"/>
          <w:b/>
          <w:bCs/>
          <w:sz w:val="22"/>
          <w:szCs w:val="22"/>
        </w:rPr>
      </w:pPr>
      <w:r w:rsidRPr="0028351E">
        <w:rPr>
          <w:rFonts w:asciiTheme="minorHAnsi" w:hAnsiTheme="minorHAnsi" w:cstheme="minorHAnsi"/>
          <w:b/>
          <w:bCs/>
          <w:sz w:val="22"/>
          <w:szCs w:val="22"/>
        </w:rPr>
        <w:t>Affordable Housing</w:t>
      </w:r>
    </w:p>
    <w:p w14:paraId="4960B136" w14:textId="5719A8A7" w:rsidR="00F65EA4" w:rsidRPr="008E78EB" w:rsidRDefault="007A6CF8" w:rsidP="00F65EA4">
      <w:pPr>
        <w:tabs>
          <w:tab w:val="left" w:pos="0"/>
        </w:tabs>
        <w:jc w:val="both"/>
        <w:rPr>
          <w:rFonts w:asciiTheme="minorHAnsi" w:hAnsiTheme="minorHAnsi" w:cstheme="minorHAnsi"/>
          <w:sz w:val="22"/>
          <w:szCs w:val="22"/>
        </w:rPr>
      </w:pPr>
      <w:r w:rsidRPr="008E78EB">
        <w:rPr>
          <w:rFonts w:asciiTheme="minorHAnsi" w:hAnsiTheme="minorHAnsi" w:cstheme="minorHAnsi"/>
          <w:sz w:val="22"/>
          <w:szCs w:val="22"/>
        </w:rPr>
        <w:t>In general, affordable housing is available to low- or moderate-income households</w:t>
      </w:r>
      <w:r w:rsidR="00623C61" w:rsidRPr="008E78EB">
        <w:rPr>
          <w:rFonts w:asciiTheme="minorHAnsi" w:hAnsiTheme="minorHAnsi" w:cstheme="minorHAnsi"/>
          <w:sz w:val="22"/>
          <w:szCs w:val="22"/>
        </w:rPr>
        <w:t xml:space="preserve"> with incomes at or below 80% of area median income (AMI)</w:t>
      </w:r>
      <w:r w:rsidRPr="008E78EB">
        <w:rPr>
          <w:rFonts w:asciiTheme="minorHAnsi" w:hAnsiTheme="minorHAnsi" w:cstheme="minorHAnsi"/>
          <w:sz w:val="22"/>
          <w:szCs w:val="22"/>
        </w:rPr>
        <w:t xml:space="preserve"> at a cost of no more than 30%  of household income. Affordable housing includes subsidized housing units that are regulated, means-tested, and eligible for inclusion in the Subsidized Housing Inventory (SHI).  There are also units that may be moderately-priced and do not qualify for</w:t>
      </w:r>
      <w:r w:rsidR="00623C61" w:rsidRPr="008E78EB">
        <w:rPr>
          <w:rFonts w:asciiTheme="minorHAnsi" w:hAnsiTheme="minorHAnsi" w:cstheme="minorHAnsi"/>
          <w:sz w:val="22"/>
          <w:szCs w:val="22"/>
        </w:rPr>
        <w:t xml:space="preserve"> the SHI  that are available on the open market and referred to as Market Affordable Housing.</w:t>
      </w:r>
    </w:p>
    <w:p w14:paraId="7C8CEB97" w14:textId="77777777" w:rsidR="008E78EB" w:rsidRDefault="008E78EB" w:rsidP="00F65EA4">
      <w:pPr>
        <w:tabs>
          <w:tab w:val="left" w:pos="0"/>
        </w:tabs>
        <w:jc w:val="both"/>
        <w:rPr>
          <w:rFonts w:asciiTheme="minorHAnsi" w:hAnsiTheme="minorHAnsi" w:cstheme="minorHAnsi"/>
          <w:b/>
          <w:bCs/>
          <w:sz w:val="22"/>
          <w:szCs w:val="22"/>
        </w:rPr>
      </w:pPr>
    </w:p>
    <w:p w14:paraId="1D7B4BCC" w14:textId="697304D2"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Area Median Income (AMI)</w:t>
      </w:r>
    </w:p>
    <w:p w14:paraId="1E178928"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The estimated median income, adjusted for family size, by metropolitan area (or county in nonmetropolitan areas) that is adjusted by HUD annually and used as the basis of eligibility for most housing assistance programs.  Sometimes referred to as “MFI” or median family income.</w:t>
      </w:r>
    </w:p>
    <w:p w14:paraId="07F59847" w14:textId="77777777" w:rsidR="00F65EA4" w:rsidRDefault="00F65EA4" w:rsidP="00F65EA4">
      <w:pPr>
        <w:tabs>
          <w:tab w:val="left" w:pos="0"/>
        </w:tabs>
        <w:jc w:val="both"/>
        <w:rPr>
          <w:rFonts w:asciiTheme="minorHAnsi" w:hAnsiTheme="minorHAnsi" w:cstheme="minorHAnsi"/>
          <w:b/>
          <w:bCs/>
          <w:sz w:val="22"/>
          <w:szCs w:val="22"/>
        </w:rPr>
      </w:pPr>
    </w:p>
    <w:p w14:paraId="73DF9FFA"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As-of-right or By-right Development</w:t>
      </w:r>
    </w:p>
    <w:p w14:paraId="65091EE6" w14:textId="77777777" w:rsidR="00F65EA4" w:rsidRPr="00F65EA4" w:rsidRDefault="00F65EA4" w:rsidP="00F65EA4">
      <w:pPr>
        <w:tabs>
          <w:tab w:val="left" w:pos="0"/>
        </w:tabs>
        <w:jc w:val="both"/>
        <w:rPr>
          <w:rFonts w:asciiTheme="minorHAnsi" w:hAnsiTheme="minorHAnsi" w:cstheme="minorHAnsi"/>
          <w:b/>
          <w:bCs/>
          <w:sz w:val="22"/>
          <w:szCs w:val="22"/>
        </w:rPr>
      </w:pPr>
      <w:r w:rsidRPr="00690C4B">
        <w:rPr>
          <w:rFonts w:asciiTheme="minorHAnsi" w:hAnsiTheme="minorHAnsi" w:cstheme="minorHAnsi"/>
          <w:sz w:val="22"/>
          <w:szCs w:val="22"/>
          <w:shd w:val="clear" w:color="auto" w:fill="FFFFFF"/>
        </w:rPr>
        <w:t>As-of-right or by-right development involves</w:t>
      </w:r>
      <w:r w:rsidRPr="00690C4B">
        <w:rPr>
          <w:rStyle w:val="Strong"/>
          <w:rFonts w:asciiTheme="minorHAnsi" w:hAnsiTheme="minorHAnsi" w:cstheme="minorHAnsi"/>
          <w:sz w:val="22"/>
          <w:szCs w:val="22"/>
          <w:shd w:val="clear" w:color="auto" w:fill="FFFFFF"/>
        </w:rPr>
        <w:t> </w:t>
      </w:r>
      <w:r w:rsidRPr="00F65EA4">
        <w:rPr>
          <w:rStyle w:val="Strong"/>
          <w:rFonts w:asciiTheme="minorHAnsi" w:hAnsiTheme="minorHAnsi" w:cstheme="minorHAnsi"/>
          <w:b w:val="0"/>
          <w:bCs w:val="0"/>
          <w:sz w:val="22"/>
          <w:szCs w:val="22"/>
          <w:shd w:val="clear" w:color="auto" w:fill="FFFFFF"/>
        </w:rPr>
        <w:t>a use that is permitted in a zoning district and is therefore not subject to special review and approval by a local government.</w:t>
      </w:r>
    </w:p>
    <w:p w14:paraId="29F338BE" w14:textId="77777777" w:rsidR="00F65EA4" w:rsidRPr="00AC240B" w:rsidRDefault="00F65EA4" w:rsidP="00F65EA4">
      <w:pPr>
        <w:tabs>
          <w:tab w:val="left" w:pos="0"/>
        </w:tabs>
        <w:jc w:val="both"/>
        <w:rPr>
          <w:rFonts w:asciiTheme="minorHAnsi" w:hAnsiTheme="minorHAnsi" w:cstheme="minorHAnsi"/>
          <w:sz w:val="22"/>
          <w:szCs w:val="22"/>
        </w:rPr>
      </w:pPr>
    </w:p>
    <w:p w14:paraId="72D4AD08"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Chapter 40B</w:t>
      </w:r>
    </w:p>
    <w:p w14:paraId="63FF0E34"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The state’s comprehensive permit law, enacted in 1969, established an affordable housing goal of 10% for every community.  In communities below the 10% goal, developers of low- and moderate-income housing can seek an expedited local review under the comprehensive permit process and can request a limited waiver of local zoning and other restrictions, which hamper construction of affordable housing.  Developers can appeal to the state if their application is denied or approved with conditions that render it uneconomic, and the state can overturn the local decision if it finds it unreasonable in light of the need for affordable housing.</w:t>
      </w:r>
    </w:p>
    <w:p w14:paraId="4AD0DC4C" w14:textId="77777777" w:rsidR="00F65EA4" w:rsidRPr="00AC240B" w:rsidRDefault="00F65EA4" w:rsidP="00F65EA4">
      <w:pPr>
        <w:tabs>
          <w:tab w:val="left" w:pos="0"/>
        </w:tabs>
        <w:jc w:val="both"/>
        <w:rPr>
          <w:rFonts w:asciiTheme="minorHAnsi" w:hAnsiTheme="minorHAnsi" w:cstheme="minorHAnsi"/>
          <w:sz w:val="22"/>
          <w:szCs w:val="22"/>
        </w:rPr>
      </w:pPr>
    </w:p>
    <w:p w14:paraId="49A02FAB"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Chapter 40R/40S</w:t>
      </w:r>
    </w:p>
    <w:p w14:paraId="215187B8"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State legislation that provides cash incentives to municipalities that adopt smart growth overlay districts that also increase housing production, including affordable housing (see Appendix 4 for details).</w:t>
      </w:r>
    </w:p>
    <w:p w14:paraId="4FD05417" w14:textId="77777777" w:rsidR="00F65EA4" w:rsidRPr="00AC240B" w:rsidRDefault="00F65EA4" w:rsidP="00F65EA4">
      <w:pPr>
        <w:tabs>
          <w:tab w:val="left" w:pos="0"/>
        </w:tabs>
        <w:jc w:val="both"/>
        <w:rPr>
          <w:rFonts w:asciiTheme="minorHAnsi" w:hAnsiTheme="minorHAnsi" w:cstheme="minorHAnsi"/>
          <w:sz w:val="22"/>
          <w:szCs w:val="22"/>
        </w:rPr>
      </w:pPr>
    </w:p>
    <w:p w14:paraId="0636E3AE"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Chapter 44B</w:t>
      </w:r>
    </w:p>
    <w:p w14:paraId="02C93E37"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The Community Preservation Act Enabling Legislation that allows communities, at local option, to establish a Community Preservation Fund to preserve open space, historic resources and community housing, by imposing a surcharge of up to 3% on local property taxes.  The state provides matching funds from its own Community Preservation Trust Fund, generated from an increase in certain Registry of Deeds’ fees.</w:t>
      </w:r>
    </w:p>
    <w:p w14:paraId="7D6479B3" w14:textId="77777777" w:rsidR="00F65EA4" w:rsidRPr="00AC240B" w:rsidRDefault="00F65EA4" w:rsidP="00F65EA4">
      <w:pPr>
        <w:pStyle w:val="Heading8"/>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lastRenderedPageBreak/>
        <w:t>Cluster Development</w:t>
      </w:r>
    </w:p>
    <w:p w14:paraId="129DD14D"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site planning technique that concentrates buildings in specific areas on the site to allow the remaining land to be used for other uses, most typically open space preservation.  Some provisions allow density bonuses for certain conditions of development, including affordable housing.</w:t>
      </w:r>
    </w:p>
    <w:p w14:paraId="4B733889" w14:textId="77777777" w:rsidR="00F65EA4" w:rsidRPr="00AC240B" w:rsidRDefault="00F65EA4" w:rsidP="00F65EA4">
      <w:pPr>
        <w:tabs>
          <w:tab w:val="left" w:pos="0"/>
        </w:tabs>
        <w:jc w:val="both"/>
        <w:rPr>
          <w:rFonts w:asciiTheme="minorHAnsi" w:hAnsiTheme="minorHAnsi" w:cstheme="minorHAnsi"/>
          <w:sz w:val="22"/>
          <w:szCs w:val="22"/>
        </w:rPr>
      </w:pPr>
    </w:p>
    <w:p w14:paraId="1E4CB723"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Comprehensive Permit</w:t>
      </w:r>
    </w:p>
    <w:p w14:paraId="001A8B9E"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Expedited permitting process for developers building affordable housing under Chapter 40B “anti-snob zoning” law.  A comprehensive permit, rather than multiple individual permits from various local boards, is issued by the local zoning boards of appeals to qualifying developers (see Appendix 4 for details).</w:t>
      </w:r>
    </w:p>
    <w:p w14:paraId="156ACDF8" w14:textId="77777777" w:rsidR="00F65EA4" w:rsidRPr="00AC240B" w:rsidRDefault="00F65EA4" w:rsidP="00F65EA4">
      <w:pPr>
        <w:pStyle w:val="Heading8"/>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Conservation Development</w:t>
      </w:r>
    </w:p>
    <w:p w14:paraId="3D6C64F5"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project that conserves open space, protects site features and provides flexibility in the siting of structures, services and infrastructure.</w:t>
      </w:r>
    </w:p>
    <w:p w14:paraId="0269E640" w14:textId="77777777" w:rsidR="00F65EA4" w:rsidRPr="00AC240B" w:rsidRDefault="00F65EA4" w:rsidP="00F65EA4">
      <w:pPr>
        <w:tabs>
          <w:tab w:val="left" w:pos="0"/>
        </w:tabs>
        <w:jc w:val="both"/>
        <w:rPr>
          <w:rFonts w:asciiTheme="minorHAnsi" w:hAnsiTheme="minorHAnsi" w:cstheme="minorHAnsi"/>
          <w:sz w:val="22"/>
          <w:szCs w:val="22"/>
        </w:rPr>
      </w:pPr>
    </w:p>
    <w:p w14:paraId="33B2E9BC"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Department of Housing and Community Development (DHCD)</w:t>
      </w:r>
    </w:p>
    <w:p w14:paraId="71BDABE3"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DHCD is the state’s lead agency for housing and community development programs and policy.  It oversees state-funded public housing, administers rental assistance programs, provides funds for municipal assistance, and funds a variety of programs to stimulate the development of affordable housing.</w:t>
      </w:r>
    </w:p>
    <w:p w14:paraId="14780519" w14:textId="77777777" w:rsidR="00F65EA4" w:rsidRPr="00AC240B" w:rsidRDefault="00F65EA4" w:rsidP="00F65EA4">
      <w:pPr>
        <w:tabs>
          <w:tab w:val="left" w:pos="0"/>
        </w:tabs>
        <w:jc w:val="both"/>
        <w:rPr>
          <w:rFonts w:asciiTheme="minorHAnsi" w:hAnsiTheme="minorHAnsi" w:cstheme="minorHAnsi"/>
          <w:sz w:val="22"/>
          <w:szCs w:val="22"/>
        </w:rPr>
      </w:pPr>
    </w:p>
    <w:p w14:paraId="198148BB" w14:textId="28B64AAC" w:rsidR="00F65EA4" w:rsidRDefault="00F65EA4" w:rsidP="00F65EA4">
      <w:pPr>
        <w:pStyle w:val="Heading8"/>
        <w:tabs>
          <w:tab w:val="left" w:pos="0"/>
        </w:tabs>
        <w:spacing w:before="0"/>
        <w:jc w:val="both"/>
        <w:rPr>
          <w:rFonts w:asciiTheme="minorHAnsi" w:hAnsiTheme="minorHAnsi" w:cstheme="minorHAnsi"/>
          <w:b/>
          <w:bCs/>
          <w:sz w:val="22"/>
          <w:szCs w:val="22"/>
        </w:rPr>
      </w:pPr>
      <w:r>
        <w:rPr>
          <w:rFonts w:asciiTheme="minorHAnsi" w:hAnsiTheme="minorHAnsi" w:cstheme="minorHAnsi"/>
          <w:b/>
          <w:bCs/>
          <w:sz w:val="22"/>
          <w:szCs w:val="22"/>
        </w:rPr>
        <w:t>Density</w:t>
      </w:r>
    </w:p>
    <w:p w14:paraId="745B7F2C" w14:textId="0DF724F2" w:rsidR="00F65EA4" w:rsidRPr="00F65EA4" w:rsidRDefault="00F65EA4" w:rsidP="0028351E">
      <w:pPr>
        <w:jc w:val="both"/>
        <w:rPr>
          <w:rFonts w:asciiTheme="minorHAnsi" w:hAnsiTheme="minorHAnsi" w:cstheme="minorHAnsi"/>
          <w:sz w:val="22"/>
          <w:szCs w:val="22"/>
        </w:rPr>
      </w:pPr>
      <w:r w:rsidRPr="00F65EA4">
        <w:rPr>
          <w:rFonts w:asciiTheme="minorHAnsi" w:hAnsiTheme="minorHAnsi" w:cstheme="minorHAnsi"/>
          <w:sz w:val="22"/>
          <w:szCs w:val="22"/>
        </w:rPr>
        <w:t>With respect to housing, density means the number of units per any defined area of land.</w:t>
      </w:r>
      <w:r>
        <w:rPr>
          <w:rFonts w:asciiTheme="minorHAnsi" w:hAnsiTheme="minorHAnsi" w:cstheme="minorHAnsi"/>
          <w:sz w:val="22"/>
          <w:szCs w:val="22"/>
        </w:rPr>
        <w:t xml:space="preserve">  The greater the density, the greater the potential economies of scale and typically </w:t>
      </w:r>
      <w:r w:rsidR="0028351E">
        <w:rPr>
          <w:rFonts w:asciiTheme="minorHAnsi" w:hAnsiTheme="minorHAnsi" w:cstheme="minorHAnsi"/>
          <w:sz w:val="22"/>
          <w:szCs w:val="22"/>
        </w:rPr>
        <w:t>reduced individual units costs.</w:t>
      </w:r>
    </w:p>
    <w:p w14:paraId="1826178C" w14:textId="77777777" w:rsidR="00F65EA4" w:rsidRPr="00F65EA4" w:rsidRDefault="00F65EA4" w:rsidP="00F65EA4"/>
    <w:p w14:paraId="5B685DA2" w14:textId="0255328F" w:rsidR="00F65EA4" w:rsidRPr="00AC240B" w:rsidRDefault="00F65EA4" w:rsidP="00F65EA4">
      <w:pPr>
        <w:pStyle w:val="Heading8"/>
        <w:tabs>
          <w:tab w:val="left" w:pos="0"/>
        </w:tabs>
        <w:spacing w:before="0"/>
        <w:jc w:val="both"/>
        <w:rPr>
          <w:rFonts w:asciiTheme="minorHAnsi" w:hAnsiTheme="minorHAnsi" w:cstheme="minorHAnsi"/>
          <w:b/>
          <w:bCs/>
          <w:sz w:val="22"/>
          <w:szCs w:val="22"/>
        </w:rPr>
      </w:pPr>
      <w:r w:rsidRPr="00AC240B">
        <w:rPr>
          <w:rFonts w:asciiTheme="minorHAnsi" w:hAnsiTheme="minorHAnsi" w:cstheme="minorHAnsi"/>
          <w:b/>
          <w:bCs/>
          <w:sz w:val="22"/>
          <w:szCs w:val="22"/>
        </w:rPr>
        <w:t>Design Guidelines</w:t>
      </w:r>
    </w:p>
    <w:p w14:paraId="4DDCE99D"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A set of discretionary standards, including design and performance criteria, developed as a public policy to guide the planning and land development.</w:t>
      </w:r>
    </w:p>
    <w:p w14:paraId="2EFB1D1A" w14:textId="77777777" w:rsidR="00F65EA4" w:rsidRPr="00AC240B" w:rsidRDefault="00F65EA4" w:rsidP="00F65EA4">
      <w:pPr>
        <w:tabs>
          <w:tab w:val="left" w:pos="0"/>
        </w:tabs>
        <w:jc w:val="both"/>
        <w:rPr>
          <w:rFonts w:asciiTheme="minorHAnsi" w:hAnsiTheme="minorHAnsi" w:cstheme="minorHAnsi"/>
          <w:sz w:val="22"/>
          <w:szCs w:val="22"/>
        </w:rPr>
      </w:pPr>
    </w:p>
    <w:p w14:paraId="72984BF4"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Easements</w:t>
      </w:r>
    </w:p>
    <w:p w14:paraId="57A6C3DA"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The right to use property for specific purposes or to gain access to another property.</w:t>
      </w:r>
    </w:p>
    <w:p w14:paraId="33B477E9"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p>
    <w:p w14:paraId="2D68E6D5" w14:textId="77777777" w:rsidR="00F65EA4" w:rsidRPr="00AC240B" w:rsidRDefault="00F65EA4" w:rsidP="00F65EA4">
      <w:pPr>
        <w:pStyle w:val="BodyText2"/>
        <w:tabs>
          <w:tab w:val="left" w:pos="0"/>
        </w:tabs>
        <w:spacing w:after="0" w:line="240" w:lineRule="auto"/>
        <w:jc w:val="both"/>
        <w:rPr>
          <w:rFonts w:asciiTheme="minorHAnsi" w:hAnsiTheme="minorHAnsi" w:cstheme="minorHAnsi"/>
          <w:b/>
          <w:bCs/>
          <w:sz w:val="22"/>
          <w:szCs w:val="22"/>
        </w:rPr>
      </w:pPr>
      <w:r w:rsidRPr="00AC240B">
        <w:rPr>
          <w:rFonts w:asciiTheme="minorHAnsi" w:hAnsiTheme="minorHAnsi" w:cstheme="minorHAnsi"/>
          <w:b/>
          <w:bCs/>
          <w:sz w:val="22"/>
          <w:szCs w:val="22"/>
        </w:rPr>
        <w:t>Energy Star</w:t>
      </w:r>
    </w:p>
    <w:p w14:paraId="2C6C5445"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A voluntary labeling program of the US Environmental Protection Agency (EPA) and the US Department of Energy that identifies energy efficient products.</w:t>
      </w:r>
    </w:p>
    <w:p w14:paraId="52E99B34"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p>
    <w:p w14:paraId="66F4064F" w14:textId="77777777" w:rsidR="00F65EA4" w:rsidRPr="00AC240B" w:rsidRDefault="00F65EA4" w:rsidP="00F65EA4">
      <w:pPr>
        <w:pStyle w:val="BodyText2"/>
        <w:tabs>
          <w:tab w:val="left" w:pos="0"/>
        </w:tabs>
        <w:spacing w:after="0" w:line="240" w:lineRule="auto"/>
        <w:jc w:val="both"/>
        <w:rPr>
          <w:rFonts w:asciiTheme="minorHAnsi" w:hAnsiTheme="minorHAnsi" w:cstheme="minorHAnsi"/>
          <w:b/>
          <w:bCs/>
          <w:sz w:val="22"/>
          <w:szCs w:val="22"/>
        </w:rPr>
      </w:pPr>
      <w:r w:rsidRPr="00AC240B">
        <w:rPr>
          <w:rFonts w:asciiTheme="minorHAnsi" w:hAnsiTheme="minorHAnsi" w:cstheme="minorHAnsi"/>
          <w:b/>
          <w:bCs/>
          <w:sz w:val="22"/>
          <w:szCs w:val="22"/>
        </w:rPr>
        <w:t>Enhanced Single Room Occupancy (ESRO)</w:t>
      </w:r>
    </w:p>
    <w:p w14:paraId="3AA2FE89"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A single person room with a private bath and/or kitchen rather than shared facilities.</w:t>
      </w:r>
    </w:p>
    <w:p w14:paraId="1A0B8E96"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p>
    <w:p w14:paraId="4869C88A" w14:textId="77777777" w:rsidR="00F65EA4" w:rsidRPr="00AC240B" w:rsidRDefault="00F65EA4" w:rsidP="00F65EA4">
      <w:pPr>
        <w:pStyle w:val="BodyText2"/>
        <w:tabs>
          <w:tab w:val="left" w:pos="0"/>
        </w:tabs>
        <w:spacing w:after="0" w:line="240" w:lineRule="auto"/>
        <w:jc w:val="both"/>
        <w:rPr>
          <w:rFonts w:asciiTheme="minorHAnsi" w:hAnsiTheme="minorHAnsi" w:cstheme="minorHAnsi"/>
          <w:b/>
          <w:bCs/>
          <w:sz w:val="22"/>
          <w:szCs w:val="22"/>
        </w:rPr>
      </w:pPr>
      <w:r w:rsidRPr="00AC240B">
        <w:rPr>
          <w:rFonts w:asciiTheme="minorHAnsi" w:hAnsiTheme="minorHAnsi" w:cstheme="minorHAnsi"/>
          <w:b/>
          <w:bCs/>
          <w:sz w:val="22"/>
          <w:szCs w:val="22"/>
        </w:rPr>
        <w:t>Expedited Permitting</w:t>
      </w:r>
    </w:p>
    <w:p w14:paraId="1D3F2AE1"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The state’s Chapter 43D Program allows a community to gain state incentives for projects meeting certain criteria and permitted within a 180-day regulatory process.</w:t>
      </w:r>
    </w:p>
    <w:p w14:paraId="1B5CBDED"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p>
    <w:p w14:paraId="4FEEEBD0"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Fair Housing Act</w:t>
      </w:r>
    </w:p>
    <w:p w14:paraId="1BD965AE"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 xml:space="preserve">Federal legislation, first enacted in 1968, that provides the Secretary of HUD with investigation and enforcement responsibilities for fair housing practices.  It prohibits discrimination in housing and lending based on race, color, religion, sex, national origin, handicap, or familial status.  There is also a Massachusetts Fair Housing Act, which extends the prohibition against discrimination to sexual orientation, marital status, ancestry, veteran status, children, and age.  The state law also prohibits </w:t>
      </w:r>
      <w:r w:rsidRPr="00AC240B">
        <w:rPr>
          <w:rFonts w:asciiTheme="minorHAnsi" w:hAnsiTheme="minorHAnsi" w:cstheme="minorHAnsi"/>
          <w:sz w:val="22"/>
          <w:szCs w:val="22"/>
        </w:rPr>
        <w:lastRenderedPageBreak/>
        <w:t>discrimination against families receiving public assistance or rental subsidies, or because of any requirement of these programs.</w:t>
      </w:r>
    </w:p>
    <w:p w14:paraId="7E1E72E3" w14:textId="77777777" w:rsidR="00F65EA4" w:rsidRPr="00AC240B" w:rsidRDefault="00F65EA4" w:rsidP="00F65EA4">
      <w:pPr>
        <w:tabs>
          <w:tab w:val="left" w:pos="0"/>
        </w:tabs>
        <w:jc w:val="both"/>
        <w:rPr>
          <w:rFonts w:asciiTheme="minorHAnsi" w:hAnsiTheme="minorHAnsi" w:cstheme="minorHAnsi"/>
          <w:sz w:val="22"/>
          <w:szCs w:val="22"/>
        </w:rPr>
      </w:pPr>
    </w:p>
    <w:p w14:paraId="712A74E2" w14:textId="77777777" w:rsidR="00F65EA4" w:rsidRPr="00AC240B" w:rsidRDefault="00F65EA4" w:rsidP="00F65EA4">
      <w:pPr>
        <w:pStyle w:val="BodyText2"/>
        <w:tabs>
          <w:tab w:val="left" w:pos="0"/>
        </w:tabs>
        <w:spacing w:after="0" w:line="240" w:lineRule="auto"/>
        <w:jc w:val="both"/>
        <w:rPr>
          <w:rFonts w:asciiTheme="minorHAnsi" w:hAnsiTheme="minorHAnsi" w:cstheme="minorHAnsi"/>
          <w:b/>
          <w:bCs/>
          <w:sz w:val="22"/>
          <w:szCs w:val="22"/>
        </w:rPr>
      </w:pPr>
      <w:r w:rsidRPr="00AC240B">
        <w:rPr>
          <w:rFonts w:asciiTheme="minorHAnsi" w:hAnsiTheme="minorHAnsi" w:cstheme="minorHAnsi"/>
          <w:b/>
          <w:bCs/>
          <w:sz w:val="22"/>
          <w:szCs w:val="22"/>
        </w:rPr>
        <w:t>Form-based Zoning</w:t>
      </w:r>
    </w:p>
    <w:p w14:paraId="04D2FD36" w14:textId="77777777" w:rsidR="00F65EA4" w:rsidRPr="00AC240B" w:rsidRDefault="00F65EA4" w:rsidP="00F65EA4">
      <w:pPr>
        <w:pStyle w:val="BodyText2"/>
        <w:tabs>
          <w:tab w:val="left" w:pos="0"/>
        </w:tabs>
        <w:spacing w:after="0" w:line="240" w:lineRule="auto"/>
        <w:jc w:val="both"/>
        <w:rPr>
          <w:rFonts w:asciiTheme="minorHAnsi" w:hAnsiTheme="minorHAnsi" w:cstheme="minorHAnsi"/>
          <w:sz w:val="22"/>
          <w:szCs w:val="22"/>
        </w:rPr>
      </w:pPr>
      <w:r w:rsidRPr="00AC240B">
        <w:rPr>
          <w:rFonts w:asciiTheme="minorHAnsi" w:hAnsiTheme="minorHAnsi" w:cstheme="minorHAnsi"/>
          <w:sz w:val="22"/>
          <w:szCs w:val="22"/>
        </w:rPr>
        <w:t xml:space="preserve">Zoning regulations that define desired building and site characteristics but do not strictly regulate the uses. </w:t>
      </w:r>
    </w:p>
    <w:p w14:paraId="2D48C4E1" w14:textId="77777777" w:rsidR="00F65EA4" w:rsidRPr="00AC240B" w:rsidRDefault="00F65EA4" w:rsidP="00F65EA4">
      <w:pPr>
        <w:tabs>
          <w:tab w:val="left" w:pos="0"/>
        </w:tabs>
        <w:jc w:val="both"/>
        <w:rPr>
          <w:rFonts w:asciiTheme="minorHAnsi" w:hAnsiTheme="minorHAnsi" w:cstheme="minorHAnsi"/>
          <w:sz w:val="22"/>
          <w:szCs w:val="22"/>
        </w:rPr>
      </w:pPr>
    </w:p>
    <w:p w14:paraId="5BB5B16C" w14:textId="77777777" w:rsidR="00F65EA4" w:rsidRPr="00AC240B" w:rsidRDefault="00F65EA4" w:rsidP="00F65EA4">
      <w:pPr>
        <w:pStyle w:val="Heading8"/>
        <w:tabs>
          <w:tab w:val="left" w:pos="0"/>
        </w:tabs>
        <w:spacing w:before="0"/>
        <w:jc w:val="both"/>
        <w:rPr>
          <w:rFonts w:asciiTheme="minorHAnsi" w:hAnsiTheme="minorHAnsi" w:cstheme="minorHAnsi"/>
          <w:b/>
          <w:bCs/>
          <w:sz w:val="22"/>
          <w:szCs w:val="22"/>
        </w:rPr>
      </w:pPr>
      <w:r w:rsidRPr="00AC240B">
        <w:rPr>
          <w:rFonts w:asciiTheme="minorHAnsi" w:hAnsiTheme="minorHAnsi" w:cstheme="minorHAnsi"/>
          <w:b/>
          <w:bCs/>
          <w:sz w:val="22"/>
          <w:szCs w:val="22"/>
        </w:rPr>
        <w:t>Green Building</w:t>
      </w:r>
    </w:p>
    <w:p w14:paraId="64645339"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term used to describe buildings that have been designed or retrofitted to reduce energy consumption.</w:t>
      </w:r>
    </w:p>
    <w:p w14:paraId="77D9AD7C" w14:textId="77777777" w:rsidR="00F65EA4" w:rsidRPr="00AC240B" w:rsidRDefault="00F65EA4" w:rsidP="00F65EA4">
      <w:pPr>
        <w:tabs>
          <w:tab w:val="left" w:pos="0"/>
        </w:tabs>
        <w:jc w:val="both"/>
        <w:rPr>
          <w:rFonts w:asciiTheme="minorHAnsi" w:hAnsiTheme="minorHAnsi" w:cstheme="minorHAnsi"/>
          <w:sz w:val="22"/>
          <w:szCs w:val="22"/>
        </w:rPr>
      </w:pPr>
    </w:p>
    <w:p w14:paraId="74E170F2"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Inclusionary Zoning</w:t>
      </w:r>
    </w:p>
    <w:p w14:paraId="07B6DA58"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Inclusionary zoning is a zoning ordinance or bylaw that requires a developer to include affordable housing as part of a development or contribute to a fund for such housing.</w:t>
      </w:r>
    </w:p>
    <w:p w14:paraId="0CE32123" w14:textId="77777777" w:rsidR="00F65EA4" w:rsidRDefault="00F65EA4" w:rsidP="00F65EA4">
      <w:pPr>
        <w:tabs>
          <w:tab w:val="left" w:pos="0"/>
        </w:tabs>
        <w:jc w:val="both"/>
        <w:rPr>
          <w:rFonts w:asciiTheme="minorHAnsi" w:hAnsiTheme="minorHAnsi" w:cstheme="minorHAnsi"/>
          <w:sz w:val="22"/>
          <w:szCs w:val="22"/>
        </w:rPr>
      </w:pPr>
    </w:p>
    <w:p w14:paraId="249CF7D6"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Infill Development</w:t>
      </w:r>
    </w:p>
    <w:p w14:paraId="34DC8919"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Infill development is the practice of building on vacant or undeveloped parcels in dense areas, especially urban and inner suburban neighborhoods.  Such development promotes compact development, which in turn allows undeveloped land to remain open and green.</w:t>
      </w:r>
    </w:p>
    <w:p w14:paraId="0B8456B2" w14:textId="77777777" w:rsidR="00F65EA4" w:rsidRPr="00AC240B" w:rsidRDefault="00F65EA4" w:rsidP="00F65EA4">
      <w:pPr>
        <w:pStyle w:val="Heading8"/>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Jobs/Housing Balance</w:t>
      </w:r>
    </w:p>
    <w:p w14:paraId="6EFE94E2"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measure of the harmony between available jobs and housing in a specific area.</w:t>
      </w:r>
    </w:p>
    <w:p w14:paraId="37A29CB9" w14:textId="77777777" w:rsidR="00F65EA4" w:rsidRPr="00AC240B" w:rsidRDefault="00F65EA4" w:rsidP="00F65EA4">
      <w:pPr>
        <w:pStyle w:val="BodyText"/>
        <w:tabs>
          <w:tab w:val="left" w:pos="0"/>
        </w:tabs>
        <w:spacing w:after="0"/>
        <w:jc w:val="both"/>
        <w:rPr>
          <w:rFonts w:asciiTheme="minorHAnsi" w:hAnsiTheme="minorHAnsi" w:cstheme="minorHAnsi"/>
          <w:sz w:val="22"/>
          <w:szCs w:val="22"/>
        </w:rPr>
      </w:pPr>
    </w:p>
    <w:p w14:paraId="746335C1" w14:textId="77777777" w:rsidR="00F65EA4" w:rsidRPr="00AC240B" w:rsidRDefault="00F65EA4" w:rsidP="00F65EA4">
      <w:pPr>
        <w:pStyle w:val="BodyText"/>
        <w:tabs>
          <w:tab w:val="left" w:pos="0"/>
        </w:tabs>
        <w:spacing w:after="0"/>
        <w:jc w:val="both"/>
        <w:rPr>
          <w:rFonts w:asciiTheme="minorHAnsi" w:hAnsiTheme="minorHAnsi" w:cstheme="minorHAnsi"/>
          <w:b/>
          <w:bCs/>
          <w:sz w:val="22"/>
          <w:szCs w:val="22"/>
        </w:rPr>
      </w:pPr>
      <w:r w:rsidRPr="00AC240B">
        <w:rPr>
          <w:rFonts w:asciiTheme="minorHAnsi" w:hAnsiTheme="minorHAnsi" w:cstheme="minorHAnsi"/>
          <w:b/>
          <w:bCs/>
          <w:sz w:val="22"/>
          <w:szCs w:val="22"/>
        </w:rPr>
        <w:t>LEED</w:t>
      </w:r>
    </w:p>
    <w:p w14:paraId="1D121112"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Leadership in Energy and Environmental Design (LEED) is a voluntary standard for developing high performance, sustainable buildings that significantly reduce energy consumption.  There are various standards, including silver, gold and platinum, which are awarded to particular properties through a certification process.</w:t>
      </w:r>
    </w:p>
    <w:p w14:paraId="59259F01" w14:textId="77777777" w:rsidR="00F65EA4" w:rsidRPr="00AC240B" w:rsidRDefault="00F65EA4" w:rsidP="00F65EA4">
      <w:pPr>
        <w:tabs>
          <w:tab w:val="left" w:pos="0"/>
        </w:tabs>
        <w:jc w:val="both"/>
        <w:rPr>
          <w:rFonts w:asciiTheme="minorHAnsi" w:hAnsiTheme="minorHAnsi" w:cstheme="minorHAnsi"/>
          <w:sz w:val="22"/>
          <w:szCs w:val="22"/>
        </w:rPr>
      </w:pPr>
    </w:p>
    <w:p w14:paraId="1351BD70"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Local Initiative Program (LIP)</w:t>
      </w:r>
    </w:p>
    <w:p w14:paraId="41DD1D85"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LIP is a state program under which communities may use local resources and DHCD technical assistance to develop affordable housing that is eligible for inclusion on the state Subsidized Housing Inventory (SHI).  LIP is not a financing program, but the DHCD technical assistance qualifies as a subsidy and enables locally supported developments that do not require other financial subsidies to use the comprehensive permit process.  At least 25% of the units must be set-aside as affordable to households earning less than 80% of area median income (see Appendix 4 for more details).</w:t>
      </w:r>
    </w:p>
    <w:p w14:paraId="5AC25B1F" w14:textId="77777777" w:rsidR="00F65EA4" w:rsidRPr="00AC240B" w:rsidRDefault="00F65EA4" w:rsidP="00F65EA4">
      <w:pPr>
        <w:tabs>
          <w:tab w:val="left" w:pos="0"/>
        </w:tabs>
        <w:jc w:val="both"/>
        <w:rPr>
          <w:rFonts w:asciiTheme="minorHAnsi" w:hAnsiTheme="minorHAnsi" w:cstheme="minorHAnsi"/>
          <w:sz w:val="22"/>
          <w:szCs w:val="22"/>
        </w:rPr>
      </w:pPr>
    </w:p>
    <w:p w14:paraId="6D2E8C00"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MassHousing (formerly the Massachusetts Housing Finance Agency, MHFA)</w:t>
      </w:r>
    </w:p>
    <w:p w14:paraId="2DBDD0BD"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MassHousing is a quasi-public agency created in 1966 to help finance affordable housing programs.  MassHousing sells both tax-exempt and taxable bonds to finance its many single-family and multi-family programs.</w:t>
      </w:r>
    </w:p>
    <w:p w14:paraId="65FDBC7F" w14:textId="77777777" w:rsidR="00F65EA4" w:rsidRPr="00AC240B" w:rsidRDefault="00F65EA4" w:rsidP="00F65EA4">
      <w:pPr>
        <w:tabs>
          <w:tab w:val="left" w:pos="0"/>
        </w:tabs>
        <w:jc w:val="both"/>
        <w:rPr>
          <w:rFonts w:asciiTheme="minorHAnsi" w:hAnsiTheme="minorHAnsi" w:cstheme="minorHAnsi"/>
          <w:sz w:val="22"/>
          <w:szCs w:val="22"/>
        </w:rPr>
      </w:pPr>
    </w:p>
    <w:p w14:paraId="52354C2C"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Metropolitan Statistical Area (MSA)</w:t>
      </w:r>
    </w:p>
    <w:p w14:paraId="61B80D5F"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The term, MSA, is also used for CMSAs (consolidated metropolitan statistical areas) and PMSAs (primary metropolitan statistical areas) that are geographic units used for defining urban areas that are based largely on commuting patterns.  The federal Office of Management and Budget defines these areas for statistical purposes only, but many federal agencies use them for programmatic purposes, including allocating federal funds and determining program eligibility.  HUD uses MSAs as its basis for setting income guidelines and fair market rents.</w:t>
      </w:r>
    </w:p>
    <w:p w14:paraId="6CE5EA19" w14:textId="77777777" w:rsidR="00F65EA4" w:rsidRPr="00AC240B" w:rsidRDefault="00F65EA4" w:rsidP="00F65EA4">
      <w:pPr>
        <w:tabs>
          <w:tab w:val="left" w:pos="0"/>
        </w:tabs>
        <w:jc w:val="both"/>
        <w:rPr>
          <w:rFonts w:asciiTheme="minorHAnsi" w:hAnsiTheme="minorHAnsi" w:cstheme="minorHAnsi"/>
          <w:b/>
          <w:bCs/>
          <w:sz w:val="22"/>
          <w:szCs w:val="22"/>
        </w:rPr>
      </w:pPr>
    </w:p>
    <w:p w14:paraId="4B52B333"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Mixed-Income Housing Development</w:t>
      </w:r>
    </w:p>
    <w:p w14:paraId="3EB17794"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Mixed-income development includes housing for various income levels.</w:t>
      </w:r>
    </w:p>
    <w:p w14:paraId="3945509E" w14:textId="77777777" w:rsidR="00F65EA4" w:rsidRPr="00AC240B" w:rsidRDefault="00F65EA4" w:rsidP="00F65EA4">
      <w:pPr>
        <w:tabs>
          <w:tab w:val="left" w:pos="0"/>
        </w:tabs>
        <w:jc w:val="both"/>
        <w:rPr>
          <w:rFonts w:asciiTheme="minorHAnsi" w:hAnsiTheme="minorHAnsi" w:cstheme="minorHAnsi"/>
          <w:sz w:val="22"/>
          <w:szCs w:val="22"/>
        </w:rPr>
      </w:pPr>
    </w:p>
    <w:p w14:paraId="33328DCC"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Mixed-Use Development</w:t>
      </w:r>
    </w:p>
    <w:p w14:paraId="3576A121"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Mixed-use projects combine different types of development such as residential, commercial, office, industrial and institutional into one project.</w:t>
      </w:r>
    </w:p>
    <w:p w14:paraId="2310368C" w14:textId="77777777" w:rsidR="00F65EA4" w:rsidRPr="00AC240B" w:rsidRDefault="00F65EA4" w:rsidP="00F65EA4">
      <w:pPr>
        <w:tabs>
          <w:tab w:val="left" w:pos="0"/>
        </w:tabs>
        <w:jc w:val="both"/>
        <w:rPr>
          <w:rFonts w:asciiTheme="minorHAnsi" w:hAnsiTheme="minorHAnsi" w:cstheme="minorHAnsi"/>
          <w:sz w:val="22"/>
          <w:szCs w:val="22"/>
        </w:rPr>
      </w:pPr>
    </w:p>
    <w:p w14:paraId="0718250F" w14:textId="1110B813" w:rsidR="0028351E" w:rsidRDefault="0028351E" w:rsidP="00F65EA4">
      <w:pPr>
        <w:tabs>
          <w:tab w:val="left" w:pos="0"/>
        </w:tabs>
        <w:jc w:val="both"/>
        <w:rPr>
          <w:rFonts w:asciiTheme="minorHAnsi" w:hAnsiTheme="minorHAnsi" w:cstheme="minorHAnsi"/>
          <w:b/>
          <w:bCs/>
          <w:sz w:val="22"/>
          <w:szCs w:val="22"/>
        </w:rPr>
      </w:pPr>
      <w:r>
        <w:rPr>
          <w:rFonts w:asciiTheme="minorHAnsi" w:hAnsiTheme="minorHAnsi" w:cstheme="minorHAnsi"/>
          <w:b/>
          <w:bCs/>
          <w:sz w:val="22"/>
          <w:szCs w:val="22"/>
        </w:rPr>
        <w:t>Multi-family Housing</w:t>
      </w:r>
    </w:p>
    <w:p w14:paraId="497261D5" w14:textId="53410051" w:rsidR="0028351E" w:rsidRPr="0028351E" w:rsidRDefault="0028351E" w:rsidP="00F65EA4">
      <w:pPr>
        <w:tabs>
          <w:tab w:val="left" w:pos="0"/>
        </w:tabs>
        <w:jc w:val="both"/>
        <w:rPr>
          <w:rFonts w:asciiTheme="minorHAnsi" w:hAnsiTheme="minorHAnsi" w:cstheme="minorHAnsi"/>
          <w:sz w:val="22"/>
          <w:szCs w:val="22"/>
        </w:rPr>
      </w:pPr>
      <w:r>
        <w:rPr>
          <w:rFonts w:asciiTheme="minorHAnsi" w:hAnsiTheme="minorHAnsi" w:cstheme="minorHAnsi"/>
          <w:sz w:val="22"/>
          <w:szCs w:val="22"/>
        </w:rPr>
        <w:t>Multi-family housing or development could be considered structure with more than a single unit although generally refers to those with three or more units.</w:t>
      </w:r>
    </w:p>
    <w:p w14:paraId="68360E2B" w14:textId="77777777" w:rsidR="005B7E7D" w:rsidRDefault="005B7E7D" w:rsidP="00F65EA4">
      <w:pPr>
        <w:tabs>
          <w:tab w:val="left" w:pos="0"/>
        </w:tabs>
        <w:jc w:val="both"/>
        <w:rPr>
          <w:rFonts w:asciiTheme="minorHAnsi" w:hAnsiTheme="minorHAnsi" w:cstheme="minorHAnsi"/>
          <w:b/>
          <w:bCs/>
          <w:sz w:val="22"/>
          <w:szCs w:val="22"/>
        </w:rPr>
      </w:pPr>
    </w:p>
    <w:p w14:paraId="40095E3E" w14:textId="1456FD09"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Overlay Zoning</w:t>
      </w:r>
    </w:p>
    <w:p w14:paraId="42715201"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A zoning district, applied over one or more other districts that contains additional provisions for special features or conditions, such as historic buildings, affordable housing, or wetlands.</w:t>
      </w:r>
    </w:p>
    <w:p w14:paraId="611FC9BD" w14:textId="77777777" w:rsidR="00F65EA4" w:rsidRPr="00AC240B" w:rsidRDefault="00F65EA4" w:rsidP="00F65EA4">
      <w:pPr>
        <w:pStyle w:val="Heading8"/>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Planned Development</w:t>
      </w:r>
    </w:p>
    <w:p w14:paraId="1B8B4C1A"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district or project designed to provide an alternative to the conventional suburban development standards that promote a number of important public policy benefits, often including a variety of housing, including affordable housing, and creative site design alternatives.</w:t>
      </w:r>
    </w:p>
    <w:p w14:paraId="49F33F43" w14:textId="77777777" w:rsidR="00F65EA4" w:rsidRPr="00AC240B" w:rsidRDefault="00F65EA4" w:rsidP="00F65EA4">
      <w:pPr>
        <w:tabs>
          <w:tab w:val="left" w:pos="0"/>
        </w:tabs>
        <w:jc w:val="both"/>
        <w:rPr>
          <w:rFonts w:asciiTheme="minorHAnsi" w:hAnsiTheme="minorHAnsi" w:cstheme="minorHAnsi"/>
          <w:sz w:val="22"/>
          <w:szCs w:val="22"/>
        </w:rPr>
      </w:pPr>
    </w:p>
    <w:p w14:paraId="13CEC190"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Public Housing Agency (PHA)</w:t>
      </w:r>
    </w:p>
    <w:p w14:paraId="7DE46B14"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 xml:space="preserve">A public entity that operates housing programs: includes state housing agencies (including DHCD), housing finance agencies and local housing authorities.  This is a HUD definition that is used to describe the entities that are permitted to receive funds or administer a wide range of HUD programs including public housing and Section 8 rental assistance.  </w:t>
      </w:r>
    </w:p>
    <w:p w14:paraId="3EECE031" w14:textId="77777777" w:rsidR="00F65EA4" w:rsidRPr="00AC240B" w:rsidRDefault="00F65EA4" w:rsidP="00F65EA4">
      <w:pPr>
        <w:tabs>
          <w:tab w:val="left" w:pos="0"/>
        </w:tabs>
        <w:jc w:val="both"/>
        <w:rPr>
          <w:rFonts w:asciiTheme="minorHAnsi" w:hAnsiTheme="minorHAnsi" w:cstheme="minorHAnsi"/>
          <w:sz w:val="22"/>
          <w:szCs w:val="22"/>
        </w:rPr>
      </w:pPr>
    </w:p>
    <w:p w14:paraId="20619071"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Regional Non-profit Housing Organizations</w:t>
      </w:r>
    </w:p>
    <w:p w14:paraId="59EF1451"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 xml:space="preserve">Regional non-profit housing organizations include nine private, non-profit housing agencies, which administer the Section 8 Program on a statewide basis, under contract with DHCD.  Each agency serves a wide geographic region.  Collectively, they cover the entire state and administer over 15,000 Section 8 vouchers.  In addition to administering Section 8 subsidies, they administer state-funded rental assistance (MRVP) in communities without participating local housing authorities.  They also develop affordable housing and run housing rehabilitation and weatherization programs, operate homeless shelters, run homeless prevention and first-time homebuyer programs, and offer technical assistance and training programs for communities.  </w:t>
      </w:r>
    </w:p>
    <w:p w14:paraId="43EB5C64" w14:textId="77777777" w:rsidR="00F65EA4" w:rsidRPr="00AC240B" w:rsidRDefault="00F65EA4" w:rsidP="00F65EA4">
      <w:pPr>
        <w:tabs>
          <w:tab w:val="left" w:pos="0"/>
        </w:tabs>
        <w:jc w:val="both"/>
        <w:rPr>
          <w:rFonts w:asciiTheme="minorHAnsi" w:hAnsiTheme="minorHAnsi" w:cstheme="minorHAnsi"/>
          <w:sz w:val="22"/>
          <w:szCs w:val="22"/>
        </w:rPr>
      </w:pPr>
    </w:p>
    <w:p w14:paraId="3744308F"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Regional Planning Agencies (RPAs)</w:t>
      </w:r>
    </w:p>
    <w:p w14:paraId="4E07BBAF"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 xml:space="preserve">These are public agencies that coordinate planning in each of thirteen regions of the state.  They are empowered to undertake studies of resources, problems, and needs of their districts.  They provide professional expertise to communities in areas such as master planning, affordable housing and open space planning, and traffic impact studies.  With the exception of the Cape Cod and Nantucket Commissions, however, which are land use regulatory agencies as well as planning agencies, the RPAs serve in an advisory capacity only.  The Metropolitan Area Planning Council (MAPC) serves as </w:t>
      </w:r>
      <w:r>
        <w:rPr>
          <w:rFonts w:asciiTheme="minorHAnsi" w:hAnsiTheme="minorHAnsi" w:cstheme="minorHAnsi"/>
          <w:sz w:val="22"/>
          <w:szCs w:val="22"/>
        </w:rPr>
        <w:t>Needham</w:t>
      </w:r>
      <w:r w:rsidRPr="00AC240B">
        <w:rPr>
          <w:rFonts w:asciiTheme="minorHAnsi" w:hAnsiTheme="minorHAnsi" w:cstheme="minorHAnsi"/>
          <w:sz w:val="22"/>
          <w:szCs w:val="22"/>
        </w:rPr>
        <w:t>’s Regional Planning Agency.</w:t>
      </w:r>
    </w:p>
    <w:p w14:paraId="19B80B55" w14:textId="77777777" w:rsidR="00F65EA4" w:rsidRPr="00AC240B" w:rsidRDefault="00F65EA4" w:rsidP="00F65EA4">
      <w:pPr>
        <w:tabs>
          <w:tab w:val="left" w:pos="0"/>
        </w:tabs>
        <w:jc w:val="both"/>
        <w:rPr>
          <w:rFonts w:asciiTheme="minorHAnsi" w:hAnsiTheme="minorHAnsi" w:cstheme="minorHAnsi"/>
          <w:sz w:val="22"/>
          <w:szCs w:val="22"/>
        </w:rPr>
      </w:pPr>
    </w:p>
    <w:p w14:paraId="00CC5B33" w14:textId="77777777" w:rsidR="005B7E7D" w:rsidRDefault="005B7E7D" w:rsidP="00F65EA4">
      <w:pPr>
        <w:tabs>
          <w:tab w:val="left" w:pos="0"/>
        </w:tabs>
        <w:jc w:val="both"/>
        <w:rPr>
          <w:rFonts w:asciiTheme="minorHAnsi" w:hAnsiTheme="minorHAnsi" w:cstheme="minorHAnsi"/>
          <w:b/>
          <w:bCs/>
          <w:sz w:val="22"/>
          <w:szCs w:val="22"/>
        </w:rPr>
      </w:pPr>
    </w:p>
    <w:p w14:paraId="5A76EACB" w14:textId="77777777" w:rsidR="005B7E7D" w:rsidRDefault="005B7E7D" w:rsidP="00F65EA4">
      <w:pPr>
        <w:tabs>
          <w:tab w:val="left" w:pos="0"/>
        </w:tabs>
        <w:jc w:val="both"/>
        <w:rPr>
          <w:rFonts w:asciiTheme="minorHAnsi" w:hAnsiTheme="minorHAnsi" w:cstheme="minorHAnsi"/>
          <w:b/>
          <w:bCs/>
          <w:sz w:val="22"/>
          <w:szCs w:val="22"/>
        </w:rPr>
      </w:pPr>
    </w:p>
    <w:p w14:paraId="44977ECA" w14:textId="3AD36282"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lastRenderedPageBreak/>
        <w:t>Request for Proposals (RFP)</w:t>
      </w:r>
    </w:p>
    <w:p w14:paraId="02E7ED18"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A process for soliciting applications for funding when funds are awarded competitively or soliciting proposals from developers as an alternative to lowest-bidder competitive bidding.</w:t>
      </w:r>
    </w:p>
    <w:p w14:paraId="167F5FCD" w14:textId="77777777" w:rsidR="00F65EA4" w:rsidRPr="00AC240B" w:rsidRDefault="00F65EA4" w:rsidP="00F65EA4">
      <w:pPr>
        <w:tabs>
          <w:tab w:val="left" w:pos="0"/>
        </w:tabs>
        <w:jc w:val="both"/>
        <w:rPr>
          <w:rFonts w:asciiTheme="minorHAnsi" w:hAnsiTheme="minorHAnsi" w:cstheme="minorHAnsi"/>
          <w:b/>
          <w:bCs/>
          <w:sz w:val="22"/>
          <w:szCs w:val="22"/>
        </w:rPr>
      </w:pPr>
    </w:p>
    <w:p w14:paraId="2F8B0A27"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Section 8</w:t>
      </w:r>
    </w:p>
    <w:p w14:paraId="04113A03"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Refers to the major federal (HUD) program – actually a collection of programs – providing rental assistance to low-income households to help them pay for housing.  Participating tenants pay 30% of their income (some pay more) for housing (rent and basic utilities) and the federal subsidy pays the balance of the rent.  The Program is now officially called the Housing Choice Voucher Program.</w:t>
      </w:r>
    </w:p>
    <w:p w14:paraId="23EB2F47" w14:textId="77777777" w:rsidR="00F65EA4" w:rsidRPr="00AC240B" w:rsidRDefault="00F65EA4" w:rsidP="00F65EA4">
      <w:pPr>
        <w:tabs>
          <w:tab w:val="left" w:pos="0"/>
        </w:tabs>
        <w:jc w:val="both"/>
        <w:rPr>
          <w:rFonts w:asciiTheme="minorHAnsi" w:hAnsiTheme="minorHAnsi" w:cstheme="minorHAnsi"/>
          <w:sz w:val="22"/>
          <w:szCs w:val="22"/>
        </w:rPr>
      </w:pPr>
    </w:p>
    <w:p w14:paraId="10817463"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Single Room Occupancy (SRO)</w:t>
      </w:r>
    </w:p>
    <w:p w14:paraId="515AB947"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single room occupancy (more commonly SRO, sometimes called single resident occupancy) is a multiple tenant building that houses one or two people in individual rooms (sometimes two rooms, or two rooms with a bathroom or half bathroom), or to the single room dwelling itself. SRO tenants typically share bathrooms and /or kitchens, while some SRO rooms may include kitchenettes, bathrooms, or half-baths. Although many are former hotels, SROs are primarily rented as permanent residences.</w:t>
      </w:r>
    </w:p>
    <w:p w14:paraId="2082C54B" w14:textId="77777777" w:rsidR="00F65EA4" w:rsidRPr="00AC240B" w:rsidRDefault="00F65EA4" w:rsidP="00F65EA4">
      <w:pPr>
        <w:tabs>
          <w:tab w:val="left" w:pos="0"/>
        </w:tabs>
        <w:jc w:val="both"/>
        <w:rPr>
          <w:rFonts w:asciiTheme="minorHAnsi" w:hAnsiTheme="minorHAnsi" w:cstheme="minorHAnsi"/>
          <w:sz w:val="22"/>
          <w:szCs w:val="22"/>
        </w:rPr>
      </w:pPr>
    </w:p>
    <w:p w14:paraId="53D78252" w14:textId="77777777" w:rsidR="00F65EA4" w:rsidRPr="00AC240B" w:rsidRDefault="00F65EA4" w:rsidP="00F65EA4">
      <w:pPr>
        <w:pStyle w:val="Heading8"/>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Smart Growth</w:t>
      </w:r>
    </w:p>
    <w:p w14:paraId="0DAF66D9"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The term used to refer to a rapidly growing and widespread movement that calls for a more coordinated, environmentally sensitive approach to planning and development.  A response to the problems associated with unplanned, unlimited suburban development – or sprawl – smart growth principles call for more efficient land use, compact development patterns, less dependence on the automobile, a range of housing opportunities and choices, and improved jobs/housing balance.</w:t>
      </w:r>
    </w:p>
    <w:p w14:paraId="1D094B41" w14:textId="77777777" w:rsidR="00F65EA4" w:rsidRPr="00AC240B" w:rsidRDefault="00F65EA4" w:rsidP="00F65EA4">
      <w:pPr>
        <w:tabs>
          <w:tab w:val="left" w:pos="0"/>
        </w:tabs>
        <w:jc w:val="both"/>
        <w:rPr>
          <w:rFonts w:asciiTheme="minorHAnsi" w:hAnsiTheme="minorHAnsi" w:cstheme="minorHAnsi"/>
          <w:sz w:val="22"/>
          <w:szCs w:val="22"/>
        </w:rPr>
      </w:pPr>
    </w:p>
    <w:p w14:paraId="0898CDD7"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Subsidy</w:t>
      </w:r>
    </w:p>
    <w:p w14:paraId="691D60AF"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Typically refers to financial assistance that fills the gap between the costs of any affordable housing development and what the occupants can afford based on program eligibility requirements.  Many times, multiple subsidies from various funding sources are required, often referred to as the “layering” of subsidies, to make a project feasible.  In the state’s Local Initiative Program (LIP), DHCD’s technical assistance qualifies as a subsidy and enables locally supported developments that do not require other financial subsidies to use the comprehensive permit process.  Also, “internal subsidies” refers to those developments that do not have an external source(s) of funding for affordable housing, but use the value of the market units to “cross subsidize” the affordable ones.</w:t>
      </w:r>
    </w:p>
    <w:p w14:paraId="27130087" w14:textId="77777777" w:rsidR="00F65EA4" w:rsidRPr="00AC240B" w:rsidRDefault="00F65EA4" w:rsidP="00F65EA4">
      <w:pPr>
        <w:tabs>
          <w:tab w:val="left" w:pos="0"/>
        </w:tabs>
        <w:jc w:val="both"/>
        <w:rPr>
          <w:rFonts w:asciiTheme="minorHAnsi" w:hAnsiTheme="minorHAnsi" w:cstheme="minorHAnsi"/>
          <w:sz w:val="22"/>
          <w:szCs w:val="22"/>
        </w:rPr>
      </w:pPr>
    </w:p>
    <w:p w14:paraId="1F08048D"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Subsidized Housing Inventory (SHI)</w:t>
      </w:r>
    </w:p>
    <w:p w14:paraId="11A34FF8"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This is the official list of units, by municipality, that count toward a community’s 10% goal as prescribed by Chapter 40B comprehensive permit law.</w:t>
      </w:r>
    </w:p>
    <w:p w14:paraId="413FA028" w14:textId="77777777" w:rsidR="00F65EA4" w:rsidRPr="00AC240B" w:rsidRDefault="00F65EA4" w:rsidP="00F65EA4">
      <w:pPr>
        <w:tabs>
          <w:tab w:val="left" w:pos="0"/>
        </w:tabs>
        <w:jc w:val="both"/>
        <w:rPr>
          <w:rFonts w:asciiTheme="minorHAnsi" w:hAnsiTheme="minorHAnsi" w:cstheme="minorHAnsi"/>
          <w:sz w:val="22"/>
          <w:szCs w:val="22"/>
        </w:rPr>
      </w:pPr>
    </w:p>
    <w:p w14:paraId="40EFE7D0" w14:textId="77777777" w:rsidR="00F65EA4" w:rsidRPr="00AC240B" w:rsidRDefault="00F65EA4" w:rsidP="00F65EA4">
      <w:pPr>
        <w:pStyle w:val="Heading8"/>
        <w:tabs>
          <w:tab w:val="left" w:pos="0"/>
        </w:tabs>
        <w:spacing w:before="0"/>
        <w:jc w:val="both"/>
        <w:rPr>
          <w:rFonts w:asciiTheme="minorHAnsi" w:hAnsiTheme="minorHAnsi" w:cstheme="minorHAnsi"/>
          <w:b/>
          <w:bCs/>
          <w:sz w:val="22"/>
          <w:szCs w:val="22"/>
        </w:rPr>
      </w:pPr>
      <w:r w:rsidRPr="00AC240B">
        <w:rPr>
          <w:rFonts w:asciiTheme="minorHAnsi" w:hAnsiTheme="minorHAnsi" w:cstheme="minorHAnsi"/>
          <w:b/>
          <w:bCs/>
          <w:sz w:val="22"/>
          <w:szCs w:val="22"/>
        </w:rPr>
        <w:t>Sustainability</w:t>
      </w:r>
    </w:p>
    <w:p w14:paraId="4E9CE2C4"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Development that includes a balanced set of integrated principles such as social equity, environmental respect, and economic viability, which preserves a high quality of life for current occupants and future generations.</w:t>
      </w:r>
    </w:p>
    <w:p w14:paraId="73B448A0" w14:textId="77777777" w:rsidR="00F65EA4" w:rsidRPr="00AC240B" w:rsidRDefault="00F65EA4" w:rsidP="00F65EA4">
      <w:pPr>
        <w:tabs>
          <w:tab w:val="left" w:pos="0"/>
        </w:tabs>
        <w:jc w:val="both"/>
        <w:rPr>
          <w:rFonts w:asciiTheme="minorHAnsi" w:hAnsiTheme="minorHAnsi" w:cstheme="minorHAnsi"/>
          <w:sz w:val="22"/>
          <w:szCs w:val="22"/>
        </w:rPr>
      </w:pPr>
    </w:p>
    <w:p w14:paraId="665310A4"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Transfer of Development Rights (TDR)</w:t>
      </w:r>
    </w:p>
    <w:p w14:paraId="1BB260C9"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A program that coordinates the relocation of development from environmentally sensitive areas that should be preserved as open space to areas that can accommodate higher densities.</w:t>
      </w:r>
    </w:p>
    <w:p w14:paraId="2537C681" w14:textId="77777777" w:rsidR="00F65EA4" w:rsidRPr="00AC240B" w:rsidRDefault="00F65EA4" w:rsidP="00F65EA4">
      <w:pPr>
        <w:tabs>
          <w:tab w:val="left" w:pos="0"/>
        </w:tabs>
        <w:jc w:val="both"/>
        <w:rPr>
          <w:rFonts w:asciiTheme="minorHAnsi" w:hAnsiTheme="minorHAnsi" w:cstheme="minorHAnsi"/>
          <w:sz w:val="22"/>
          <w:szCs w:val="22"/>
        </w:rPr>
      </w:pPr>
    </w:p>
    <w:p w14:paraId="67C70147"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Transit Oriented Development (TOD)</w:t>
      </w:r>
    </w:p>
    <w:p w14:paraId="5888E665" w14:textId="77777777" w:rsidR="00F65EA4" w:rsidRPr="00AC240B" w:rsidRDefault="00F65EA4" w:rsidP="00F65EA4">
      <w:pPr>
        <w:pStyle w:val="BodyText"/>
        <w:tabs>
          <w:tab w:val="left" w:pos="0"/>
        </w:tabs>
        <w:spacing w:after="0"/>
        <w:jc w:val="both"/>
        <w:rPr>
          <w:rFonts w:asciiTheme="minorHAnsi" w:hAnsiTheme="minorHAnsi" w:cstheme="minorHAnsi"/>
          <w:b/>
          <w:sz w:val="22"/>
          <w:szCs w:val="22"/>
        </w:rPr>
      </w:pPr>
      <w:r w:rsidRPr="00AC240B">
        <w:rPr>
          <w:rFonts w:asciiTheme="minorHAnsi" w:hAnsiTheme="minorHAnsi" w:cstheme="minorHAnsi"/>
          <w:sz w:val="22"/>
          <w:szCs w:val="22"/>
        </w:rPr>
        <w:t>Development that occurs within walking distance of public transportation, usually bus or trains, to reduce the reliance on the automobile and typically accommodate mixed uses and higher densities.</w:t>
      </w:r>
    </w:p>
    <w:p w14:paraId="16FB9639" w14:textId="77777777" w:rsidR="00F65EA4" w:rsidRPr="00AC240B" w:rsidRDefault="00F65EA4" w:rsidP="00F65EA4">
      <w:pPr>
        <w:tabs>
          <w:tab w:val="left" w:pos="0"/>
        </w:tabs>
        <w:jc w:val="both"/>
        <w:rPr>
          <w:rFonts w:asciiTheme="minorHAnsi" w:hAnsiTheme="minorHAnsi" w:cstheme="minorHAnsi"/>
          <w:sz w:val="22"/>
          <w:szCs w:val="22"/>
        </w:rPr>
      </w:pPr>
    </w:p>
    <w:p w14:paraId="4CBEC0E7" w14:textId="77777777" w:rsidR="00F65EA4" w:rsidRPr="00AC240B" w:rsidRDefault="00F65EA4" w:rsidP="00F65EA4">
      <w:pPr>
        <w:tabs>
          <w:tab w:val="left" w:pos="0"/>
        </w:tabs>
        <w:jc w:val="both"/>
        <w:rPr>
          <w:rFonts w:asciiTheme="minorHAnsi" w:hAnsiTheme="minorHAnsi" w:cstheme="minorHAnsi"/>
          <w:b/>
          <w:bCs/>
          <w:sz w:val="22"/>
          <w:szCs w:val="22"/>
        </w:rPr>
      </w:pPr>
      <w:r w:rsidRPr="00AC240B">
        <w:rPr>
          <w:rFonts w:asciiTheme="minorHAnsi" w:hAnsiTheme="minorHAnsi" w:cstheme="minorHAnsi"/>
          <w:b/>
          <w:bCs/>
          <w:sz w:val="22"/>
          <w:szCs w:val="22"/>
        </w:rPr>
        <w:t>U.S. Department of Housing and Urban Development (HUD)</w:t>
      </w:r>
    </w:p>
    <w:p w14:paraId="4CFB4099" w14:textId="77777777" w:rsidR="00F65EA4" w:rsidRPr="00AC240B" w:rsidRDefault="00F65EA4" w:rsidP="00F65EA4">
      <w:pPr>
        <w:tabs>
          <w:tab w:val="left" w:pos="0"/>
        </w:tabs>
        <w:jc w:val="both"/>
        <w:rPr>
          <w:rFonts w:asciiTheme="minorHAnsi" w:hAnsiTheme="minorHAnsi" w:cstheme="minorHAnsi"/>
          <w:sz w:val="22"/>
          <w:szCs w:val="22"/>
        </w:rPr>
      </w:pPr>
      <w:r w:rsidRPr="00AC240B">
        <w:rPr>
          <w:rFonts w:asciiTheme="minorHAnsi" w:hAnsiTheme="minorHAnsi" w:cstheme="minorHAnsi"/>
          <w:sz w:val="22"/>
          <w:szCs w:val="22"/>
        </w:rPr>
        <w:t>The primary federal agency for regulating housing, including fair housing and housing finance.  It is also the major federal funding source for affordable housing programs.</w:t>
      </w:r>
    </w:p>
    <w:p w14:paraId="5DEA0FE3" w14:textId="77777777" w:rsidR="00F65EA4" w:rsidRPr="00AC240B" w:rsidRDefault="00F65EA4" w:rsidP="00F65EA4">
      <w:pPr>
        <w:tabs>
          <w:tab w:val="left" w:pos="0"/>
        </w:tabs>
        <w:jc w:val="both"/>
        <w:rPr>
          <w:rFonts w:asciiTheme="minorHAnsi" w:hAnsiTheme="minorHAnsi" w:cstheme="minorHAnsi"/>
          <w:sz w:val="22"/>
          <w:szCs w:val="22"/>
        </w:rPr>
      </w:pPr>
    </w:p>
    <w:p w14:paraId="77705D4A" w14:textId="77777777" w:rsidR="00F65EA4" w:rsidRPr="00AC240B" w:rsidRDefault="00F65EA4" w:rsidP="00F65EA4">
      <w:pPr>
        <w:tabs>
          <w:tab w:val="left" w:pos="0"/>
        </w:tabs>
        <w:jc w:val="both"/>
        <w:rPr>
          <w:rFonts w:asciiTheme="minorHAnsi" w:hAnsiTheme="minorHAnsi" w:cstheme="minorHAnsi"/>
          <w:sz w:val="22"/>
          <w:szCs w:val="22"/>
        </w:rPr>
      </w:pPr>
    </w:p>
    <w:p w14:paraId="2CB7DA51" w14:textId="25927066" w:rsidR="00F65EA4" w:rsidRDefault="00F65EA4" w:rsidP="00F65EA4">
      <w:pPr>
        <w:tabs>
          <w:tab w:val="left" w:pos="0"/>
        </w:tabs>
        <w:jc w:val="both"/>
        <w:rPr>
          <w:rFonts w:asciiTheme="minorHAnsi" w:hAnsiTheme="minorHAnsi" w:cstheme="minorHAnsi"/>
          <w:sz w:val="22"/>
          <w:szCs w:val="22"/>
        </w:rPr>
      </w:pPr>
    </w:p>
    <w:p w14:paraId="7DEEC208" w14:textId="4B96A9F6" w:rsidR="009F6013" w:rsidRDefault="009F6013" w:rsidP="00F65EA4">
      <w:pPr>
        <w:tabs>
          <w:tab w:val="left" w:pos="0"/>
        </w:tabs>
        <w:jc w:val="both"/>
        <w:rPr>
          <w:rFonts w:asciiTheme="minorHAnsi" w:hAnsiTheme="minorHAnsi" w:cstheme="minorHAnsi"/>
          <w:sz w:val="22"/>
          <w:szCs w:val="22"/>
        </w:rPr>
      </w:pPr>
    </w:p>
    <w:p w14:paraId="6E032259" w14:textId="0949A453" w:rsidR="009F6013" w:rsidRDefault="009F6013" w:rsidP="00F65EA4">
      <w:pPr>
        <w:tabs>
          <w:tab w:val="left" w:pos="0"/>
        </w:tabs>
        <w:jc w:val="both"/>
        <w:rPr>
          <w:rFonts w:asciiTheme="minorHAnsi" w:hAnsiTheme="minorHAnsi" w:cstheme="minorHAnsi"/>
          <w:sz w:val="22"/>
          <w:szCs w:val="22"/>
        </w:rPr>
      </w:pPr>
    </w:p>
    <w:p w14:paraId="6931BE85" w14:textId="3466E143" w:rsidR="009F6013" w:rsidRDefault="009F6013" w:rsidP="00F65EA4">
      <w:pPr>
        <w:tabs>
          <w:tab w:val="left" w:pos="0"/>
        </w:tabs>
        <w:jc w:val="both"/>
        <w:rPr>
          <w:rFonts w:asciiTheme="minorHAnsi" w:hAnsiTheme="minorHAnsi" w:cstheme="minorHAnsi"/>
          <w:sz w:val="22"/>
          <w:szCs w:val="22"/>
        </w:rPr>
      </w:pPr>
    </w:p>
    <w:p w14:paraId="69DCA539" w14:textId="50BB6C66" w:rsidR="009F6013" w:rsidRDefault="009F6013" w:rsidP="00F65EA4">
      <w:pPr>
        <w:tabs>
          <w:tab w:val="left" w:pos="0"/>
        </w:tabs>
        <w:jc w:val="both"/>
        <w:rPr>
          <w:rFonts w:asciiTheme="minorHAnsi" w:hAnsiTheme="minorHAnsi" w:cstheme="minorHAnsi"/>
          <w:sz w:val="22"/>
          <w:szCs w:val="22"/>
        </w:rPr>
      </w:pPr>
    </w:p>
    <w:p w14:paraId="413A6616" w14:textId="786B3C72" w:rsidR="009F6013" w:rsidRDefault="009F6013" w:rsidP="00F65EA4">
      <w:pPr>
        <w:tabs>
          <w:tab w:val="left" w:pos="0"/>
        </w:tabs>
        <w:jc w:val="both"/>
        <w:rPr>
          <w:rFonts w:asciiTheme="minorHAnsi" w:hAnsiTheme="minorHAnsi" w:cstheme="minorHAnsi"/>
          <w:sz w:val="22"/>
          <w:szCs w:val="22"/>
        </w:rPr>
      </w:pPr>
    </w:p>
    <w:p w14:paraId="44FAD52E" w14:textId="65D1119C" w:rsidR="009F6013" w:rsidRDefault="009F6013" w:rsidP="00F65EA4">
      <w:pPr>
        <w:tabs>
          <w:tab w:val="left" w:pos="0"/>
        </w:tabs>
        <w:jc w:val="both"/>
        <w:rPr>
          <w:rFonts w:asciiTheme="minorHAnsi" w:hAnsiTheme="minorHAnsi" w:cstheme="minorHAnsi"/>
          <w:sz w:val="22"/>
          <w:szCs w:val="22"/>
        </w:rPr>
      </w:pPr>
    </w:p>
    <w:p w14:paraId="209D8DF4" w14:textId="575B7BEB" w:rsidR="009F6013" w:rsidRDefault="009F6013" w:rsidP="00F65EA4">
      <w:pPr>
        <w:tabs>
          <w:tab w:val="left" w:pos="0"/>
        </w:tabs>
        <w:jc w:val="both"/>
        <w:rPr>
          <w:rFonts w:asciiTheme="minorHAnsi" w:hAnsiTheme="minorHAnsi" w:cstheme="minorHAnsi"/>
          <w:sz w:val="22"/>
          <w:szCs w:val="22"/>
        </w:rPr>
      </w:pPr>
    </w:p>
    <w:p w14:paraId="6BADBBA3" w14:textId="0304512F" w:rsidR="009F6013" w:rsidRDefault="009F6013" w:rsidP="00F65EA4">
      <w:pPr>
        <w:tabs>
          <w:tab w:val="left" w:pos="0"/>
        </w:tabs>
        <w:jc w:val="both"/>
        <w:rPr>
          <w:rFonts w:asciiTheme="minorHAnsi" w:hAnsiTheme="minorHAnsi" w:cstheme="minorHAnsi"/>
          <w:sz w:val="22"/>
          <w:szCs w:val="22"/>
        </w:rPr>
      </w:pPr>
    </w:p>
    <w:p w14:paraId="57AB1A04" w14:textId="5A11F028" w:rsidR="009F6013" w:rsidRDefault="009F6013" w:rsidP="00F65EA4">
      <w:pPr>
        <w:tabs>
          <w:tab w:val="left" w:pos="0"/>
        </w:tabs>
        <w:jc w:val="both"/>
        <w:rPr>
          <w:rFonts w:asciiTheme="minorHAnsi" w:hAnsiTheme="minorHAnsi" w:cstheme="minorHAnsi"/>
          <w:sz w:val="22"/>
          <w:szCs w:val="22"/>
        </w:rPr>
      </w:pPr>
    </w:p>
    <w:p w14:paraId="7D37242A" w14:textId="47736634" w:rsidR="009F6013" w:rsidRDefault="009F6013" w:rsidP="00F65EA4">
      <w:pPr>
        <w:tabs>
          <w:tab w:val="left" w:pos="0"/>
        </w:tabs>
        <w:jc w:val="both"/>
        <w:rPr>
          <w:rFonts w:asciiTheme="minorHAnsi" w:hAnsiTheme="minorHAnsi" w:cstheme="minorHAnsi"/>
          <w:sz w:val="22"/>
          <w:szCs w:val="22"/>
        </w:rPr>
      </w:pPr>
    </w:p>
    <w:p w14:paraId="3124B7FA" w14:textId="68B2B88D" w:rsidR="009F6013" w:rsidRDefault="009F6013" w:rsidP="00F65EA4">
      <w:pPr>
        <w:tabs>
          <w:tab w:val="left" w:pos="0"/>
        </w:tabs>
        <w:jc w:val="both"/>
        <w:rPr>
          <w:rFonts w:asciiTheme="minorHAnsi" w:hAnsiTheme="minorHAnsi" w:cstheme="minorHAnsi"/>
          <w:sz w:val="22"/>
          <w:szCs w:val="22"/>
        </w:rPr>
      </w:pPr>
    </w:p>
    <w:p w14:paraId="2B5EE50C" w14:textId="7285BF72" w:rsidR="009F6013" w:rsidRDefault="009F6013" w:rsidP="00F65EA4">
      <w:pPr>
        <w:tabs>
          <w:tab w:val="left" w:pos="0"/>
        </w:tabs>
        <w:jc w:val="both"/>
        <w:rPr>
          <w:rFonts w:asciiTheme="minorHAnsi" w:hAnsiTheme="minorHAnsi" w:cstheme="minorHAnsi"/>
          <w:sz w:val="22"/>
          <w:szCs w:val="22"/>
        </w:rPr>
      </w:pPr>
    </w:p>
    <w:p w14:paraId="100E5A33" w14:textId="11A70BA8" w:rsidR="009F6013" w:rsidRDefault="009F6013" w:rsidP="00F65EA4">
      <w:pPr>
        <w:tabs>
          <w:tab w:val="left" w:pos="0"/>
        </w:tabs>
        <w:jc w:val="both"/>
        <w:rPr>
          <w:rFonts w:asciiTheme="minorHAnsi" w:hAnsiTheme="minorHAnsi" w:cstheme="minorHAnsi"/>
          <w:sz w:val="22"/>
          <w:szCs w:val="22"/>
        </w:rPr>
      </w:pPr>
    </w:p>
    <w:p w14:paraId="5076D730" w14:textId="7A2A3E40" w:rsidR="009F6013" w:rsidRDefault="009F6013" w:rsidP="00F65EA4">
      <w:pPr>
        <w:tabs>
          <w:tab w:val="left" w:pos="0"/>
        </w:tabs>
        <w:jc w:val="both"/>
        <w:rPr>
          <w:rFonts w:asciiTheme="minorHAnsi" w:hAnsiTheme="minorHAnsi" w:cstheme="minorHAnsi"/>
          <w:sz w:val="22"/>
          <w:szCs w:val="22"/>
        </w:rPr>
      </w:pPr>
    </w:p>
    <w:p w14:paraId="41A31A15" w14:textId="292C62C9" w:rsidR="009F6013" w:rsidRDefault="009F6013" w:rsidP="00F65EA4">
      <w:pPr>
        <w:tabs>
          <w:tab w:val="left" w:pos="0"/>
        </w:tabs>
        <w:jc w:val="both"/>
        <w:rPr>
          <w:rFonts w:asciiTheme="minorHAnsi" w:hAnsiTheme="minorHAnsi" w:cstheme="minorHAnsi"/>
          <w:sz w:val="22"/>
          <w:szCs w:val="22"/>
        </w:rPr>
      </w:pPr>
    </w:p>
    <w:p w14:paraId="26D6739E" w14:textId="0C1E2987" w:rsidR="009F6013" w:rsidRDefault="009F6013" w:rsidP="00F65EA4">
      <w:pPr>
        <w:tabs>
          <w:tab w:val="left" w:pos="0"/>
        </w:tabs>
        <w:jc w:val="both"/>
        <w:rPr>
          <w:rFonts w:asciiTheme="minorHAnsi" w:hAnsiTheme="minorHAnsi" w:cstheme="minorHAnsi"/>
          <w:sz w:val="22"/>
          <w:szCs w:val="22"/>
        </w:rPr>
      </w:pPr>
    </w:p>
    <w:p w14:paraId="7C2BCB33" w14:textId="371F5558" w:rsidR="009F6013" w:rsidRDefault="009F6013" w:rsidP="00F65EA4">
      <w:pPr>
        <w:tabs>
          <w:tab w:val="left" w:pos="0"/>
        </w:tabs>
        <w:jc w:val="both"/>
        <w:rPr>
          <w:rFonts w:asciiTheme="minorHAnsi" w:hAnsiTheme="minorHAnsi" w:cstheme="minorHAnsi"/>
          <w:sz w:val="22"/>
          <w:szCs w:val="22"/>
        </w:rPr>
      </w:pPr>
    </w:p>
    <w:p w14:paraId="4819E783" w14:textId="24D35E90" w:rsidR="009F6013" w:rsidRDefault="009F6013" w:rsidP="00F65EA4">
      <w:pPr>
        <w:tabs>
          <w:tab w:val="left" w:pos="0"/>
        </w:tabs>
        <w:jc w:val="both"/>
        <w:rPr>
          <w:rFonts w:asciiTheme="minorHAnsi" w:hAnsiTheme="minorHAnsi" w:cstheme="minorHAnsi"/>
          <w:sz w:val="22"/>
          <w:szCs w:val="22"/>
        </w:rPr>
      </w:pPr>
    </w:p>
    <w:p w14:paraId="5BDF8936" w14:textId="299FC0B9" w:rsidR="009F6013" w:rsidRDefault="009F6013" w:rsidP="00F65EA4">
      <w:pPr>
        <w:tabs>
          <w:tab w:val="left" w:pos="0"/>
        </w:tabs>
        <w:jc w:val="both"/>
        <w:rPr>
          <w:rFonts w:asciiTheme="minorHAnsi" w:hAnsiTheme="minorHAnsi" w:cstheme="minorHAnsi"/>
          <w:sz w:val="22"/>
          <w:szCs w:val="22"/>
        </w:rPr>
      </w:pPr>
    </w:p>
    <w:p w14:paraId="70B14675" w14:textId="5BE8DAC2" w:rsidR="009F6013" w:rsidRDefault="009F6013" w:rsidP="00F65EA4">
      <w:pPr>
        <w:tabs>
          <w:tab w:val="left" w:pos="0"/>
        </w:tabs>
        <w:jc w:val="both"/>
        <w:rPr>
          <w:rFonts w:asciiTheme="minorHAnsi" w:hAnsiTheme="minorHAnsi" w:cstheme="minorHAnsi"/>
          <w:sz w:val="22"/>
          <w:szCs w:val="22"/>
        </w:rPr>
      </w:pPr>
    </w:p>
    <w:p w14:paraId="0F1D1FD1" w14:textId="6B5A5882" w:rsidR="009F6013" w:rsidRDefault="009F6013" w:rsidP="00F65EA4">
      <w:pPr>
        <w:tabs>
          <w:tab w:val="left" w:pos="0"/>
        </w:tabs>
        <w:jc w:val="both"/>
        <w:rPr>
          <w:rFonts w:asciiTheme="minorHAnsi" w:hAnsiTheme="minorHAnsi" w:cstheme="minorHAnsi"/>
          <w:sz w:val="22"/>
          <w:szCs w:val="22"/>
        </w:rPr>
      </w:pPr>
    </w:p>
    <w:p w14:paraId="04026D4A" w14:textId="6C275F4F" w:rsidR="009F6013" w:rsidRDefault="009F6013" w:rsidP="00F65EA4">
      <w:pPr>
        <w:tabs>
          <w:tab w:val="left" w:pos="0"/>
        </w:tabs>
        <w:jc w:val="both"/>
        <w:rPr>
          <w:rFonts w:asciiTheme="minorHAnsi" w:hAnsiTheme="minorHAnsi" w:cstheme="minorHAnsi"/>
          <w:sz w:val="22"/>
          <w:szCs w:val="22"/>
        </w:rPr>
      </w:pPr>
    </w:p>
    <w:p w14:paraId="3D805914" w14:textId="7FE62602" w:rsidR="009F6013" w:rsidRDefault="009F6013" w:rsidP="00F65EA4">
      <w:pPr>
        <w:tabs>
          <w:tab w:val="left" w:pos="0"/>
        </w:tabs>
        <w:jc w:val="both"/>
        <w:rPr>
          <w:rFonts w:asciiTheme="minorHAnsi" w:hAnsiTheme="minorHAnsi" w:cstheme="minorHAnsi"/>
          <w:sz w:val="22"/>
          <w:szCs w:val="22"/>
        </w:rPr>
      </w:pPr>
    </w:p>
    <w:p w14:paraId="3B4D2173" w14:textId="19090309" w:rsidR="009F6013" w:rsidRDefault="009F6013" w:rsidP="00F65EA4">
      <w:pPr>
        <w:tabs>
          <w:tab w:val="left" w:pos="0"/>
        </w:tabs>
        <w:jc w:val="both"/>
        <w:rPr>
          <w:rFonts w:asciiTheme="minorHAnsi" w:hAnsiTheme="minorHAnsi" w:cstheme="minorHAnsi"/>
          <w:sz w:val="22"/>
          <w:szCs w:val="22"/>
        </w:rPr>
      </w:pPr>
    </w:p>
    <w:p w14:paraId="09C623F9" w14:textId="115EC7AC" w:rsidR="009F6013" w:rsidRDefault="009F6013" w:rsidP="00F65EA4">
      <w:pPr>
        <w:tabs>
          <w:tab w:val="left" w:pos="0"/>
        </w:tabs>
        <w:jc w:val="both"/>
        <w:rPr>
          <w:rFonts w:asciiTheme="minorHAnsi" w:hAnsiTheme="minorHAnsi" w:cstheme="minorHAnsi"/>
          <w:sz w:val="22"/>
          <w:szCs w:val="22"/>
        </w:rPr>
      </w:pPr>
    </w:p>
    <w:p w14:paraId="7C1EDE82" w14:textId="474B16F0" w:rsidR="009F6013" w:rsidRDefault="009F6013" w:rsidP="00F65EA4">
      <w:pPr>
        <w:tabs>
          <w:tab w:val="left" w:pos="0"/>
        </w:tabs>
        <w:jc w:val="both"/>
        <w:rPr>
          <w:rFonts w:asciiTheme="minorHAnsi" w:hAnsiTheme="minorHAnsi" w:cstheme="minorHAnsi"/>
          <w:sz w:val="22"/>
          <w:szCs w:val="22"/>
        </w:rPr>
      </w:pPr>
    </w:p>
    <w:p w14:paraId="26BBDCD1" w14:textId="1012F96C" w:rsidR="009F6013" w:rsidRDefault="009F6013" w:rsidP="00F65EA4">
      <w:pPr>
        <w:tabs>
          <w:tab w:val="left" w:pos="0"/>
        </w:tabs>
        <w:jc w:val="both"/>
        <w:rPr>
          <w:rFonts w:asciiTheme="minorHAnsi" w:hAnsiTheme="minorHAnsi" w:cstheme="minorHAnsi"/>
          <w:sz w:val="22"/>
          <w:szCs w:val="22"/>
        </w:rPr>
      </w:pPr>
    </w:p>
    <w:p w14:paraId="42F76041" w14:textId="2734640C" w:rsidR="009F6013" w:rsidRDefault="009F6013" w:rsidP="00F65EA4">
      <w:pPr>
        <w:tabs>
          <w:tab w:val="left" w:pos="0"/>
        </w:tabs>
        <w:jc w:val="both"/>
        <w:rPr>
          <w:rFonts w:asciiTheme="minorHAnsi" w:hAnsiTheme="minorHAnsi" w:cstheme="minorHAnsi"/>
          <w:sz w:val="22"/>
          <w:szCs w:val="22"/>
        </w:rPr>
      </w:pPr>
    </w:p>
    <w:p w14:paraId="1FEEF04F" w14:textId="2C85D946" w:rsidR="009F6013" w:rsidRDefault="009F6013" w:rsidP="00F65EA4">
      <w:pPr>
        <w:tabs>
          <w:tab w:val="left" w:pos="0"/>
        </w:tabs>
        <w:jc w:val="both"/>
        <w:rPr>
          <w:rFonts w:asciiTheme="minorHAnsi" w:hAnsiTheme="minorHAnsi" w:cstheme="minorHAnsi"/>
          <w:sz w:val="22"/>
          <w:szCs w:val="22"/>
        </w:rPr>
      </w:pPr>
    </w:p>
    <w:p w14:paraId="25ED0C5A" w14:textId="11FF9BD6" w:rsidR="009F6013" w:rsidRDefault="009F6013" w:rsidP="00F65EA4">
      <w:pPr>
        <w:tabs>
          <w:tab w:val="left" w:pos="0"/>
        </w:tabs>
        <w:jc w:val="both"/>
        <w:rPr>
          <w:rFonts w:asciiTheme="minorHAnsi" w:hAnsiTheme="minorHAnsi" w:cstheme="minorHAnsi"/>
          <w:sz w:val="22"/>
          <w:szCs w:val="22"/>
        </w:rPr>
      </w:pPr>
    </w:p>
    <w:p w14:paraId="160A0AA1" w14:textId="1A468A92" w:rsidR="009F6013" w:rsidRDefault="009F6013" w:rsidP="00F65EA4">
      <w:pPr>
        <w:tabs>
          <w:tab w:val="left" w:pos="0"/>
        </w:tabs>
        <w:jc w:val="both"/>
        <w:rPr>
          <w:rFonts w:asciiTheme="minorHAnsi" w:hAnsiTheme="minorHAnsi" w:cstheme="minorHAnsi"/>
          <w:sz w:val="22"/>
          <w:szCs w:val="22"/>
        </w:rPr>
      </w:pPr>
    </w:p>
    <w:p w14:paraId="1F3ED2D7" w14:textId="482B46BD" w:rsidR="009F6013" w:rsidRDefault="009F6013" w:rsidP="00F65EA4">
      <w:pPr>
        <w:tabs>
          <w:tab w:val="left" w:pos="0"/>
        </w:tabs>
        <w:jc w:val="both"/>
        <w:rPr>
          <w:rFonts w:asciiTheme="minorHAnsi" w:hAnsiTheme="minorHAnsi" w:cstheme="minorHAnsi"/>
          <w:sz w:val="22"/>
          <w:szCs w:val="22"/>
        </w:rPr>
      </w:pPr>
    </w:p>
    <w:p w14:paraId="3F45A92F" w14:textId="6E7858D2" w:rsidR="009F6013" w:rsidRDefault="009F6013" w:rsidP="00F65EA4">
      <w:pPr>
        <w:tabs>
          <w:tab w:val="left" w:pos="0"/>
        </w:tabs>
        <w:jc w:val="both"/>
        <w:rPr>
          <w:rFonts w:asciiTheme="minorHAnsi" w:hAnsiTheme="minorHAnsi" w:cstheme="minorHAnsi"/>
          <w:sz w:val="22"/>
          <w:szCs w:val="22"/>
        </w:rPr>
      </w:pPr>
    </w:p>
    <w:p w14:paraId="19F46DF2" w14:textId="512AA7EB" w:rsidR="009F6013" w:rsidRDefault="009F6013" w:rsidP="00F65EA4">
      <w:pPr>
        <w:tabs>
          <w:tab w:val="left" w:pos="0"/>
        </w:tabs>
        <w:jc w:val="both"/>
        <w:rPr>
          <w:rFonts w:asciiTheme="minorHAnsi" w:hAnsiTheme="minorHAnsi" w:cstheme="minorHAnsi"/>
          <w:sz w:val="22"/>
          <w:szCs w:val="22"/>
        </w:rPr>
      </w:pPr>
    </w:p>
    <w:p w14:paraId="7D34607A" w14:textId="77777777" w:rsidR="009F6013" w:rsidRDefault="009F6013" w:rsidP="00F65EA4">
      <w:pPr>
        <w:tabs>
          <w:tab w:val="left" w:pos="0"/>
        </w:tabs>
        <w:jc w:val="both"/>
        <w:rPr>
          <w:rFonts w:asciiTheme="minorHAnsi" w:hAnsiTheme="minorHAnsi" w:cstheme="minorHAnsi"/>
          <w:sz w:val="22"/>
          <w:szCs w:val="22"/>
        </w:rPr>
        <w:sectPr w:rsidR="009F6013" w:rsidSect="00AC3B55">
          <w:pgSz w:w="12240" w:h="15840"/>
          <w:pgMar w:top="1440" w:right="1440" w:bottom="1440" w:left="1440" w:header="720" w:footer="720" w:gutter="0"/>
          <w:cols w:space="720"/>
          <w:docGrid w:linePitch="360"/>
        </w:sectPr>
      </w:pPr>
    </w:p>
    <w:p w14:paraId="690D4BC3" w14:textId="77777777" w:rsidR="009F6013" w:rsidRDefault="009F6013" w:rsidP="009F6013">
      <w:pPr>
        <w:pStyle w:val="Header"/>
        <w:ind w:left="720" w:hanging="720"/>
        <w:jc w:val="center"/>
        <w:rPr>
          <w:rFonts w:ascii="Calibri" w:hAnsi="Calibri"/>
          <w:b/>
          <w:color w:val="002060"/>
          <w:sz w:val="28"/>
          <w:szCs w:val="28"/>
        </w:rPr>
      </w:pPr>
      <w:r>
        <w:rPr>
          <w:rFonts w:ascii="Calibri" w:hAnsi="Calibri"/>
          <w:b/>
          <w:color w:val="002060"/>
          <w:sz w:val="28"/>
          <w:szCs w:val="28"/>
        </w:rPr>
        <w:lastRenderedPageBreak/>
        <w:t>Appendix 3</w:t>
      </w:r>
    </w:p>
    <w:p w14:paraId="3E206E4D" w14:textId="5B44379F" w:rsidR="009F6013" w:rsidRDefault="009F6013" w:rsidP="009F6013">
      <w:pPr>
        <w:pStyle w:val="Header"/>
        <w:ind w:left="720" w:hanging="720"/>
        <w:jc w:val="center"/>
        <w:rPr>
          <w:rFonts w:ascii="Calibri" w:hAnsi="Calibri"/>
          <w:b/>
          <w:color w:val="002060"/>
          <w:sz w:val="28"/>
          <w:szCs w:val="28"/>
        </w:rPr>
      </w:pPr>
      <w:r>
        <w:rPr>
          <w:rFonts w:ascii="Calibri" w:hAnsi="Calibri"/>
          <w:b/>
          <w:color w:val="002060"/>
          <w:sz w:val="28"/>
          <w:szCs w:val="28"/>
        </w:rPr>
        <w:t>Summary of Housing Regulations and Resources</w:t>
      </w:r>
    </w:p>
    <w:p w14:paraId="1EA2DD37" w14:textId="77777777" w:rsidR="009F6013" w:rsidRPr="00AC240B" w:rsidRDefault="009F6013" w:rsidP="00F65EA4">
      <w:pPr>
        <w:tabs>
          <w:tab w:val="left" w:pos="0"/>
        </w:tabs>
        <w:jc w:val="both"/>
        <w:rPr>
          <w:rFonts w:asciiTheme="minorHAnsi" w:hAnsiTheme="minorHAnsi" w:cstheme="minorHAnsi"/>
          <w:sz w:val="22"/>
          <w:szCs w:val="22"/>
        </w:rPr>
      </w:pPr>
    </w:p>
    <w:p w14:paraId="6C8AFB45" w14:textId="77777777" w:rsidR="00DA633B" w:rsidRPr="008D43B3" w:rsidRDefault="00DA633B" w:rsidP="00DA633B">
      <w:pPr>
        <w:pStyle w:val="Heading8"/>
        <w:shd w:val="clear" w:color="auto" w:fill="B6DDE8" w:themeFill="accent5" w:themeFillTint="66"/>
        <w:rPr>
          <w:rFonts w:ascii="Calibri" w:hAnsi="Calibri"/>
          <w:b/>
          <w:bCs/>
          <w:sz w:val="28"/>
          <w:szCs w:val="28"/>
        </w:rPr>
      </w:pPr>
      <w:r w:rsidRPr="008D43B3">
        <w:rPr>
          <w:rFonts w:ascii="Calibri" w:hAnsi="Calibri"/>
          <w:b/>
          <w:bCs/>
          <w:sz w:val="28"/>
          <w:szCs w:val="28"/>
        </w:rPr>
        <w:t>I.</w:t>
      </w:r>
      <w:r w:rsidRPr="008D43B3">
        <w:rPr>
          <w:rFonts w:ascii="Calibri" w:hAnsi="Calibri"/>
          <w:b/>
          <w:bCs/>
          <w:sz w:val="28"/>
          <w:szCs w:val="28"/>
        </w:rPr>
        <w:tab/>
        <w:t>Summary of Key Housing Regulations</w:t>
      </w:r>
    </w:p>
    <w:p w14:paraId="50C92CBE" w14:textId="77777777" w:rsidR="008D43B3" w:rsidRDefault="008D43B3" w:rsidP="00DA633B">
      <w:pPr>
        <w:ind w:right="-720"/>
        <w:jc w:val="both"/>
        <w:rPr>
          <w:rFonts w:ascii="Calibri" w:hAnsi="Calibri"/>
          <w:b/>
          <w:bCs/>
          <w:sz w:val="22"/>
        </w:rPr>
      </w:pPr>
    </w:p>
    <w:p w14:paraId="43E32CFF" w14:textId="7766CF4F" w:rsidR="000E71B8" w:rsidRPr="008D43B3" w:rsidRDefault="000E71B8" w:rsidP="000E71B8">
      <w:pPr>
        <w:pStyle w:val="Heading4"/>
        <w:spacing w:before="0"/>
        <w:ind w:right="-720"/>
        <w:jc w:val="both"/>
        <w:rPr>
          <w:rFonts w:ascii="Calibri" w:hAnsi="Calibri"/>
          <w:i w:val="0"/>
          <w:iCs w:val="0"/>
          <w:color w:val="auto"/>
        </w:rPr>
      </w:pPr>
      <w:bookmarkStart w:id="11" w:name="_Hlk71115053"/>
      <w:r>
        <w:rPr>
          <w:rFonts w:ascii="Calibri" w:hAnsi="Calibri"/>
          <w:i w:val="0"/>
          <w:iCs w:val="0"/>
          <w:color w:val="auto"/>
        </w:rPr>
        <w:t>A</w:t>
      </w:r>
      <w:r w:rsidRPr="008D43B3">
        <w:rPr>
          <w:rFonts w:ascii="Calibri" w:hAnsi="Calibri"/>
          <w:i w:val="0"/>
          <w:iCs w:val="0"/>
          <w:color w:val="auto"/>
        </w:rPr>
        <w:t>.</w:t>
      </w:r>
      <w:r w:rsidRPr="008D43B3">
        <w:rPr>
          <w:rFonts w:ascii="Calibri" w:hAnsi="Calibri"/>
          <w:i w:val="0"/>
          <w:iCs w:val="0"/>
          <w:color w:val="auto"/>
        </w:rPr>
        <w:tab/>
      </w:r>
      <w:r w:rsidRPr="008D43B3">
        <w:rPr>
          <w:rFonts w:ascii="Calibri" w:hAnsi="Calibri"/>
          <w:i w:val="0"/>
          <w:iCs w:val="0"/>
          <w:color w:val="auto"/>
          <w:u w:val="single"/>
        </w:rPr>
        <w:t>Local Initiative Program (LIP) Guidelines</w:t>
      </w:r>
    </w:p>
    <w:p w14:paraId="7D42152A" w14:textId="77777777" w:rsidR="000E71B8" w:rsidRDefault="000E71B8" w:rsidP="000E71B8">
      <w:pPr>
        <w:pStyle w:val="BlockText"/>
        <w:tabs>
          <w:tab w:val="clear" w:pos="720"/>
          <w:tab w:val="left" w:pos="0"/>
        </w:tabs>
        <w:ind w:left="0" w:right="0" w:firstLine="0"/>
        <w:jc w:val="both"/>
        <w:rPr>
          <w:rFonts w:ascii="Calibri" w:hAnsi="Calibri"/>
          <w:iCs/>
          <w:sz w:val="22"/>
        </w:rPr>
      </w:pPr>
      <w:r>
        <w:rPr>
          <w:rFonts w:ascii="Calibri" w:hAnsi="Calibri"/>
          <w:iCs/>
          <w:sz w:val="22"/>
        </w:rPr>
        <w:t>The Local Initiative Program (LIP) is a technical assistance subsidy program to facilitate Chapter 40B developments and locally produced affordable units. The general requirements of LIP include ensuring that projects are consistent with sustainable or smart growth development principles as well as local housing needs.  LIP recognizes that there is a critical need for all types of housing but encourages family and special needs housing in particular.  Age-restricted housing (over 55) is allowed but the locality must demonstrate actual need and marketability.  DHCD has the discretion to withhold approval of age-restricted housing if other such housing units within the community remain unbuilt or unsold or if the age-restricted units are unresponsive to the need for family housing within the context of other recent local housing efforts.</w:t>
      </w:r>
    </w:p>
    <w:p w14:paraId="6B32E6FD" w14:textId="77777777" w:rsidR="000E71B8" w:rsidRDefault="000E71B8" w:rsidP="000E71B8">
      <w:pPr>
        <w:pStyle w:val="BlockText"/>
        <w:ind w:left="0" w:right="0" w:firstLine="0"/>
        <w:jc w:val="both"/>
        <w:rPr>
          <w:rFonts w:ascii="Calibri" w:hAnsi="Calibri"/>
          <w:iCs/>
          <w:sz w:val="22"/>
        </w:rPr>
      </w:pPr>
    </w:p>
    <w:p w14:paraId="1AD46622" w14:textId="77777777" w:rsidR="000E71B8" w:rsidRDefault="000E71B8" w:rsidP="000E71B8">
      <w:pPr>
        <w:pStyle w:val="BlockText"/>
        <w:ind w:left="0" w:right="0" w:firstLine="0"/>
        <w:jc w:val="both"/>
        <w:rPr>
          <w:rFonts w:ascii="Calibri" w:hAnsi="Calibri"/>
          <w:iCs/>
          <w:sz w:val="22"/>
        </w:rPr>
      </w:pPr>
      <w:r>
        <w:rPr>
          <w:rFonts w:ascii="Calibri" w:hAnsi="Calibri"/>
          <w:iCs/>
          <w:sz w:val="22"/>
        </w:rPr>
        <w:t>There are two types of LIP projects, those using the comprehensive permit process, the so-called “friendly” 40B’s, and Local Action Units (LAUs), units where affordability is a result of some local action such as inclusionary zoning, Community Preservation funding, other regulatory requirements, etc.</w:t>
      </w:r>
    </w:p>
    <w:p w14:paraId="615EE152" w14:textId="77777777" w:rsidR="000E71B8" w:rsidRDefault="000E71B8" w:rsidP="000E71B8">
      <w:pPr>
        <w:pStyle w:val="BlockText"/>
        <w:ind w:left="0" w:right="0"/>
        <w:jc w:val="both"/>
        <w:rPr>
          <w:rFonts w:ascii="Calibri" w:hAnsi="Calibri"/>
          <w:iCs/>
          <w:sz w:val="22"/>
        </w:rPr>
      </w:pPr>
    </w:p>
    <w:p w14:paraId="0FF6DEC2" w14:textId="77777777" w:rsidR="000E71B8" w:rsidRDefault="000E71B8" w:rsidP="000E71B8">
      <w:pPr>
        <w:pStyle w:val="BlockText"/>
        <w:ind w:left="0" w:right="0" w:firstLine="0"/>
        <w:jc w:val="both"/>
        <w:rPr>
          <w:rFonts w:ascii="Calibri" w:hAnsi="Calibri"/>
          <w:iCs/>
          <w:sz w:val="22"/>
        </w:rPr>
      </w:pPr>
      <w:r>
        <w:rPr>
          <w:rFonts w:ascii="Calibri" w:hAnsi="Calibri"/>
          <w:iCs/>
          <w:sz w:val="22"/>
        </w:rPr>
        <w:t>Specific LIP requirements include the following by category:</w:t>
      </w:r>
    </w:p>
    <w:p w14:paraId="38DB47CE" w14:textId="77777777" w:rsidR="000E71B8" w:rsidRDefault="000E71B8" w:rsidP="000E71B8">
      <w:pPr>
        <w:pStyle w:val="Heading4"/>
        <w:spacing w:before="0"/>
        <w:jc w:val="both"/>
        <w:rPr>
          <w:rFonts w:ascii="Calibri" w:hAnsi="Calibri"/>
          <w:i w:val="0"/>
          <w:iCs w:val="0"/>
          <w:color w:val="auto"/>
          <w:sz w:val="22"/>
        </w:rPr>
      </w:pPr>
    </w:p>
    <w:p w14:paraId="0CCC7566" w14:textId="3E2BFED0" w:rsidR="000E71B8" w:rsidRPr="00B8599C" w:rsidRDefault="000E71B8" w:rsidP="000E71B8">
      <w:pPr>
        <w:pStyle w:val="Heading4"/>
        <w:spacing w:before="0"/>
        <w:jc w:val="both"/>
        <w:rPr>
          <w:rFonts w:ascii="Calibri" w:hAnsi="Calibri"/>
          <w:i w:val="0"/>
          <w:iCs w:val="0"/>
          <w:color w:val="auto"/>
          <w:sz w:val="22"/>
        </w:rPr>
      </w:pPr>
      <w:r w:rsidRPr="00B8599C">
        <w:rPr>
          <w:rFonts w:ascii="Calibri" w:hAnsi="Calibri"/>
          <w:i w:val="0"/>
          <w:iCs w:val="0"/>
          <w:color w:val="auto"/>
          <w:sz w:val="22"/>
        </w:rPr>
        <w:t xml:space="preserve">Income and Assets </w:t>
      </w:r>
    </w:p>
    <w:p w14:paraId="1AC07105"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Must be affordable to those earning at or below 80% of area median income adjusted by family size and annually by HUD. Applicants for affordable units must meet the program income limits in effect at the time they apply for the unit and must continue to meet income limits in effect when they actually purchase a unit.</w:t>
      </w:r>
    </w:p>
    <w:p w14:paraId="63BC91AC"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For homeownership units, the household may not have owned a home within the past three years except for age-restricted “over 55” housing.</w:t>
      </w:r>
    </w:p>
    <w:p w14:paraId="542D70EA"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For homeownership projects, assets may not be greater than $75,000 except for age-restricted housing where the net equity from the ownership of a previous house cannot be more than $200,000.</w:t>
      </w:r>
    </w:p>
    <w:p w14:paraId="6E519D64"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Income and asset limits determine eligibility for lottery participation.</w:t>
      </w:r>
    </w:p>
    <w:p w14:paraId="212B9F11" w14:textId="77777777" w:rsidR="000E71B8" w:rsidRDefault="000E71B8" w:rsidP="000E71B8">
      <w:pPr>
        <w:pStyle w:val="Heading4"/>
        <w:spacing w:before="0"/>
        <w:jc w:val="both"/>
        <w:rPr>
          <w:rFonts w:ascii="Calibri" w:hAnsi="Calibri"/>
          <w:i w:val="0"/>
          <w:iCs w:val="0"/>
          <w:color w:val="auto"/>
          <w:sz w:val="22"/>
        </w:rPr>
      </w:pPr>
    </w:p>
    <w:p w14:paraId="4C10041B" w14:textId="52C66C0A" w:rsidR="000E71B8" w:rsidRPr="008D43B3" w:rsidRDefault="000E71B8" w:rsidP="000E71B8">
      <w:pPr>
        <w:pStyle w:val="Heading4"/>
        <w:spacing w:before="0"/>
        <w:jc w:val="both"/>
        <w:rPr>
          <w:rFonts w:ascii="Calibri" w:hAnsi="Calibri"/>
          <w:i w:val="0"/>
          <w:iCs w:val="0"/>
          <w:color w:val="auto"/>
          <w:sz w:val="22"/>
        </w:rPr>
      </w:pPr>
      <w:r w:rsidRPr="008D43B3">
        <w:rPr>
          <w:rFonts w:ascii="Calibri" w:hAnsi="Calibri"/>
          <w:i w:val="0"/>
          <w:iCs w:val="0"/>
          <w:color w:val="auto"/>
          <w:sz w:val="22"/>
        </w:rPr>
        <w:t>Allowable Sales Prices and Rents</w:t>
      </w:r>
      <w:r w:rsidRPr="008D43B3">
        <w:rPr>
          <w:rStyle w:val="FootnoteReference"/>
          <w:rFonts w:ascii="Calibri" w:hAnsi="Calibri"/>
          <w:i w:val="0"/>
          <w:iCs w:val="0"/>
          <w:color w:val="auto"/>
          <w:sz w:val="22"/>
        </w:rPr>
        <w:footnoteReference w:id="43"/>
      </w:r>
    </w:p>
    <w:p w14:paraId="1D7A668A" w14:textId="06EA6D32"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Rents are calculated at what is affordable to a household earning 80% of area median income adjusted for family size, assuming they pay no more than 30% of their income on housing.  Housing costs include rent and payments for heat, hot water, cooking fuel, and electric.  If there is no municipal trash collection a trash removal allowance should be included.  If utilities are separately metered and pa</w:t>
      </w:r>
      <w:r w:rsidR="00920BC9">
        <w:rPr>
          <w:rFonts w:ascii="Calibri" w:hAnsi="Calibri"/>
          <w:iCs/>
          <w:sz w:val="22"/>
        </w:rPr>
        <w:t>i</w:t>
      </w:r>
      <w:r>
        <w:rPr>
          <w:rFonts w:ascii="Calibri" w:hAnsi="Calibri"/>
          <w:iCs/>
          <w:sz w:val="22"/>
        </w:rPr>
        <w:t>d by the tenant, the LIP rent is reduced based on the area’s utility allowance.  Indicate on the DHCD application whether the proposed rent has been determined with the use of utility allowances for some or all utilities.</w:t>
      </w:r>
    </w:p>
    <w:p w14:paraId="7BBC70BB"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 xml:space="preserve">Sales prices of LIP units are set so a household earning 70% of area median income would have to pay no more than 30% of their income for housing.  Housing costs include mortgage principal </w:t>
      </w:r>
      <w:r>
        <w:rPr>
          <w:rFonts w:ascii="Calibri" w:hAnsi="Calibri"/>
          <w:iCs/>
          <w:sz w:val="22"/>
        </w:rPr>
        <w:lastRenderedPageBreak/>
        <w:t>and interest on a 30-year fixed term mortgage at 95% of purchase price, property taxes, condo fees</w:t>
      </w:r>
      <w:r>
        <w:rPr>
          <w:rStyle w:val="FootnoteReference"/>
          <w:rFonts w:ascii="Calibri" w:eastAsiaTheme="majorEastAsia" w:hAnsi="Calibri"/>
          <w:iCs/>
          <w:sz w:val="22"/>
        </w:rPr>
        <w:footnoteReference w:id="44"/>
      </w:r>
      <w:r>
        <w:rPr>
          <w:rFonts w:ascii="Calibri" w:hAnsi="Calibri"/>
          <w:iCs/>
          <w:sz w:val="22"/>
        </w:rPr>
        <w:t xml:space="preserve">, private mortgage insurance (if putting less than 20% of purchase price down), and hazard insurance.  </w:t>
      </w:r>
    </w:p>
    <w:p w14:paraId="073DA368"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The initial maximum sales price or rent is calculated as affordable to a household with a number of household members equal to the number of bedrooms plus one (for example a two-bedroom unit would be priced based on what a three-person household could afford).</w:t>
      </w:r>
    </w:p>
    <w:p w14:paraId="13E32FE3" w14:textId="77777777" w:rsidR="000E71B8" w:rsidRDefault="000E71B8" w:rsidP="000E71B8">
      <w:pPr>
        <w:pStyle w:val="Heading4"/>
        <w:spacing w:before="0"/>
        <w:jc w:val="both"/>
        <w:rPr>
          <w:rFonts w:ascii="Calibri" w:hAnsi="Calibri"/>
          <w:i w:val="0"/>
          <w:iCs w:val="0"/>
          <w:color w:val="auto"/>
          <w:sz w:val="22"/>
        </w:rPr>
      </w:pPr>
    </w:p>
    <w:p w14:paraId="62B28ECB" w14:textId="21820414" w:rsidR="000E71B8" w:rsidRPr="00B8599C" w:rsidRDefault="000E71B8" w:rsidP="000E71B8">
      <w:pPr>
        <w:pStyle w:val="Heading4"/>
        <w:spacing w:before="0"/>
        <w:jc w:val="both"/>
        <w:rPr>
          <w:rFonts w:ascii="Calibri" w:hAnsi="Calibri"/>
          <w:i w:val="0"/>
          <w:iCs w:val="0"/>
          <w:color w:val="auto"/>
          <w:sz w:val="22"/>
        </w:rPr>
      </w:pPr>
      <w:r w:rsidRPr="00B8599C">
        <w:rPr>
          <w:rFonts w:ascii="Calibri" w:hAnsi="Calibri"/>
          <w:i w:val="0"/>
          <w:iCs w:val="0"/>
          <w:color w:val="auto"/>
          <w:sz w:val="22"/>
        </w:rPr>
        <w:t>Allowable Financing and Costs</w:t>
      </w:r>
    </w:p>
    <w:p w14:paraId="771CDC8E" w14:textId="77777777" w:rsidR="000E71B8" w:rsidRDefault="000E71B8" w:rsidP="005D3FC9">
      <w:pPr>
        <w:numPr>
          <w:ilvl w:val="0"/>
          <w:numId w:val="25"/>
        </w:numPr>
        <w:tabs>
          <w:tab w:val="clear" w:pos="360"/>
          <w:tab w:val="num" w:pos="720"/>
        </w:tabs>
        <w:ind w:left="720"/>
        <w:jc w:val="both"/>
        <w:rPr>
          <w:rFonts w:ascii="Calibri" w:hAnsi="Calibri"/>
          <w:i/>
          <w:sz w:val="22"/>
        </w:rPr>
      </w:pPr>
      <w:r>
        <w:rPr>
          <w:rFonts w:ascii="Calibri" w:hAnsi="Calibri"/>
          <w:iCs/>
          <w:sz w:val="22"/>
        </w:rPr>
        <w:t>Allowable development costs include the “as is” value of the property based on existing zoning at the time of application for a project eligibility letter (initial application to DHCD).  Carrying costs (i.e., property taxes, property insurance, interest payments on acquisitions financing, etc.) can be no more than 20% of the “as is” market value unless the carrying period exceeds 24 months.  Reasonable carrying costs must be verified by the submission of documentation not within the exclusive control of the applicant.</w:t>
      </w:r>
    </w:p>
    <w:p w14:paraId="2946397C" w14:textId="77777777" w:rsidR="000E71B8" w:rsidRDefault="000E71B8" w:rsidP="005D3FC9">
      <w:pPr>
        <w:numPr>
          <w:ilvl w:val="0"/>
          <w:numId w:val="25"/>
        </w:numPr>
        <w:tabs>
          <w:tab w:val="clear" w:pos="360"/>
          <w:tab w:val="num" w:pos="720"/>
        </w:tabs>
        <w:ind w:left="720"/>
        <w:jc w:val="both"/>
        <w:rPr>
          <w:rFonts w:ascii="Calibri" w:hAnsi="Calibri"/>
          <w:i/>
          <w:sz w:val="22"/>
        </w:rPr>
      </w:pPr>
      <w:r>
        <w:rPr>
          <w:rFonts w:ascii="Calibri" w:hAnsi="Calibri"/>
          <w:iCs/>
          <w:sz w:val="22"/>
        </w:rPr>
        <w:t>Appraisals are required except for small projects of 20 units or less at the request of the  City Council/Board of Selectmen where the applicant for the LIP comprehensive permit submits satisfactory evidence of value.</w:t>
      </w:r>
    </w:p>
    <w:p w14:paraId="0618144E" w14:textId="77777777" w:rsidR="000E71B8" w:rsidRDefault="000E71B8" w:rsidP="005D3FC9">
      <w:pPr>
        <w:numPr>
          <w:ilvl w:val="0"/>
          <w:numId w:val="25"/>
        </w:numPr>
        <w:tabs>
          <w:tab w:val="clear" w:pos="360"/>
          <w:tab w:val="num" w:pos="720"/>
        </w:tabs>
        <w:ind w:left="720"/>
        <w:jc w:val="both"/>
        <w:rPr>
          <w:rFonts w:ascii="Calibri" w:hAnsi="Calibri"/>
          <w:i/>
          <w:sz w:val="22"/>
        </w:rPr>
      </w:pPr>
      <w:r>
        <w:rPr>
          <w:rFonts w:ascii="Calibri" w:hAnsi="Calibri"/>
          <w:iCs/>
          <w:sz w:val="22"/>
        </w:rPr>
        <w:t>Profits are limited to no more than 20% of total allowable development costs in homeownership projects.</w:t>
      </w:r>
    </w:p>
    <w:p w14:paraId="64CFA809" w14:textId="77777777" w:rsidR="000E71B8" w:rsidRDefault="000E71B8" w:rsidP="005D3FC9">
      <w:pPr>
        <w:numPr>
          <w:ilvl w:val="0"/>
          <w:numId w:val="25"/>
        </w:numPr>
        <w:tabs>
          <w:tab w:val="clear" w:pos="360"/>
          <w:tab w:val="num" w:pos="720"/>
        </w:tabs>
        <w:ind w:left="720"/>
        <w:jc w:val="both"/>
        <w:rPr>
          <w:rFonts w:ascii="Calibri" w:hAnsi="Calibri"/>
          <w:i/>
          <w:sz w:val="22"/>
        </w:rPr>
      </w:pPr>
      <w:r>
        <w:rPr>
          <w:rFonts w:ascii="Calibri" w:hAnsi="Calibri"/>
          <w:iCs/>
          <w:sz w:val="22"/>
        </w:rPr>
        <w:t>In regard to rental developments, payment of fees and profits are limited to no more than 10% of total development costs net of profits and fees and any working capital or reserves intended for property operations.  Beginning upon initial occupancy and then proceeding on an annual basis, annual dividend distributions will be limited to no more than 10% of the owner’s equity in the project.  Owner’s equity is the difference between the appraised as-built value and the sum of any public equity and secured debt on the property.</w:t>
      </w:r>
    </w:p>
    <w:p w14:paraId="0D6E47DA" w14:textId="77777777" w:rsidR="000E71B8" w:rsidRDefault="000E71B8" w:rsidP="005D3FC9">
      <w:pPr>
        <w:numPr>
          <w:ilvl w:val="0"/>
          <w:numId w:val="25"/>
        </w:numPr>
        <w:tabs>
          <w:tab w:val="clear" w:pos="360"/>
          <w:tab w:val="num" w:pos="720"/>
        </w:tabs>
        <w:ind w:left="720"/>
        <w:jc w:val="both"/>
        <w:rPr>
          <w:rFonts w:ascii="Calibri" w:hAnsi="Calibri"/>
          <w:i/>
          <w:sz w:val="22"/>
        </w:rPr>
      </w:pPr>
      <w:r>
        <w:rPr>
          <w:rFonts w:ascii="Calibri" w:hAnsi="Calibri"/>
          <w:iCs/>
          <w:sz w:val="22"/>
        </w:rPr>
        <w:t>For LIP comprehensive permit projects, DHCD requires all developers to post a bond (or a letter of credit) with the municipality to guarantee the developer’s obligations to provide a satisfactory cost certification upon completion of construction and to have any excess profits, beyond what is allowed, revert back to the municipality.  The bond is discharged after DHCD has determined that the developer has appropriately complied with the profit limitations.</w:t>
      </w:r>
    </w:p>
    <w:p w14:paraId="5AC71CDB"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No third-party mortgages are allowed for homeownership units.</w:t>
      </w:r>
    </w:p>
    <w:p w14:paraId="23AAF346" w14:textId="77777777" w:rsidR="000E71B8" w:rsidRDefault="000E71B8" w:rsidP="000E71B8">
      <w:pPr>
        <w:ind w:left="360"/>
        <w:jc w:val="both"/>
        <w:rPr>
          <w:rFonts w:ascii="Calibri" w:hAnsi="Calibri"/>
          <w:i/>
          <w:sz w:val="22"/>
        </w:rPr>
      </w:pPr>
    </w:p>
    <w:p w14:paraId="7043859D" w14:textId="77777777" w:rsidR="000E71B8" w:rsidRDefault="000E71B8" w:rsidP="000E71B8">
      <w:pPr>
        <w:jc w:val="both"/>
        <w:rPr>
          <w:rFonts w:ascii="Calibri" w:hAnsi="Calibri"/>
          <w:b/>
          <w:bCs/>
          <w:i/>
          <w:sz w:val="22"/>
        </w:rPr>
      </w:pPr>
      <w:r>
        <w:rPr>
          <w:rFonts w:ascii="Calibri" w:hAnsi="Calibri"/>
          <w:b/>
          <w:bCs/>
          <w:i/>
          <w:sz w:val="22"/>
        </w:rPr>
        <w:t xml:space="preserve">Marketing and Outreach  (refer to state Affirmative Fair Housing Marketing Plan guidelines dated June 25, 2008.) </w:t>
      </w:r>
    </w:p>
    <w:p w14:paraId="6969D949"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 xml:space="preserve">Marketing and outreach, including lottery administration in adherence with all Fair Housing laws.  </w:t>
      </w:r>
    </w:p>
    <w:p w14:paraId="1CC1AC19"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LIP requires that the lottery draw and rank households by size.</w:t>
      </w:r>
    </w:p>
    <w:p w14:paraId="4CF4081C"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If there are proportionately less minority applicants in the community preference pool than the proportion in the region, a preliminary lottery must be held to boost, if possible, the proportion of minority applicants to this regional level.</w:t>
      </w:r>
    </w:p>
    <w:p w14:paraId="48E7E985"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lastRenderedPageBreak/>
        <w:t xml:space="preserve">A maximum of 70% of the units may be local preference units for those who have a connection to the community as defined under state guidelines (Section C:  Local Preference section of the Affirmative Fair Housing Marketing Plan Guidelines (dated June 25, 2008). </w:t>
      </w:r>
    </w:p>
    <w:p w14:paraId="03F67ADF" w14:textId="77777777" w:rsidR="000E71B8" w:rsidRDefault="000E71B8" w:rsidP="005D3FC9">
      <w:pPr>
        <w:numPr>
          <w:ilvl w:val="0"/>
          <w:numId w:val="34"/>
        </w:numPr>
        <w:jc w:val="both"/>
        <w:rPr>
          <w:rFonts w:ascii="Calibri" w:hAnsi="Calibri"/>
          <w:iCs/>
          <w:sz w:val="22"/>
        </w:rPr>
      </w:pPr>
      <w:r>
        <w:rPr>
          <w:rFonts w:ascii="Calibri" w:hAnsi="Calibri"/>
          <w:iCs/>
          <w:sz w:val="22"/>
        </w:rPr>
        <w:t>The Marketing Plan must affirmatively provide outreach to area minority communities to notify them about availability of the unit(s).</w:t>
      </w:r>
    </w:p>
    <w:p w14:paraId="21D4718A" w14:textId="77777777" w:rsidR="000E71B8" w:rsidRDefault="000E71B8" w:rsidP="005D3FC9">
      <w:pPr>
        <w:numPr>
          <w:ilvl w:val="0"/>
          <w:numId w:val="34"/>
        </w:numPr>
        <w:jc w:val="both"/>
        <w:rPr>
          <w:rFonts w:ascii="Calibri" w:hAnsi="Calibri"/>
          <w:iCs/>
          <w:sz w:val="22"/>
        </w:rPr>
      </w:pPr>
      <w:r>
        <w:rPr>
          <w:rFonts w:ascii="Calibri" w:hAnsi="Calibri"/>
          <w:iCs/>
          <w:sz w:val="22"/>
        </w:rPr>
        <w:t>Marketing materials must be available/application process open for a period of at least 60 days.</w:t>
      </w:r>
    </w:p>
    <w:p w14:paraId="6E147B45" w14:textId="77777777" w:rsidR="000E71B8" w:rsidRDefault="000E71B8" w:rsidP="005D3FC9">
      <w:pPr>
        <w:numPr>
          <w:ilvl w:val="0"/>
          <w:numId w:val="34"/>
        </w:numPr>
        <w:jc w:val="both"/>
        <w:rPr>
          <w:rFonts w:ascii="Calibri" w:hAnsi="Calibri"/>
          <w:iCs/>
          <w:sz w:val="22"/>
        </w:rPr>
      </w:pPr>
      <w:r>
        <w:rPr>
          <w:rFonts w:ascii="Calibri" w:hAnsi="Calibri"/>
          <w:iCs/>
          <w:sz w:val="22"/>
        </w:rPr>
        <w:t>Marketing should begin about six (6) months before occupancy.</w:t>
      </w:r>
    </w:p>
    <w:p w14:paraId="22C9F27D" w14:textId="77777777" w:rsidR="000E71B8" w:rsidRDefault="000E71B8" w:rsidP="005D3FC9">
      <w:pPr>
        <w:numPr>
          <w:ilvl w:val="0"/>
          <w:numId w:val="34"/>
        </w:numPr>
        <w:jc w:val="both"/>
        <w:rPr>
          <w:rFonts w:ascii="Calibri" w:hAnsi="Calibri"/>
          <w:i/>
          <w:sz w:val="22"/>
        </w:rPr>
      </w:pPr>
      <w:r>
        <w:rPr>
          <w:rFonts w:ascii="Calibri" w:hAnsi="Calibri"/>
          <w:iCs/>
          <w:sz w:val="22"/>
        </w:rPr>
        <w:t>Lottery must be held unless there are no more qualified applicants than units available.</w:t>
      </w:r>
    </w:p>
    <w:p w14:paraId="386878F5" w14:textId="77777777" w:rsidR="000E71B8" w:rsidRDefault="000E71B8" w:rsidP="000E71B8">
      <w:pPr>
        <w:ind w:left="360"/>
        <w:jc w:val="both"/>
        <w:rPr>
          <w:rFonts w:ascii="Calibri" w:hAnsi="Calibri"/>
          <w:i/>
          <w:sz w:val="22"/>
        </w:rPr>
      </w:pPr>
    </w:p>
    <w:p w14:paraId="1AF516CA" w14:textId="77777777" w:rsidR="000E71B8" w:rsidRDefault="000E71B8" w:rsidP="000E71B8">
      <w:pPr>
        <w:jc w:val="both"/>
        <w:rPr>
          <w:rFonts w:ascii="Calibri" w:hAnsi="Calibri"/>
          <w:b/>
          <w:bCs/>
          <w:i/>
          <w:sz w:val="22"/>
        </w:rPr>
      </w:pPr>
      <w:r>
        <w:rPr>
          <w:rFonts w:ascii="Calibri" w:hAnsi="Calibri"/>
          <w:b/>
          <w:bCs/>
          <w:i/>
          <w:sz w:val="22"/>
        </w:rPr>
        <w:t>Regulatory Requirements</w:t>
      </w:r>
    </w:p>
    <w:p w14:paraId="4777F74F"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The affordable units design, type, size, etc. must be the same as the market units and dispersed throughout the development.</w:t>
      </w:r>
    </w:p>
    <w:p w14:paraId="605766D1"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Units developed through LIP as affordable must be undistinguishable from market units as viewed from the exterior (unless the project has a DHCD-approved alternative development plan that is only granted under exceptional circumstances) and contain complete living facilities.</w:t>
      </w:r>
    </w:p>
    <w:p w14:paraId="141046F5"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For over 55 projects, only one household member must be 55 or older.</w:t>
      </w:r>
    </w:p>
    <w:p w14:paraId="4F7ECF1D"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 xml:space="preserve">Household size relationship to unit size is based on “households” = number of bedrooms plus one – i.e., a four-person household in a three-bedroom unit (important also for calculating purchase prices of the affordable units for which LIP has a formula as noted above).  </w:t>
      </w:r>
    </w:p>
    <w:p w14:paraId="4EDC6885"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Must have deed restrictions in effect in perpetuity unless the applicant or municipality can justify a shorter term to DHCD.</w:t>
      </w:r>
    </w:p>
    <w:p w14:paraId="78A2A01D" w14:textId="77777777" w:rsidR="000E71B8" w:rsidRDefault="000E71B8" w:rsidP="005D3FC9">
      <w:pPr>
        <w:numPr>
          <w:ilvl w:val="0"/>
          <w:numId w:val="25"/>
        </w:numPr>
        <w:tabs>
          <w:tab w:val="clear" w:pos="360"/>
          <w:tab w:val="num" w:pos="720"/>
        </w:tabs>
        <w:ind w:left="720"/>
        <w:jc w:val="both"/>
        <w:rPr>
          <w:rFonts w:ascii="Calibri" w:hAnsi="Calibri"/>
          <w:iCs/>
          <w:sz w:val="22"/>
        </w:rPr>
      </w:pPr>
      <w:r>
        <w:rPr>
          <w:rFonts w:ascii="Calibri" w:hAnsi="Calibri"/>
          <w:iCs/>
          <w:sz w:val="22"/>
        </w:rPr>
        <w:t>All affordable units for families must have at least two or more bedrooms and meet state sanitary codes and these minimum requirements –</w:t>
      </w:r>
    </w:p>
    <w:p w14:paraId="11E564A9" w14:textId="77777777" w:rsidR="000E71B8" w:rsidRDefault="000E71B8" w:rsidP="000E71B8">
      <w:pPr>
        <w:ind w:left="1440"/>
        <w:jc w:val="both"/>
        <w:rPr>
          <w:rFonts w:ascii="Calibri" w:hAnsi="Calibri"/>
          <w:iCs/>
          <w:sz w:val="22"/>
        </w:rPr>
      </w:pPr>
    </w:p>
    <w:p w14:paraId="28535F11" w14:textId="77777777" w:rsidR="000E71B8" w:rsidRDefault="000E71B8" w:rsidP="000E71B8">
      <w:pPr>
        <w:ind w:left="1440"/>
        <w:jc w:val="center"/>
        <w:rPr>
          <w:rFonts w:ascii="Calibri" w:hAnsi="Calibri"/>
          <w:iCs/>
          <w:sz w:val="22"/>
        </w:rPr>
      </w:pPr>
      <w:r>
        <w:rPr>
          <w:rFonts w:ascii="Calibri" w:hAnsi="Calibri"/>
          <w:iCs/>
          <w:sz w:val="22"/>
        </w:rPr>
        <w:t>1 bedroom – 700 square feet/1 bath</w:t>
      </w:r>
    </w:p>
    <w:p w14:paraId="2172E772" w14:textId="77777777" w:rsidR="000E71B8" w:rsidRDefault="000E71B8" w:rsidP="000E71B8">
      <w:pPr>
        <w:ind w:left="1440"/>
        <w:jc w:val="center"/>
        <w:rPr>
          <w:rFonts w:ascii="Calibri" w:hAnsi="Calibri"/>
          <w:iCs/>
          <w:sz w:val="22"/>
        </w:rPr>
      </w:pPr>
      <w:r>
        <w:rPr>
          <w:rFonts w:ascii="Calibri" w:hAnsi="Calibri"/>
          <w:iCs/>
          <w:sz w:val="22"/>
        </w:rPr>
        <w:t>2 bedrooms – 900 square feet/1 bath</w:t>
      </w:r>
    </w:p>
    <w:p w14:paraId="5025B2D7" w14:textId="77777777" w:rsidR="000E71B8" w:rsidRDefault="000E71B8" w:rsidP="000E71B8">
      <w:pPr>
        <w:ind w:left="1440"/>
        <w:jc w:val="center"/>
        <w:rPr>
          <w:rFonts w:ascii="Calibri" w:hAnsi="Calibri"/>
          <w:iCs/>
          <w:sz w:val="22"/>
        </w:rPr>
      </w:pPr>
      <w:r>
        <w:rPr>
          <w:rFonts w:ascii="Calibri" w:hAnsi="Calibri"/>
          <w:iCs/>
          <w:sz w:val="22"/>
        </w:rPr>
        <w:t>3 bedrooms – 1,200 square feet/ 1 ½ baths</w:t>
      </w:r>
    </w:p>
    <w:p w14:paraId="514AC54F" w14:textId="77777777" w:rsidR="000E71B8" w:rsidRDefault="000E71B8" w:rsidP="000E71B8">
      <w:pPr>
        <w:ind w:left="1440"/>
        <w:jc w:val="center"/>
        <w:rPr>
          <w:rFonts w:ascii="Calibri" w:hAnsi="Calibri"/>
          <w:iCs/>
          <w:sz w:val="22"/>
        </w:rPr>
      </w:pPr>
      <w:r>
        <w:rPr>
          <w:rFonts w:ascii="Calibri" w:hAnsi="Calibri"/>
          <w:iCs/>
          <w:sz w:val="22"/>
        </w:rPr>
        <w:t>4 bedrooms – 1,400 square feet/2 baths</w:t>
      </w:r>
    </w:p>
    <w:p w14:paraId="3C80546C" w14:textId="77777777" w:rsidR="000E71B8" w:rsidRDefault="000E71B8" w:rsidP="000E71B8">
      <w:pPr>
        <w:ind w:left="1440"/>
        <w:jc w:val="center"/>
        <w:rPr>
          <w:rFonts w:ascii="Calibri" w:hAnsi="Calibri"/>
          <w:iCs/>
          <w:sz w:val="22"/>
        </w:rPr>
      </w:pPr>
    </w:p>
    <w:p w14:paraId="22337C37" w14:textId="77777777" w:rsidR="000E71B8" w:rsidRDefault="000E71B8" w:rsidP="005D3FC9">
      <w:pPr>
        <w:numPr>
          <w:ilvl w:val="0"/>
          <w:numId w:val="38"/>
        </w:numPr>
        <w:tabs>
          <w:tab w:val="num" w:pos="720"/>
        </w:tabs>
        <w:ind w:left="720"/>
        <w:jc w:val="both"/>
        <w:rPr>
          <w:rFonts w:ascii="Calibri" w:hAnsi="Calibri"/>
          <w:iCs/>
          <w:sz w:val="22"/>
        </w:rPr>
      </w:pPr>
      <w:r>
        <w:rPr>
          <w:rFonts w:ascii="Calibri" w:hAnsi="Calibri"/>
          <w:iCs/>
          <w:sz w:val="22"/>
        </w:rPr>
        <w:t>Appraisals may take into account the probability of obtaining a variance, special permit or other zoning relief but must exclude any value relating to the possible issuance of a comprehensive permit.</w:t>
      </w:r>
    </w:p>
    <w:p w14:paraId="2C3120AD" w14:textId="77777777" w:rsidR="000E71B8" w:rsidRDefault="000E71B8" w:rsidP="000E71B8">
      <w:pPr>
        <w:ind w:left="360"/>
        <w:jc w:val="both"/>
        <w:rPr>
          <w:rFonts w:ascii="Calibri" w:hAnsi="Calibri"/>
          <w:iCs/>
          <w:sz w:val="22"/>
        </w:rPr>
      </w:pPr>
    </w:p>
    <w:p w14:paraId="73BF4664" w14:textId="77777777" w:rsidR="000E71B8" w:rsidRPr="00B8599C" w:rsidRDefault="000E71B8" w:rsidP="000E71B8">
      <w:pPr>
        <w:pStyle w:val="BodyText2"/>
        <w:spacing w:after="0" w:line="240" w:lineRule="auto"/>
        <w:jc w:val="both"/>
        <w:rPr>
          <w:rFonts w:ascii="Calibri" w:hAnsi="Calibri"/>
          <w:iCs/>
          <w:sz w:val="22"/>
          <w:szCs w:val="22"/>
        </w:rPr>
      </w:pPr>
      <w:r w:rsidRPr="00B8599C">
        <w:rPr>
          <w:rFonts w:ascii="Calibri" w:hAnsi="Calibri"/>
          <w:iCs/>
          <w:sz w:val="22"/>
          <w:szCs w:val="22"/>
        </w:rPr>
        <w:t>The process that is required for using LIP for 40B developments – “friendly” comprehensive permit projects – is largely developer driven. It is based on the understanding that the developer and Town are working together on a project that meets community needs. Minimum requirements include:</w:t>
      </w:r>
    </w:p>
    <w:p w14:paraId="0BFC575A" w14:textId="77777777" w:rsidR="000E71B8" w:rsidRPr="00B8599C" w:rsidRDefault="000E71B8" w:rsidP="000E71B8">
      <w:pPr>
        <w:jc w:val="both"/>
        <w:rPr>
          <w:rFonts w:ascii="Calibri" w:hAnsi="Calibri"/>
          <w:iCs/>
          <w:sz w:val="22"/>
          <w:szCs w:val="22"/>
        </w:rPr>
      </w:pPr>
    </w:p>
    <w:p w14:paraId="6AAFD642" w14:textId="77777777" w:rsidR="000E71B8" w:rsidRDefault="000E71B8" w:rsidP="005D3FC9">
      <w:pPr>
        <w:numPr>
          <w:ilvl w:val="0"/>
          <w:numId w:val="37"/>
        </w:numPr>
        <w:jc w:val="both"/>
        <w:rPr>
          <w:rFonts w:ascii="Calibri" w:hAnsi="Calibri"/>
          <w:iCs/>
          <w:sz w:val="22"/>
        </w:rPr>
      </w:pPr>
      <w:r>
        <w:rPr>
          <w:rFonts w:ascii="Calibri" w:hAnsi="Calibri"/>
          <w:iCs/>
          <w:sz w:val="22"/>
        </w:rPr>
        <w:t>Written support of the municipality’s chief elected official, and the local housing partnership, trust or other designated local housing entity.  The chief executive officer is in fact required to submit the application to DHCD.</w:t>
      </w:r>
    </w:p>
    <w:p w14:paraId="76BB9583" w14:textId="77777777" w:rsidR="000E71B8" w:rsidRDefault="000E71B8" w:rsidP="005D3FC9">
      <w:pPr>
        <w:numPr>
          <w:ilvl w:val="0"/>
          <w:numId w:val="37"/>
        </w:numPr>
        <w:jc w:val="both"/>
        <w:rPr>
          <w:rFonts w:ascii="Calibri" w:hAnsi="Calibri"/>
          <w:iCs/>
          <w:sz w:val="22"/>
        </w:rPr>
      </w:pPr>
      <w:r>
        <w:rPr>
          <w:rFonts w:ascii="Calibri" w:hAnsi="Calibri"/>
          <w:iCs/>
          <w:sz w:val="22"/>
        </w:rPr>
        <w:t>At least 25% of the units must be affordable and occupied by households earning at or below 80% of area median income or at least 20% of units restricted to households at or below 50% of area median income.</w:t>
      </w:r>
    </w:p>
    <w:p w14:paraId="1563C63E" w14:textId="77777777" w:rsidR="000E71B8" w:rsidRDefault="000E71B8" w:rsidP="005D3FC9">
      <w:pPr>
        <w:numPr>
          <w:ilvl w:val="0"/>
          <w:numId w:val="37"/>
        </w:numPr>
        <w:jc w:val="both"/>
        <w:rPr>
          <w:rFonts w:ascii="Calibri" w:hAnsi="Calibri"/>
          <w:iCs/>
          <w:sz w:val="22"/>
        </w:rPr>
      </w:pPr>
      <w:r>
        <w:rPr>
          <w:rFonts w:ascii="Calibri" w:hAnsi="Calibri"/>
          <w:iCs/>
          <w:sz w:val="22"/>
        </w:rPr>
        <w:t>Affordability restrictions must be in effect in perpetuity, to be monitored by DHCD through a recorded regulatory agreement.</w:t>
      </w:r>
    </w:p>
    <w:p w14:paraId="2FB8F18C" w14:textId="77777777" w:rsidR="000E71B8" w:rsidRDefault="000E71B8" w:rsidP="005D3FC9">
      <w:pPr>
        <w:numPr>
          <w:ilvl w:val="0"/>
          <w:numId w:val="37"/>
        </w:numPr>
        <w:jc w:val="both"/>
        <w:rPr>
          <w:rFonts w:ascii="Calibri" w:hAnsi="Calibri"/>
          <w:iCs/>
          <w:sz w:val="22"/>
        </w:rPr>
      </w:pPr>
      <w:r>
        <w:rPr>
          <w:rFonts w:ascii="Calibri" w:hAnsi="Calibri"/>
          <w:iCs/>
          <w:sz w:val="22"/>
        </w:rPr>
        <w:lastRenderedPageBreak/>
        <w:t>Project sponsors must prepare and execute an Affirmative Fair Housing Marketing Plan that must be approved by DHCD.</w:t>
      </w:r>
    </w:p>
    <w:p w14:paraId="6517441A" w14:textId="77777777" w:rsidR="000E71B8" w:rsidRDefault="000E71B8" w:rsidP="005D3FC9">
      <w:pPr>
        <w:numPr>
          <w:ilvl w:val="0"/>
          <w:numId w:val="37"/>
        </w:numPr>
        <w:jc w:val="both"/>
        <w:rPr>
          <w:rFonts w:ascii="Calibri" w:hAnsi="Calibri"/>
          <w:iCs/>
          <w:sz w:val="22"/>
        </w:rPr>
      </w:pPr>
      <w:r>
        <w:rPr>
          <w:rFonts w:ascii="Calibri" w:hAnsi="Calibri"/>
          <w:iCs/>
          <w:sz w:val="22"/>
        </w:rPr>
        <w:t>Developer’s profits are restricted per Chapter 40B requirements.</w:t>
      </w:r>
    </w:p>
    <w:p w14:paraId="489C74C8" w14:textId="77777777" w:rsidR="000E71B8" w:rsidRDefault="000E71B8" w:rsidP="000E71B8">
      <w:pPr>
        <w:jc w:val="both"/>
        <w:rPr>
          <w:rFonts w:ascii="Calibri" w:hAnsi="Calibri"/>
          <w:iCs/>
          <w:sz w:val="22"/>
        </w:rPr>
      </w:pPr>
    </w:p>
    <w:p w14:paraId="3539069B" w14:textId="77777777" w:rsidR="000E71B8" w:rsidRDefault="000E71B8" w:rsidP="000E71B8">
      <w:pPr>
        <w:jc w:val="both"/>
        <w:rPr>
          <w:rFonts w:ascii="Calibri" w:hAnsi="Calibri"/>
          <w:iCs/>
          <w:sz w:val="22"/>
        </w:rPr>
      </w:pPr>
      <w:r>
        <w:rPr>
          <w:rFonts w:ascii="Calibri" w:hAnsi="Calibri"/>
          <w:iCs/>
          <w:sz w:val="22"/>
        </w:rPr>
        <w:t>The process that is required for using LIP for 40B developments – “friendly” comprehensive permit projects – is as follows:</w:t>
      </w:r>
    </w:p>
    <w:p w14:paraId="2E6DC815" w14:textId="77777777" w:rsidR="000E71B8" w:rsidRDefault="000E71B8" w:rsidP="000E71B8">
      <w:pPr>
        <w:jc w:val="both"/>
        <w:rPr>
          <w:rFonts w:ascii="Calibri" w:hAnsi="Calibri"/>
          <w:iCs/>
          <w:sz w:val="22"/>
        </w:rPr>
      </w:pPr>
    </w:p>
    <w:p w14:paraId="44A19FAD" w14:textId="77777777" w:rsidR="000E71B8" w:rsidRDefault="000E71B8" w:rsidP="005D3FC9">
      <w:pPr>
        <w:numPr>
          <w:ilvl w:val="0"/>
          <w:numId w:val="23"/>
        </w:numPr>
        <w:jc w:val="both"/>
        <w:rPr>
          <w:rFonts w:ascii="Calibri" w:hAnsi="Calibri"/>
          <w:iCs/>
          <w:sz w:val="22"/>
        </w:rPr>
      </w:pPr>
      <w:r>
        <w:rPr>
          <w:rFonts w:ascii="Calibri" w:hAnsi="Calibri"/>
          <w:iCs/>
          <w:sz w:val="22"/>
        </w:rPr>
        <w:t>Application process</w:t>
      </w:r>
    </w:p>
    <w:p w14:paraId="077785B8" w14:textId="77777777" w:rsidR="000E71B8" w:rsidRDefault="000E71B8" w:rsidP="005D3FC9">
      <w:pPr>
        <w:numPr>
          <w:ilvl w:val="0"/>
          <w:numId w:val="31"/>
        </w:numPr>
        <w:ind w:firstLine="0"/>
        <w:jc w:val="both"/>
        <w:rPr>
          <w:rFonts w:ascii="Calibri" w:hAnsi="Calibri"/>
          <w:iCs/>
          <w:sz w:val="22"/>
        </w:rPr>
      </w:pPr>
      <w:r>
        <w:rPr>
          <w:rFonts w:ascii="Calibri" w:hAnsi="Calibri"/>
          <w:iCs/>
          <w:sz w:val="22"/>
        </w:rPr>
        <w:t>Developer meets with Town</w:t>
      </w:r>
    </w:p>
    <w:p w14:paraId="0F519D78" w14:textId="77777777" w:rsidR="000E71B8" w:rsidRDefault="000E71B8" w:rsidP="005D3FC9">
      <w:pPr>
        <w:numPr>
          <w:ilvl w:val="0"/>
          <w:numId w:val="31"/>
        </w:numPr>
        <w:ind w:firstLine="0"/>
        <w:jc w:val="both"/>
        <w:rPr>
          <w:rFonts w:ascii="Calibri" w:hAnsi="Calibri"/>
          <w:iCs/>
          <w:sz w:val="22"/>
        </w:rPr>
      </w:pPr>
      <w:r>
        <w:rPr>
          <w:rFonts w:ascii="Calibri" w:hAnsi="Calibri"/>
          <w:iCs/>
          <w:sz w:val="22"/>
        </w:rPr>
        <w:t>Developer and Town agree to proposal</w:t>
      </w:r>
    </w:p>
    <w:p w14:paraId="4912ABDB" w14:textId="77777777" w:rsidR="000E71B8" w:rsidRDefault="000E71B8" w:rsidP="005D3FC9">
      <w:pPr>
        <w:numPr>
          <w:ilvl w:val="0"/>
          <w:numId w:val="31"/>
        </w:numPr>
        <w:ind w:firstLine="0"/>
        <w:jc w:val="both"/>
        <w:rPr>
          <w:rFonts w:ascii="Calibri" w:hAnsi="Calibri"/>
          <w:iCs/>
          <w:sz w:val="22"/>
        </w:rPr>
      </w:pPr>
      <w:r>
        <w:rPr>
          <w:rFonts w:ascii="Calibri" w:hAnsi="Calibri"/>
          <w:iCs/>
          <w:sz w:val="22"/>
        </w:rPr>
        <w:t>Town chief elected officer submits application to DHCD with developer’s input</w:t>
      </w:r>
    </w:p>
    <w:p w14:paraId="6C57D14A" w14:textId="77777777" w:rsidR="000E71B8" w:rsidRDefault="000E71B8" w:rsidP="000E71B8">
      <w:pPr>
        <w:tabs>
          <w:tab w:val="num" w:pos="360"/>
        </w:tabs>
        <w:jc w:val="both"/>
        <w:rPr>
          <w:rFonts w:ascii="Calibri" w:hAnsi="Calibri"/>
          <w:iCs/>
          <w:sz w:val="22"/>
        </w:rPr>
      </w:pPr>
    </w:p>
    <w:p w14:paraId="0004F0D5" w14:textId="77777777" w:rsidR="000E71B8" w:rsidRDefault="000E71B8" w:rsidP="005D3FC9">
      <w:pPr>
        <w:numPr>
          <w:ilvl w:val="0"/>
          <w:numId w:val="23"/>
        </w:numPr>
        <w:jc w:val="both"/>
        <w:rPr>
          <w:rFonts w:ascii="Calibri" w:hAnsi="Calibri"/>
          <w:iCs/>
          <w:sz w:val="22"/>
        </w:rPr>
      </w:pPr>
      <w:r>
        <w:rPr>
          <w:rFonts w:ascii="Calibri" w:hAnsi="Calibri"/>
          <w:iCs/>
          <w:sz w:val="22"/>
        </w:rPr>
        <w:t>DHCD review involves the consideration of:</w:t>
      </w:r>
    </w:p>
    <w:p w14:paraId="5897D30D" w14:textId="77777777" w:rsidR="000E71B8" w:rsidRDefault="000E71B8" w:rsidP="005D3FC9">
      <w:pPr>
        <w:numPr>
          <w:ilvl w:val="0"/>
          <w:numId w:val="32"/>
        </w:numPr>
        <w:ind w:left="720"/>
        <w:jc w:val="both"/>
        <w:rPr>
          <w:rFonts w:ascii="Calibri" w:hAnsi="Calibri"/>
          <w:iCs/>
          <w:sz w:val="22"/>
        </w:rPr>
      </w:pPr>
      <w:r>
        <w:rPr>
          <w:rFonts w:ascii="Calibri" w:hAnsi="Calibri"/>
          <w:iCs/>
          <w:sz w:val="22"/>
        </w:rPr>
        <w:t>Sustainable development criteria (redevelop first, concentrate development, be fair, restore and enhance the environment, conserve natural resources, expand housing opportunities, provide transportation choice, increase job opportunities, foster sustainable businesses, and plan regionally),</w:t>
      </w:r>
    </w:p>
    <w:p w14:paraId="538871FD" w14:textId="77777777" w:rsidR="000E71B8" w:rsidRDefault="000E71B8" w:rsidP="005D3FC9">
      <w:pPr>
        <w:numPr>
          <w:ilvl w:val="0"/>
          <w:numId w:val="32"/>
        </w:numPr>
        <w:ind w:left="720"/>
        <w:jc w:val="both"/>
        <w:rPr>
          <w:rFonts w:ascii="Calibri" w:hAnsi="Calibri"/>
          <w:iCs/>
          <w:sz w:val="22"/>
        </w:rPr>
      </w:pPr>
      <w:r>
        <w:rPr>
          <w:rFonts w:ascii="Calibri" w:hAnsi="Calibri"/>
          <w:iCs/>
          <w:sz w:val="22"/>
        </w:rPr>
        <w:t>Number and type of units,</w:t>
      </w:r>
    </w:p>
    <w:p w14:paraId="3489DD90" w14:textId="77777777" w:rsidR="000E71B8" w:rsidRDefault="000E71B8" w:rsidP="005D3FC9">
      <w:pPr>
        <w:numPr>
          <w:ilvl w:val="0"/>
          <w:numId w:val="32"/>
        </w:numPr>
        <w:ind w:left="720"/>
        <w:jc w:val="both"/>
        <w:rPr>
          <w:rFonts w:ascii="Calibri" w:hAnsi="Calibri"/>
          <w:iCs/>
          <w:sz w:val="22"/>
        </w:rPr>
      </w:pPr>
      <w:r>
        <w:rPr>
          <w:rFonts w:ascii="Calibri" w:hAnsi="Calibri"/>
          <w:iCs/>
          <w:sz w:val="22"/>
        </w:rPr>
        <w:t>Pricing of units to be affordable to households earning no more than 70% of area median income,</w:t>
      </w:r>
    </w:p>
    <w:p w14:paraId="2805B14F" w14:textId="77777777" w:rsidR="000E71B8" w:rsidRDefault="000E71B8" w:rsidP="005D3FC9">
      <w:pPr>
        <w:numPr>
          <w:ilvl w:val="0"/>
          <w:numId w:val="32"/>
        </w:numPr>
        <w:ind w:left="720"/>
        <w:jc w:val="both"/>
        <w:rPr>
          <w:rFonts w:ascii="Calibri" w:hAnsi="Calibri"/>
          <w:iCs/>
          <w:sz w:val="22"/>
        </w:rPr>
      </w:pPr>
      <w:r>
        <w:rPr>
          <w:rFonts w:ascii="Calibri" w:hAnsi="Calibri"/>
          <w:iCs/>
          <w:sz w:val="22"/>
        </w:rPr>
        <w:t>Affirmative marketing plan,</w:t>
      </w:r>
    </w:p>
    <w:p w14:paraId="7D6FEEEC" w14:textId="77777777" w:rsidR="000E71B8" w:rsidRDefault="000E71B8" w:rsidP="005D3FC9">
      <w:pPr>
        <w:numPr>
          <w:ilvl w:val="0"/>
          <w:numId w:val="32"/>
        </w:numPr>
        <w:ind w:left="720"/>
        <w:jc w:val="both"/>
        <w:rPr>
          <w:rFonts w:ascii="Calibri" w:hAnsi="Calibri"/>
          <w:iCs/>
          <w:sz w:val="22"/>
        </w:rPr>
      </w:pPr>
      <w:r>
        <w:rPr>
          <w:rFonts w:ascii="Calibri" w:hAnsi="Calibri"/>
          <w:iCs/>
          <w:sz w:val="22"/>
        </w:rPr>
        <w:t>Financing, and</w:t>
      </w:r>
    </w:p>
    <w:p w14:paraId="4A2DE206" w14:textId="77777777" w:rsidR="000E71B8" w:rsidRDefault="000E71B8" w:rsidP="005D3FC9">
      <w:pPr>
        <w:numPr>
          <w:ilvl w:val="0"/>
          <w:numId w:val="32"/>
        </w:numPr>
        <w:ind w:left="720"/>
        <w:jc w:val="both"/>
        <w:rPr>
          <w:rFonts w:ascii="Calibri" w:hAnsi="Calibri"/>
          <w:iCs/>
          <w:sz w:val="22"/>
        </w:rPr>
      </w:pPr>
      <w:r>
        <w:rPr>
          <w:rFonts w:ascii="Calibri" w:hAnsi="Calibri"/>
          <w:iCs/>
          <w:sz w:val="22"/>
        </w:rPr>
        <w:t>Site visit.</w:t>
      </w:r>
    </w:p>
    <w:p w14:paraId="5D44D79F" w14:textId="77777777" w:rsidR="000E71B8" w:rsidRDefault="000E71B8" w:rsidP="000E71B8">
      <w:pPr>
        <w:jc w:val="both"/>
        <w:rPr>
          <w:rFonts w:ascii="Calibri" w:hAnsi="Calibri"/>
          <w:iCs/>
          <w:sz w:val="22"/>
        </w:rPr>
      </w:pPr>
    </w:p>
    <w:p w14:paraId="3510C7A1" w14:textId="77777777" w:rsidR="000E71B8" w:rsidRDefault="000E71B8" w:rsidP="005D3FC9">
      <w:pPr>
        <w:numPr>
          <w:ilvl w:val="0"/>
          <w:numId w:val="23"/>
        </w:numPr>
        <w:jc w:val="both"/>
        <w:rPr>
          <w:rFonts w:ascii="Calibri" w:hAnsi="Calibri"/>
          <w:iCs/>
          <w:sz w:val="22"/>
        </w:rPr>
      </w:pPr>
      <w:r>
        <w:rPr>
          <w:rFonts w:ascii="Calibri" w:hAnsi="Calibri"/>
          <w:iCs/>
          <w:sz w:val="22"/>
        </w:rPr>
        <w:t>DHCD issues site eligibility letter that enables the developer to bring the proposal to the ZBA for processing the comprehensive permit.</w:t>
      </w:r>
    </w:p>
    <w:p w14:paraId="5FC72F4C" w14:textId="77777777" w:rsidR="000E71B8" w:rsidRDefault="000E71B8" w:rsidP="000E71B8">
      <w:pPr>
        <w:jc w:val="both"/>
        <w:rPr>
          <w:rFonts w:ascii="Calibri" w:hAnsi="Calibri"/>
          <w:iCs/>
          <w:sz w:val="22"/>
        </w:rPr>
      </w:pPr>
    </w:p>
    <w:p w14:paraId="776E5F35" w14:textId="77777777" w:rsidR="000E71B8" w:rsidRDefault="000E71B8" w:rsidP="005D3FC9">
      <w:pPr>
        <w:numPr>
          <w:ilvl w:val="0"/>
          <w:numId w:val="23"/>
        </w:numPr>
        <w:jc w:val="both"/>
        <w:rPr>
          <w:rFonts w:ascii="Calibri" w:hAnsi="Calibri"/>
          <w:iCs/>
          <w:sz w:val="22"/>
        </w:rPr>
      </w:pPr>
      <w:r>
        <w:rPr>
          <w:rFonts w:ascii="Calibri" w:hAnsi="Calibri"/>
          <w:iCs/>
          <w:sz w:val="22"/>
        </w:rPr>
        <w:t>Zoning Board of Appeals holds hearing</w:t>
      </w:r>
    </w:p>
    <w:p w14:paraId="604763F8" w14:textId="77777777" w:rsidR="000E71B8" w:rsidRDefault="000E71B8" w:rsidP="005D3FC9">
      <w:pPr>
        <w:numPr>
          <w:ilvl w:val="0"/>
          <w:numId w:val="33"/>
        </w:numPr>
        <w:ind w:left="720"/>
        <w:jc w:val="both"/>
        <w:rPr>
          <w:rFonts w:ascii="Calibri" w:hAnsi="Calibri"/>
          <w:iCs/>
          <w:sz w:val="22"/>
        </w:rPr>
      </w:pPr>
      <w:r>
        <w:rPr>
          <w:rFonts w:ascii="Calibri" w:hAnsi="Calibri"/>
          <w:iCs/>
          <w:sz w:val="22"/>
        </w:rPr>
        <w:t>Developer and Town sign regulatory agreement to guarantee production of affordable units that includes the price of units and deed restriction in the case of homeownership and limits on rent increases if a rental project.  The deed restriction limits the profit upon resale and requires that the units be sold to another buyer meeting affordability criteria.</w:t>
      </w:r>
    </w:p>
    <w:p w14:paraId="2DD31AB4" w14:textId="77777777" w:rsidR="000E71B8" w:rsidRDefault="000E71B8" w:rsidP="005D3FC9">
      <w:pPr>
        <w:numPr>
          <w:ilvl w:val="0"/>
          <w:numId w:val="33"/>
        </w:numPr>
        <w:ind w:left="720"/>
        <w:jc w:val="both"/>
        <w:rPr>
          <w:rFonts w:ascii="Calibri" w:hAnsi="Calibri"/>
          <w:iCs/>
          <w:sz w:val="22"/>
        </w:rPr>
      </w:pPr>
      <w:r>
        <w:rPr>
          <w:rFonts w:ascii="Calibri" w:hAnsi="Calibri"/>
          <w:iCs/>
          <w:sz w:val="22"/>
        </w:rPr>
        <w:t>Developer forms a limited dividend corporation that limits profits.</w:t>
      </w:r>
    </w:p>
    <w:p w14:paraId="16B43DAA" w14:textId="77777777" w:rsidR="000E71B8" w:rsidRDefault="000E71B8" w:rsidP="005D3FC9">
      <w:pPr>
        <w:numPr>
          <w:ilvl w:val="0"/>
          <w:numId w:val="33"/>
        </w:numPr>
        <w:ind w:left="720"/>
        <w:jc w:val="both"/>
        <w:rPr>
          <w:rFonts w:ascii="Calibri" w:hAnsi="Calibri"/>
          <w:iCs/>
          <w:sz w:val="22"/>
        </w:rPr>
      </w:pPr>
      <w:r>
        <w:rPr>
          <w:rFonts w:ascii="Calibri" w:hAnsi="Calibri"/>
          <w:iCs/>
          <w:sz w:val="22"/>
        </w:rPr>
        <w:t>The developer and Town sign a regulatory agreement.</w:t>
      </w:r>
    </w:p>
    <w:p w14:paraId="1BAE672B" w14:textId="77777777" w:rsidR="000E71B8" w:rsidRDefault="000E71B8" w:rsidP="000E71B8">
      <w:pPr>
        <w:jc w:val="both"/>
        <w:rPr>
          <w:rFonts w:ascii="Calibri" w:hAnsi="Calibri"/>
          <w:iCs/>
          <w:sz w:val="22"/>
        </w:rPr>
      </w:pPr>
      <w:r>
        <w:rPr>
          <w:rFonts w:ascii="Calibri" w:hAnsi="Calibri"/>
          <w:iCs/>
          <w:sz w:val="22"/>
        </w:rPr>
        <w:t xml:space="preserve"> </w:t>
      </w:r>
    </w:p>
    <w:p w14:paraId="0CB8B03F" w14:textId="77777777" w:rsidR="000E71B8" w:rsidRDefault="000E71B8" w:rsidP="005D3FC9">
      <w:pPr>
        <w:numPr>
          <w:ilvl w:val="0"/>
          <w:numId w:val="23"/>
        </w:numPr>
        <w:jc w:val="both"/>
        <w:rPr>
          <w:rFonts w:ascii="Calibri" w:hAnsi="Calibri"/>
          <w:iCs/>
          <w:sz w:val="22"/>
        </w:rPr>
      </w:pPr>
      <w:r>
        <w:rPr>
          <w:rFonts w:ascii="Calibri" w:hAnsi="Calibri"/>
          <w:iCs/>
          <w:sz w:val="22"/>
        </w:rPr>
        <w:t>Marketing</w:t>
      </w:r>
    </w:p>
    <w:p w14:paraId="244E0946" w14:textId="77777777" w:rsidR="000E71B8" w:rsidRDefault="000E71B8" w:rsidP="005D3FC9">
      <w:pPr>
        <w:numPr>
          <w:ilvl w:val="0"/>
          <w:numId w:val="34"/>
        </w:numPr>
        <w:tabs>
          <w:tab w:val="num" w:pos="720"/>
        </w:tabs>
        <w:ind w:left="720"/>
        <w:jc w:val="both"/>
        <w:rPr>
          <w:rFonts w:ascii="Calibri" w:hAnsi="Calibri"/>
          <w:iCs/>
          <w:sz w:val="22"/>
        </w:rPr>
      </w:pPr>
      <w:r>
        <w:rPr>
          <w:rFonts w:ascii="Calibri" w:hAnsi="Calibri"/>
          <w:iCs/>
          <w:sz w:val="22"/>
        </w:rPr>
        <w:t>An Affirmative Fair Housing Marketing Plan must provide outreach to area minority communities to notify them about availability of the unit(s).</w:t>
      </w:r>
    </w:p>
    <w:p w14:paraId="60C69898" w14:textId="77777777" w:rsidR="000E71B8" w:rsidRDefault="000E71B8" w:rsidP="005D3FC9">
      <w:pPr>
        <w:numPr>
          <w:ilvl w:val="0"/>
          <w:numId w:val="34"/>
        </w:numPr>
        <w:tabs>
          <w:tab w:val="num" w:pos="720"/>
        </w:tabs>
        <w:ind w:left="720"/>
        <w:jc w:val="both"/>
        <w:rPr>
          <w:rFonts w:ascii="Calibri" w:hAnsi="Calibri"/>
          <w:iCs/>
          <w:sz w:val="22"/>
        </w:rPr>
      </w:pPr>
      <w:r>
        <w:rPr>
          <w:rFonts w:ascii="Calibri" w:hAnsi="Calibri"/>
          <w:iCs/>
          <w:sz w:val="22"/>
        </w:rPr>
        <w:t>Local preference is limited to a maximum of 70% of the affordable units.</w:t>
      </w:r>
    </w:p>
    <w:p w14:paraId="3DD8FB13" w14:textId="77777777" w:rsidR="000E71B8" w:rsidRDefault="000E71B8" w:rsidP="005D3FC9">
      <w:pPr>
        <w:numPr>
          <w:ilvl w:val="0"/>
          <w:numId w:val="34"/>
        </w:numPr>
        <w:tabs>
          <w:tab w:val="num" w:pos="720"/>
        </w:tabs>
        <w:ind w:hanging="1080"/>
        <w:jc w:val="both"/>
        <w:rPr>
          <w:rFonts w:ascii="Calibri" w:hAnsi="Calibri"/>
          <w:iCs/>
          <w:sz w:val="22"/>
        </w:rPr>
      </w:pPr>
      <w:r>
        <w:rPr>
          <w:rFonts w:ascii="Calibri" w:hAnsi="Calibri"/>
          <w:iCs/>
          <w:sz w:val="22"/>
        </w:rPr>
        <w:t>Marketing materials must be available/application process open for a period of at least 60 days.</w:t>
      </w:r>
    </w:p>
    <w:p w14:paraId="4824EB68" w14:textId="77777777" w:rsidR="000E71B8" w:rsidRDefault="000E71B8" w:rsidP="005D3FC9">
      <w:pPr>
        <w:numPr>
          <w:ilvl w:val="0"/>
          <w:numId w:val="34"/>
        </w:numPr>
        <w:tabs>
          <w:tab w:val="num" w:pos="720"/>
        </w:tabs>
        <w:ind w:hanging="1080"/>
        <w:jc w:val="both"/>
        <w:rPr>
          <w:rFonts w:ascii="Calibri" w:hAnsi="Calibri"/>
          <w:iCs/>
          <w:sz w:val="22"/>
        </w:rPr>
      </w:pPr>
      <w:r>
        <w:rPr>
          <w:rFonts w:ascii="Calibri" w:hAnsi="Calibri"/>
          <w:iCs/>
          <w:sz w:val="22"/>
        </w:rPr>
        <w:t>Lottery must be held.</w:t>
      </w:r>
    </w:p>
    <w:p w14:paraId="4B67D703" w14:textId="77777777" w:rsidR="000E71B8" w:rsidRDefault="000E71B8" w:rsidP="000E71B8">
      <w:pPr>
        <w:jc w:val="both"/>
        <w:rPr>
          <w:rFonts w:ascii="Calibri" w:hAnsi="Calibri"/>
          <w:iCs/>
          <w:sz w:val="22"/>
        </w:rPr>
      </w:pPr>
    </w:p>
    <w:p w14:paraId="69B06CF2" w14:textId="77777777" w:rsidR="000E71B8" w:rsidRDefault="000E71B8" w:rsidP="005D3FC9">
      <w:pPr>
        <w:numPr>
          <w:ilvl w:val="0"/>
          <w:numId w:val="23"/>
        </w:numPr>
        <w:jc w:val="both"/>
        <w:rPr>
          <w:rFonts w:ascii="Calibri" w:hAnsi="Calibri"/>
          <w:iCs/>
          <w:sz w:val="22"/>
        </w:rPr>
      </w:pPr>
      <w:r>
        <w:rPr>
          <w:rFonts w:ascii="Calibri" w:hAnsi="Calibri"/>
          <w:iCs/>
          <w:sz w:val="22"/>
        </w:rPr>
        <w:t>DHCD approval must include</w:t>
      </w:r>
    </w:p>
    <w:p w14:paraId="30507E78" w14:textId="77777777" w:rsidR="000E71B8" w:rsidRDefault="000E71B8" w:rsidP="005D3FC9">
      <w:pPr>
        <w:numPr>
          <w:ilvl w:val="0"/>
          <w:numId w:val="35"/>
        </w:numPr>
        <w:ind w:left="0" w:firstLine="360"/>
        <w:jc w:val="both"/>
        <w:rPr>
          <w:rFonts w:ascii="Calibri" w:hAnsi="Calibri"/>
          <w:iCs/>
          <w:sz w:val="22"/>
        </w:rPr>
      </w:pPr>
      <w:r>
        <w:rPr>
          <w:rFonts w:ascii="Calibri" w:hAnsi="Calibri"/>
          <w:iCs/>
          <w:sz w:val="22"/>
        </w:rPr>
        <w:t>Marketing plan, lottery application, and lottery explanatory materials</w:t>
      </w:r>
    </w:p>
    <w:p w14:paraId="1B10936B" w14:textId="77777777" w:rsidR="000E71B8" w:rsidRDefault="000E71B8" w:rsidP="005D3FC9">
      <w:pPr>
        <w:numPr>
          <w:ilvl w:val="0"/>
          <w:numId w:val="35"/>
        </w:numPr>
        <w:ind w:left="0" w:firstLine="360"/>
        <w:jc w:val="both"/>
        <w:rPr>
          <w:rFonts w:ascii="Calibri" w:hAnsi="Calibri"/>
          <w:iCs/>
          <w:sz w:val="22"/>
        </w:rPr>
      </w:pPr>
      <w:r>
        <w:rPr>
          <w:rFonts w:ascii="Calibri" w:hAnsi="Calibri"/>
          <w:iCs/>
          <w:sz w:val="22"/>
        </w:rPr>
        <w:t>Regulatory agreement (DHCD is a signatory)</w:t>
      </w:r>
    </w:p>
    <w:p w14:paraId="65F430D5" w14:textId="77777777" w:rsidR="000E71B8" w:rsidRDefault="000E71B8" w:rsidP="005D3FC9">
      <w:pPr>
        <w:numPr>
          <w:ilvl w:val="0"/>
          <w:numId w:val="35"/>
        </w:numPr>
        <w:ind w:left="0" w:firstLine="360"/>
        <w:jc w:val="both"/>
        <w:rPr>
          <w:rFonts w:ascii="Calibri" w:hAnsi="Calibri"/>
          <w:iCs/>
          <w:sz w:val="22"/>
        </w:rPr>
      </w:pPr>
      <w:r>
        <w:rPr>
          <w:rFonts w:ascii="Calibri" w:hAnsi="Calibri"/>
          <w:iCs/>
          <w:sz w:val="22"/>
        </w:rPr>
        <w:t>Deed rider (Use standard LIP document)</w:t>
      </w:r>
    </w:p>
    <w:p w14:paraId="640247B9" w14:textId="77777777" w:rsidR="000E71B8" w:rsidRDefault="000E71B8" w:rsidP="005D3FC9">
      <w:pPr>
        <w:numPr>
          <w:ilvl w:val="0"/>
          <w:numId w:val="35"/>
        </w:numPr>
        <w:tabs>
          <w:tab w:val="clear" w:pos="360"/>
          <w:tab w:val="num" w:pos="720"/>
        </w:tabs>
        <w:ind w:left="720"/>
        <w:jc w:val="both"/>
        <w:rPr>
          <w:rFonts w:ascii="Calibri" w:hAnsi="Calibri"/>
          <w:iCs/>
          <w:sz w:val="22"/>
        </w:rPr>
      </w:pPr>
      <w:r>
        <w:rPr>
          <w:rFonts w:ascii="Calibri" w:hAnsi="Calibri"/>
          <w:iCs/>
          <w:sz w:val="22"/>
        </w:rPr>
        <w:lastRenderedPageBreak/>
        <w:t>Purchase arrangements for each buyer including signed mortgage commitment, signed purchase and sale agreement and contact information of purchaser’s closing attorney.</w:t>
      </w:r>
    </w:p>
    <w:p w14:paraId="46867712" w14:textId="77777777" w:rsidR="000E71B8" w:rsidRDefault="000E71B8" w:rsidP="000E71B8">
      <w:pPr>
        <w:jc w:val="both"/>
        <w:rPr>
          <w:rFonts w:ascii="Calibri" w:hAnsi="Calibri"/>
          <w:iCs/>
          <w:sz w:val="22"/>
        </w:rPr>
      </w:pPr>
    </w:p>
    <w:p w14:paraId="2F92D8D6" w14:textId="77777777" w:rsidR="000E71B8" w:rsidRPr="00B8599C" w:rsidRDefault="000E71B8" w:rsidP="000E71B8">
      <w:pPr>
        <w:pStyle w:val="BodyText2"/>
        <w:spacing w:after="0" w:line="240" w:lineRule="auto"/>
        <w:jc w:val="both"/>
        <w:rPr>
          <w:rFonts w:ascii="Calibri" w:hAnsi="Calibri"/>
          <w:iCs/>
          <w:sz w:val="22"/>
          <w:szCs w:val="22"/>
        </w:rPr>
      </w:pPr>
      <w:r w:rsidRPr="00B8599C">
        <w:rPr>
          <w:rFonts w:ascii="Calibri" w:hAnsi="Calibri"/>
          <w:iCs/>
          <w:sz w:val="22"/>
          <w:szCs w:val="22"/>
        </w:rPr>
        <w:t>As mentioned above, in addition to being used for “friendly” 40B projects, LIP can be used for counting those affordable units as part of a Town’s Subsidized Housing Inventory that are created as a result of some local action.  Following occupancy of the units, a Local Action Units application must be submitted to DHCD for the units to be counted as affordable.  This application is on DHCD’s web site.</w:t>
      </w:r>
    </w:p>
    <w:p w14:paraId="2F9567C7" w14:textId="77777777" w:rsidR="000E71B8" w:rsidRDefault="000E71B8" w:rsidP="000E71B8">
      <w:pPr>
        <w:jc w:val="both"/>
        <w:rPr>
          <w:rFonts w:ascii="Calibri" w:hAnsi="Calibri"/>
          <w:iCs/>
          <w:sz w:val="22"/>
        </w:rPr>
      </w:pPr>
    </w:p>
    <w:p w14:paraId="11BB1590" w14:textId="77777777" w:rsidR="000E71B8" w:rsidRDefault="000E71B8" w:rsidP="000E71B8">
      <w:pPr>
        <w:jc w:val="both"/>
        <w:rPr>
          <w:rFonts w:ascii="Calibri" w:hAnsi="Calibri"/>
          <w:iCs/>
          <w:sz w:val="22"/>
        </w:rPr>
      </w:pPr>
      <w:r>
        <w:rPr>
          <w:rFonts w:ascii="Calibri" w:hAnsi="Calibri"/>
          <w:iCs/>
          <w:sz w:val="22"/>
        </w:rPr>
        <w:t xml:space="preserve">The contact person at DHCD is Rieko Hayashi of the LIP staff (phone: 617-573-1309; fax: 617-573-1330; email: </w:t>
      </w:r>
      <w:hyperlink r:id="rId35" w:history="1">
        <w:r w:rsidRPr="00FA6D84">
          <w:rPr>
            <w:rStyle w:val="Hyperlink"/>
            <w:rFonts w:ascii="Calibri" w:hAnsi="Calibri"/>
            <w:iCs/>
            <w:sz w:val="22"/>
          </w:rPr>
          <w:t>rieko.hayashi@state.ma.us</w:t>
        </w:r>
      </w:hyperlink>
      <w:bookmarkEnd w:id="11"/>
      <w:r>
        <w:rPr>
          <w:rFonts w:ascii="Calibri" w:hAnsi="Calibri"/>
          <w:iCs/>
          <w:sz w:val="22"/>
        </w:rPr>
        <w:t xml:space="preserve">.  </w:t>
      </w:r>
    </w:p>
    <w:p w14:paraId="5136E7BD" w14:textId="77777777" w:rsidR="000E71B8" w:rsidRDefault="000E71B8" w:rsidP="000E71B8">
      <w:pPr>
        <w:tabs>
          <w:tab w:val="num" w:pos="720"/>
        </w:tabs>
        <w:jc w:val="both"/>
        <w:rPr>
          <w:rFonts w:ascii="Calibri" w:hAnsi="Calibri"/>
          <w:iCs/>
          <w:sz w:val="22"/>
        </w:rPr>
      </w:pPr>
    </w:p>
    <w:p w14:paraId="2AD68213" w14:textId="5218B4B7" w:rsidR="00DA633B" w:rsidRPr="008D43B3" w:rsidRDefault="000E71B8" w:rsidP="00DA633B">
      <w:pPr>
        <w:ind w:right="-720"/>
        <w:jc w:val="both"/>
        <w:rPr>
          <w:rFonts w:ascii="Calibri" w:hAnsi="Calibri"/>
          <w:b/>
          <w:bCs/>
        </w:rPr>
      </w:pPr>
      <w:r>
        <w:rPr>
          <w:rFonts w:ascii="Calibri" w:hAnsi="Calibri"/>
          <w:b/>
          <w:bCs/>
        </w:rPr>
        <w:t>B</w:t>
      </w:r>
      <w:r w:rsidR="00DA633B" w:rsidRPr="008D43B3">
        <w:rPr>
          <w:rFonts w:ascii="Calibri" w:hAnsi="Calibri"/>
          <w:b/>
          <w:bCs/>
        </w:rPr>
        <w:t>.</w:t>
      </w:r>
      <w:r w:rsidR="00DA633B" w:rsidRPr="008D43B3">
        <w:rPr>
          <w:rFonts w:ascii="Calibri" w:hAnsi="Calibri"/>
          <w:b/>
          <w:bCs/>
        </w:rPr>
        <w:tab/>
      </w:r>
      <w:r w:rsidR="00DA633B" w:rsidRPr="008D43B3">
        <w:rPr>
          <w:rFonts w:ascii="Calibri" w:hAnsi="Calibri"/>
          <w:b/>
          <w:bCs/>
          <w:u w:val="single"/>
        </w:rPr>
        <w:t>Chapter 40B Comprehensive Permit Law</w:t>
      </w:r>
      <w:r w:rsidR="00DA633B" w:rsidRPr="008D43B3">
        <w:rPr>
          <w:rFonts w:ascii="Calibri" w:hAnsi="Calibri"/>
          <w:b/>
          <w:bCs/>
        </w:rPr>
        <w:t xml:space="preserve"> </w:t>
      </w:r>
    </w:p>
    <w:p w14:paraId="0248DE0F" w14:textId="77777777" w:rsidR="00DA633B" w:rsidRPr="008D43B3" w:rsidRDefault="00DA633B" w:rsidP="008D43B3">
      <w:pPr>
        <w:pStyle w:val="BodyText2"/>
        <w:spacing w:after="0" w:line="240" w:lineRule="auto"/>
        <w:jc w:val="both"/>
        <w:rPr>
          <w:rFonts w:ascii="Calibri" w:hAnsi="Calibri"/>
          <w:sz w:val="22"/>
          <w:szCs w:val="22"/>
        </w:rPr>
      </w:pPr>
      <w:r w:rsidRPr="008D43B3">
        <w:rPr>
          <w:rFonts w:ascii="Calibri" w:hAnsi="Calibri"/>
          <w:sz w:val="22"/>
          <w:szCs w:val="22"/>
        </w:rPr>
        <w:t>The Massachusetts Comprehensive Permit Law, Chapter 40B Sections 20-23 of the General Laws, was enacted as Chapter 774 of the Acts of 1969 to encourage the construction of affordable housing throughout the state, particularly outside of cities. Often referred to as the Anti-Snob Zoning Act, it requires all communities to use a streamlined review process through the local Zoning Board of Appeals for “comprehensive permits” submitted by developers for projects proposing zoning and other regulatory waivers and incorporating affordable housing for at least 25% of the units. Only one application is submitted to the ZBA instead of separate permit applications that are typically required by a number of local departments as part of the normal development process.  Here the ZBA takes the lead and consults with the other relevant departments (e.g., building department, planning department, highway department, fire department, sanitation department, etc.) on a single application.  The Conservation Commission retains jurisdiction under the Wetlands Protection Act and Department of Environmental Protection, the Building Inspector applies the state building code, and the Board of Health enforces Title V.</w:t>
      </w:r>
    </w:p>
    <w:p w14:paraId="407BA00B" w14:textId="77777777" w:rsidR="00DA633B" w:rsidRPr="008D43B3" w:rsidRDefault="00DA633B" w:rsidP="008D43B3">
      <w:pPr>
        <w:pStyle w:val="CM1"/>
        <w:widowControl/>
        <w:autoSpaceDE/>
        <w:autoSpaceDN/>
        <w:adjustRightInd/>
        <w:jc w:val="both"/>
        <w:rPr>
          <w:rFonts w:ascii="Calibri" w:hAnsi="Calibri" w:cs="Times New Roman"/>
          <w:sz w:val="22"/>
          <w:szCs w:val="22"/>
        </w:rPr>
      </w:pPr>
    </w:p>
    <w:p w14:paraId="61B7A17C" w14:textId="77777777" w:rsidR="00DA633B" w:rsidRPr="008D43B3" w:rsidRDefault="00DA633B" w:rsidP="008D43B3">
      <w:pPr>
        <w:jc w:val="both"/>
        <w:rPr>
          <w:rFonts w:ascii="Calibri" w:hAnsi="Calibri"/>
          <w:sz w:val="22"/>
          <w:szCs w:val="22"/>
        </w:rPr>
      </w:pPr>
      <w:r w:rsidRPr="008D43B3">
        <w:rPr>
          <w:rFonts w:ascii="Calibri" w:hAnsi="Calibri"/>
          <w:sz w:val="22"/>
          <w:szCs w:val="22"/>
        </w:rPr>
        <w:t>For a development to qualify under Chapter 40B, it must meet all of the following requirements:</w:t>
      </w:r>
    </w:p>
    <w:p w14:paraId="5CBAFA92" w14:textId="77777777" w:rsidR="00DA633B" w:rsidRPr="008D43B3" w:rsidRDefault="00DA633B" w:rsidP="008D43B3">
      <w:pPr>
        <w:jc w:val="both"/>
        <w:rPr>
          <w:rFonts w:ascii="Calibri" w:hAnsi="Calibri"/>
          <w:sz w:val="22"/>
          <w:szCs w:val="22"/>
        </w:rPr>
      </w:pPr>
    </w:p>
    <w:p w14:paraId="0C2B9BCB" w14:textId="77777777" w:rsidR="00DA633B" w:rsidRPr="008D43B3" w:rsidRDefault="00DA633B" w:rsidP="005D3FC9">
      <w:pPr>
        <w:numPr>
          <w:ilvl w:val="0"/>
          <w:numId w:val="22"/>
        </w:numPr>
        <w:tabs>
          <w:tab w:val="left" w:pos="2520"/>
        </w:tabs>
        <w:jc w:val="both"/>
        <w:rPr>
          <w:rFonts w:ascii="Calibri" w:hAnsi="Calibri"/>
          <w:sz w:val="22"/>
          <w:szCs w:val="22"/>
        </w:rPr>
      </w:pPr>
      <w:r w:rsidRPr="008D43B3">
        <w:rPr>
          <w:rFonts w:ascii="Calibri" w:hAnsi="Calibri"/>
          <w:sz w:val="22"/>
          <w:szCs w:val="22"/>
        </w:rPr>
        <w:t>Must be part of a “subsidized” development built by a public agency, non-profit organization, or limited dividend corporation.</w:t>
      </w:r>
    </w:p>
    <w:p w14:paraId="00046BAE" w14:textId="77777777" w:rsidR="00DA633B" w:rsidRPr="008D43B3" w:rsidRDefault="00DA633B" w:rsidP="005D3FC9">
      <w:pPr>
        <w:numPr>
          <w:ilvl w:val="0"/>
          <w:numId w:val="22"/>
        </w:numPr>
        <w:tabs>
          <w:tab w:val="left" w:pos="2520"/>
        </w:tabs>
        <w:jc w:val="both"/>
        <w:rPr>
          <w:rFonts w:ascii="Calibri" w:hAnsi="Calibri"/>
          <w:sz w:val="22"/>
          <w:szCs w:val="22"/>
        </w:rPr>
      </w:pPr>
      <w:r w:rsidRPr="008D43B3">
        <w:rPr>
          <w:rFonts w:ascii="Calibri" w:hAnsi="Calibri"/>
          <w:sz w:val="22"/>
          <w:szCs w:val="22"/>
        </w:rPr>
        <w:t xml:space="preserve">At least 25% of the units in the development must be income restricted to households with incomes at or below 80% of area median income and have rents or sales prices restricted to affordable levels income levels defined each year by the U.S. Department of Housing and Urban Development.  </w:t>
      </w:r>
    </w:p>
    <w:p w14:paraId="44A396C7" w14:textId="77777777" w:rsidR="00DA633B" w:rsidRPr="008D43B3" w:rsidRDefault="00DA633B" w:rsidP="005D3FC9">
      <w:pPr>
        <w:numPr>
          <w:ilvl w:val="0"/>
          <w:numId w:val="22"/>
        </w:numPr>
        <w:tabs>
          <w:tab w:val="left" w:pos="2520"/>
        </w:tabs>
        <w:jc w:val="both"/>
        <w:rPr>
          <w:rFonts w:ascii="Calibri" w:hAnsi="Calibri"/>
          <w:sz w:val="22"/>
          <w:szCs w:val="22"/>
        </w:rPr>
      </w:pPr>
      <w:r w:rsidRPr="008D43B3">
        <w:rPr>
          <w:rFonts w:ascii="Calibri" w:hAnsi="Calibri"/>
          <w:sz w:val="22"/>
          <w:szCs w:val="22"/>
        </w:rPr>
        <w:t>Restrictions must run for minimum of 30 years or longer for new construction or for a minimum of 15 years or longer for rehabilitation. Alternatively, the project can provide 20% of the units to households below 50% of area median income.  Now new homeownership must have deed restrictions that extend in perpetuity.</w:t>
      </w:r>
    </w:p>
    <w:p w14:paraId="52DC1C59" w14:textId="77777777" w:rsidR="00DA633B" w:rsidRPr="008D43B3" w:rsidRDefault="00DA633B" w:rsidP="005D3FC9">
      <w:pPr>
        <w:numPr>
          <w:ilvl w:val="0"/>
          <w:numId w:val="22"/>
        </w:numPr>
        <w:tabs>
          <w:tab w:val="left" w:pos="2520"/>
        </w:tabs>
        <w:jc w:val="both"/>
        <w:rPr>
          <w:rFonts w:ascii="Calibri" w:hAnsi="Calibri"/>
          <w:sz w:val="22"/>
          <w:szCs w:val="22"/>
        </w:rPr>
      </w:pPr>
      <w:r w:rsidRPr="008D43B3">
        <w:rPr>
          <w:rFonts w:ascii="Calibri" w:hAnsi="Calibri"/>
          <w:sz w:val="22"/>
          <w:szCs w:val="22"/>
        </w:rPr>
        <w:t>Development must be subject to a regulatory agreement and monitored by a public agency or non-profit organization.</w:t>
      </w:r>
    </w:p>
    <w:p w14:paraId="613851AE" w14:textId="77777777" w:rsidR="00DA633B" w:rsidRPr="008D43B3" w:rsidRDefault="00DA633B" w:rsidP="005D3FC9">
      <w:pPr>
        <w:numPr>
          <w:ilvl w:val="0"/>
          <w:numId w:val="22"/>
        </w:numPr>
        <w:tabs>
          <w:tab w:val="left" w:pos="2520"/>
        </w:tabs>
        <w:jc w:val="both"/>
        <w:rPr>
          <w:rFonts w:ascii="Calibri" w:hAnsi="Calibri"/>
          <w:sz w:val="22"/>
          <w:szCs w:val="22"/>
        </w:rPr>
      </w:pPr>
      <w:r w:rsidRPr="008D43B3">
        <w:rPr>
          <w:rFonts w:ascii="Calibri" w:hAnsi="Calibri"/>
          <w:sz w:val="22"/>
          <w:szCs w:val="22"/>
        </w:rPr>
        <w:t>Project sponsors must meet affirmative marketing requirements.</w:t>
      </w:r>
    </w:p>
    <w:p w14:paraId="48A267C3" w14:textId="77777777" w:rsidR="00DA633B" w:rsidRPr="008D43B3" w:rsidRDefault="00DA633B" w:rsidP="008D43B3">
      <w:pPr>
        <w:jc w:val="both"/>
        <w:rPr>
          <w:rFonts w:ascii="Calibri" w:hAnsi="Calibri"/>
          <w:sz w:val="22"/>
          <w:szCs w:val="22"/>
        </w:rPr>
      </w:pPr>
    </w:p>
    <w:p w14:paraId="19737EBB" w14:textId="77777777" w:rsidR="00DA633B" w:rsidRPr="008D43B3" w:rsidRDefault="00DA633B" w:rsidP="008D43B3">
      <w:pPr>
        <w:pStyle w:val="BodyText3"/>
        <w:spacing w:after="0"/>
        <w:jc w:val="both"/>
        <w:rPr>
          <w:rFonts w:ascii="Calibri" w:hAnsi="Calibri"/>
          <w:sz w:val="22"/>
          <w:szCs w:val="22"/>
        </w:rPr>
      </w:pPr>
      <w:r w:rsidRPr="008D43B3">
        <w:rPr>
          <w:rFonts w:ascii="Calibri" w:hAnsi="Calibri"/>
          <w:sz w:val="22"/>
          <w:szCs w:val="22"/>
        </w:rPr>
        <w:t>According to Chapter 40B regulations, the ZBA decision to deny or place conditions on a comprehensive permit project cannot be appealed by the developer if any of the following conditions are met</w:t>
      </w:r>
      <w:r w:rsidRPr="008D43B3">
        <w:rPr>
          <w:rStyle w:val="FootnoteReference"/>
          <w:rFonts w:ascii="Calibri" w:eastAsiaTheme="majorEastAsia" w:hAnsi="Calibri"/>
          <w:sz w:val="22"/>
          <w:szCs w:val="22"/>
        </w:rPr>
        <w:footnoteReference w:id="45"/>
      </w:r>
      <w:r w:rsidRPr="008D43B3">
        <w:rPr>
          <w:rFonts w:ascii="Calibri" w:hAnsi="Calibri"/>
          <w:sz w:val="22"/>
          <w:szCs w:val="22"/>
        </w:rPr>
        <w:t>:</w:t>
      </w:r>
    </w:p>
    <w:p w14:paraId="7ED18C12" w14:textId="77777777" w:rsidR="00DA633B" w:rsidRPr="008D43B3" w:rsidRDefault="00DA633B" w:rsidP="008D43B3">
      <w:pPr>
        <w:pStyle w:val="BodyText3"/>
        <w:spacing w:after="0"/>
        <w:jc w:val="both"/>
        <w:rPr>
          <w:rFonts w:ascii="Calibri" w:hAnsi="Calibri"/>
          <w:sz w:val="22"/>
          <w:szCs w:val="22"/>
        </w:rPr>
      </w:pPr>
    </w:p>
    <w:p w14:paraId="47F77AF6" w14:textId="77777777" w:rsidR="00DA633B" w:rsidRPr="008D43B3" w:rsidRDefault="00DA633B" w:rsidP="005D3FC9">
      <w:pPr>
        <w:pStyle w:val="BodyText3"/>
        <w:numPr>
          <w:ilvl w:val="0"/>
          <w:numId w:val="9"/>
        </w:numPr>
        <w:spacing w:after="0"/>
        <w:jc w:val="both"/>
        <w:rPr>
          <w:rFonts w:ascii="Calibri" w:hAnsi="Calibri"/>
          <w:sz w:val="22"/>
          <w:szCs w:val="22"/>
        </w:rPr>
      </w:pPr>
      <w:r w:rsidRPr="008D43B3">
        <w:rPr>
          <w:rFonts w:ascii="Calibri" w:hAnsi="Calibri"/>
          <w:sz w:val="22"/>
          <w:szCs w:val="22"/>
        </w:rPr>
        <w:lastRenderedPageBreak/>
        <w:t>The community has met the statutory minimum by having at least 10% of its year-round housing stock affordable as defined by Chapter 40B, at least 1.5% of the community’s land area includes affordable housing as defined again by 40B, or annual affordable housing construction is on at least 0.3% of the community’s land area.</w:t>
      </w:r>
    </w:p>
    <w:p w14:paraId="7C3502E9" w14:textId="77777777" w:rsidR="00DA633B" w:rsidRPr="008D43B3" w:rsidRDefault="00DA633B" w:rsidP="005D3FC9">
      <w:pPr>
        <w:pStyle w:val="BodyText3"/>
        <w:numPr>
          <w:ilvl w:val="0"/>
          <w:numId w:val="9"/>
        </w:numPr>
        <w:spacing w:after="0"/>
        <w:jc w:val="both"/>
        <w:rPr>
          <w:rFonts w:ascii="Calibri" w:hAnsi="Calibri"/>
          <w:sz w:val="22"/>
          <w:szCs w:val="22"/>
        </w:rPr>
      </w:pPr>
      <w:r w:rsidRPr="008D43B3">
        <w:rPr>
          <w:rFonts w:ascii="Calibri" w:hAnsi="Calibri"/>
          <w:sz w:val="22"/>
          <w:szCs w:val="22"/>
        </w:rPr>
        <w:t>The community has made “recent progress” adding SHI eligible housing units during the prior 12 months equal at least to 2% of its year-round housing.</w:t>
      </w:r>
    </w:p>
    <w:p w14:paraId="18BD92CB" w14:textId="77777777" w:rsidR="00DA633B" w:rsidRPr="008D43B3" w:rsidRDefault="00DA633B" w:rsidP="005D3FC9">
      <w:pPr>
        <w:pStyle w:val="BodyText3"/>
        <w:numPr>
          <w:ilvl w:val="0"/>
          <w:numId w:val="9"/>
        </w:numPr>
        <w:spacing w:after="0"/>
        <w:jc w:val="both"/>
        <w:rPr>
          <w:rFonts w:ascii="Calibri" w:hAnsi="Calibri"/>
          <w:sz w:val="22"/>
          <w:szCs w:val="22"/>
        </w:rPr>
      </w:pPr>
      <w:r w:rsidRPr="008D43B3">
        <w:rPr>
          <w:rFonts w:ascii="Calibri" w:hAnsi="Calibri"/>
          <w:sz w:val="22"/>
          <w:szCs w:val="22"/>
        </w:rPr>
        <w:t>The community has a one- or two-year exemption under Housing Production.</w:t>
      </w:r>
    </w:p>
    <w:p w14:paraId="3BB529D2" w14:textId="77777777" w:rsidR="00DA633B" w:rsidRPr="008D43B3" w:rsidRDefault="00DA633B" w:rsidP="005D3FC9">
      <w:pPr>
        <w:pStyle w:val="BodyText3"/>
        <w:numPr>
          <w:ilvl w:val="0"/>
          <w:numId w:val="9"/>
        </w:numPr>
        <w:spacing w:after="0"/>
        <w:jc w:val="both"/>
        <w:rPr>
          <w:rFonts w:ascii="Calibri" w:hAnsi="Calibri"/>
          <w:sz w:val="22"/>
          <w:szCs w:val="22"/>
        </w:rPr>
      </w:pPr>
      <w:r w:rsidRPr="008D43B3">
        <w:rPr>
          <w:rFonts w:ascii="Calibri" w:hAnsi="Calibri"/>
          <w:sz w:val="22"/>
          <w:szCs w:val="22"/>
        </w:rPr>
        <w:t>The application is for a “large project” that equals at least 6% of all housing units in a community with less than 2,500 housing units.</w:t>
      </w:r>
    </w:p>
    <w:p w14:paraId="30124058" w14:textId="77777777" w:rsidR="00DA633B" w:rsidRPr="008D43B3" w:rsidRDefault="00DA633B" w:rsidP="005D3FC9">
      <w:pPr>
        <w:pStyle w:val="BodyText3"/>
        <w:numPr>
          <w:ilvl w:val="0"/>
          <w:numId w:val="9"/>
        </w:numPr>
        <w:spacing w:after="0"/>
        <w:jc w:val="both"/>
        <w:rPr>
          <w:rFonts w:ascii="Calibri" w:hAnsi="Calibri"/>
          <w:sz w:val="22"/>
          <w:szCs w:val="22"/>
        </w:rPr>
      </w:pPr>
      <w:r w:rsidRPr="008D43B3">
        <w:rPr>
          <w:rFonts w:ascii="Calibri" w:hAnsi="Calibri"/>
          <w:sz w:val="22"/>
          <w:szCs w:val="22"/>
        </w:rPr>
        <w:t>A “related application” for the site was filed, pending or withdrawn within 12 months of the application.</w:t>
      </w:r>
    </w:p>
    <w:p w14:paraId="473B4EC1" w14:textId="77777777" w:rsidR="00DA633B" w:rsidRPr="008D43B3" w:rsidRDefault="00DA633B" w:rsidP="008D43B3">
      <w:pPr>
        <w:pStyle w:val="BodyText3"/>
        <w:spacing w:after="0"/>
        <w:ind w:left="360"/>
        <w:jc w:val="both"/>
        <w:rPr>
          <w:rFonts w:ascii="Calibri" w:hAnsi="Calibri"/>
          <w:sz w:val="22"/>
          <w:szCs w:val="22"/>
        </w:rPr>
      </w:pPr>
    </w:p>
    <w:p w14:paraId="49491356" w14:textId="77777777" w:rsidR="00DA633B" w:rsidRPr="008D43B3" w:rsidRDefault="00DA633B" w:rsidP="008D43B3">
      <w:pPr>
        <w:jc w:val="both"/>
        <w:rPr>
          <w:rFonts w:ascii="Calibri" w:hAnsi="Calibri"/>
          <w:sz w:val="22"/>
          <w:szCs w:val="22"/>
        </w:rPr>
      </w:pPr>
      <w:r w:rsidRPr="008D43B3">
        <w:rPr>
          <w:rFonts w:ascii="Calibri" w:hAnsi="Calibri"/>
          <w:sz w:val="22"/>
          <w:szCs w:val="22"/>
        </w:rPr>
        <w:t>If a municipality does not meet any of the above thresholds, it is susceptible to appeals by comprehensive permit applicants of the ZBA’s decision to the state’s Housing Appeals Committee (HAC). This makes the Town susceptible to a state override of local zoning if a developer chooses to create affordable housing through the Chapter 40B comprehensive permit process.</w:t>
      </w:r>
      <w:r w:rsidRPr="008D43B3">
        <w:rPr>
          <w:rStyle w:val="FootnoteReference"/>
          <w:rFonts w:ascii="Calibri" w:eastAsiaTheme="majorEastAsia" w:hAnsi="Calibri"/>
          <w:sz w:val="22"/>
          <w:szCs w:val="22"/>
        </w:rPr>
        <w:footnoteReference w:id="46"/>
      </w:r>
      <w:r w:rsidRPr="008D43B3">
        <w:rPr>
          <w:rFonts w:ascii="Calibri" w:hAnsi="Calibri"/>
          <w:sz w:val="22"/>
          <w:szCs w:val="22"/>
        </w:rPr>
        <w:t xml:space="preserve">  Recently approved regulations add a new requirement that ZBA’s provide early written notice (within 15 days of the opening of the local hearing) to the application and to DHCD if they intend to deny or condition the permit based on the grounds listed above that make the application appeal proof, providing documentation for its position.  Under these circumstances, municipalities can count projects with approved comprehensive permits that are under legal approval, but not by the ZBA, at the time.  </w:t>
      </w:r>
    </w:p>
    <w:p w14:paraId="1377A030" w14:textId="77777777" w:rsidR="00DA633B" w:rsidRPr="008D43B3" w:rsidRDefault="00DA633B" w:rsidP="008D43B3">
      <w:pPr>
        <w:jc w:val="both"/>
        <w:rPr>
          <w:rFonts w:ascii="Calibri" w:hAnsi="Calibri"/>
          <w:sz w:val="22"/>
          <w:szCs w:val="22"/>
        </w:rPr>
      </w:pPr>
    </w:p>
    <w:p w14:paraId="6F491206" w14:textId="77777777" w:rsidR="00DA633B" w:rsidRPr="008D43B3" w:rsidRDefault="00DA633B" w:rsidP="008D43B3">
      <w:pPr>
        <w:pStyle w:val="BodyTextIndent"/>
        <w:spacing w:after="0"/>
        <w:ind w:left="0"/>
        <w:jc w:val="both"/>
        <w:rPr>
          <w:rFonts w:ascii="Calibri" w:hAnsi="Calibri"/>
          <w:sz w:val="22"/>
          <w:szCs w:val="22"/>
        </w:rPr>
      </w:pPr>
      <w:r w:rsidRPr="008D43B3">
        <w:rPr>
          <w:rFonts w:ascii="Calibri" w:hAnsi="Calibri"/>
          <w:sz w:val="22"/>
          <w:szCs w:val="22"/>
        </w:rPr>
        <w:t>Applicants wishing to appeal the ZBA decision based on appeal-proof grounds must notify the ZBA and DHCD in writing within 15 days of receipt of the ZBA notice.  If the applicant appeals, DHCD will review materials from the ZBA and applicant and issue a decision within 30days of receipt of the appeal (failure to issue a decision is a construction approval of the ZBA’s position).  Either the ZBA or application can appeal DHCD’s decision by filing an interlocutory appeal with the Housing appeals Committee (HAC) within 20 days of receiving DHCD’s decision.  If a ZBA fails to follow this procedure, it waives its right to deny a permit on these “appeal-proof” grounds.</w:t>
      </w:r>
    </w:p>
    <w:p w14:paraId="6145600C" w14:textId="77777777" w:rsidR="00DA633B" w:rsidRPr="008D43B3" w:rsidRDefault="00DA633B" w:rsidP="008D43B3">
      <w:pPr>
        <w:jc w:val="both"/>
        <w:rPr>
          <w:rFonts w:ascii="Calibri" w:hAnsi="Calibri"/>
          <w:sz w:val="22"/>
          <w:szCs w:val="22"/>
        </w:rPr>
      </w:pPr>
    </w:p>
    <w:p w14:paraId="3D828D8B" w14:textId="77777777" w:rsidR="00DA633B" w:rsidRPr="008D43B3" w:rsidRDefault="00DA633B" w:rsidP="008D43B3">
      <w:pPr>
        <w:jc w:val="both"/>
        <w:rPr>
          <w:rFonts w:ascii="Calibri" w:hAnsi="Calibri"/>
          <w:sz w:val="22"/>
          <w:szCs w:val="22"/>
        </w:rPr>
      </w:pPr>
      <w:r w:rsidRPr="008D43B3">
        <w:rPr>
          <w:rFonts w:ascii="Calibri" w:hAnsi="Calibri"/>
          <w:sz w:val="22"/>
          <w:szCs w:val="22"/>
        </w:rPr>
        <w:t>Chapter 40B also addresses when a community can count a unit as eligible for inclusion in the SHI including:</w:t>
      </w:r>
    </w:p>
    <w:p w14:paraId="547CD786" w14:textId="77777777" w:rsidR="00DA633B" w:rsidRPr="008D43B3" w:rsidRDefault="00DA633B" w:rsidP="008D43B3">
      <w:pPr>
        <w:jc w:val="both"/>
        <w:rPr>
          <w:rFonts w:ascii="Calibri" w:hAnsi="Calibri"/>
          <w:sz w:val="22"/>
          <w:szCs w:val="22"/>
        </w:rPr>
      </w:pPr>
    </w:p>
    <w:p w14:paraId="54651B33" w14:textId="77777777" w:rsidR="00DA633B" w:rsidRPr="008D43B3" w:rsidRDefault="00DA633B" w:rsidP="005D3FC9">
      <w:pPr>
        <w:numPr>
          <w:ilvl w:val="0"/>
          <w:numId w:val="39"/>
        </w:numPr>
        <w:jc w:val="both"/>
        <w:rPr>
          <w:rFonts w:ascii="Calibri" w:hAnsi="Calibri"/>
          <w:sz w:val="22"/>
          <w:szCs w:val="22"/>
        </w:rPr>
      </w:pPr>
      <w:r w:rsidRPr="008D43B3">
        <w:rPr>
          <w:rFonts w:ascii="Calibri" w:hAnsi="Calibri"/>
          <w:i/>
          <w:iCs/>
          <w:sz w:val="22"/>
          <w:szCs w:val="22"/>
        </w:rPr>
        <w:t>40R</w:t>
      </w:r>
    </w:p>
    <w:p w14:paraId="45D16678" w14:textId="77777777" w:rsidR="00DA633B" w:rsidRDefault="00DA633B" w:rsidP="008D43B3">
      <w:pPr>
        <w:ind w:left="720"/>
        <w:jc w:val="both"/>
        <w:rPr>
          <w:rFonts w:ascii="Calibri" w:hAnsi="Calibri"/>
          <w:sz w:val="22"/>
        </w:rPr>
      </w:pPr>
      <w:r>
        <w:rPr>
          <w:rFonts w:ascii="Calibri" w:hAnsi="Calibri"/>
          <w:sz w:val="22"/>
        </w:rPr>
        <w:t xml:space="preserve">Units receiving Plan Approval under 40R now count when the permit or approval is filed with the municipal clerk provided that no appeals are filed by the board or when the last appeal is fully resolved, similar to a Comprehensive Permit project.  </w:t>
      </w:r>
    </w:p>
    <w:p w14:paraId="0D54D580" w14:textId="77777777" w:rsidR="00DA633B" w:rsidRDefault="00DA633B" w:rsidP="008D43B3">
      <w:pPr>
        <w:ind w:left="720"/>
        <w:jc w:val="both"/>
        <w:rPr>
          <w:rFonts w:ascii="Calibri" w:hAnsi="Calibri"/>
          <w:sz w:val="22"/>
        </w:rPr>
      </w:pPr>
    </w:p>
    <w:p w14:paraId="0A8F430E" w14:textId="77777777" w:rsidR="00DA633B" w:rsidRDefault="00DA633B" w:rsidP="005D3FC9">
      <w:pPr>
        <w:numPr>
          <w:ilvl w:val="0"/>
          <w:numId w:val="39"/>
        </w:numPr>
        <w:jc w:val="both"/>
        <w:rPr>
          <w:rFonts w:ascii="Calibri" w:hAnsi="Calibri"/>
          <w:sz w:val="22"/>
        </w:rPr>
      </w:pPr>
      <w:r>
        <w:rPr>
          <w:rFonts w:ascii="Calibri" w:hAnsi="Calibri"/>
          <w:i/>
          <w:iCs/>
          <w:sz w:val="22"/>
        </w:rPr>
        <w:t>Certificate of Occupancy</w:t>
      </w:r>
    </w:p>
    <w:p w14:paraId="350C225D" w14:textId="77777777" w:rsidR="00DA633B" w:rsidRDefault="00DA633B" w:rsidP="008D43B3">
      <w:pPr>
        <w:ind w:left="720"/>
        <w:jc w:val="both"/>
        <w:rPr>
          <w:rFonts w:ascii="Calibri" w:hAnsi="Calibri"/>
          <w:sz w:val="22"/>
        </w:rPr>
      </w:pPr>
      <w:r>
        <w:rPr>
          <w:rFonts w:ascii="Calibri" w:hAnsi="Calibri"/>
          <w:sz w:val="22"/>
        </w:rPr>
        <w:lastRenderedPageBreak/>
        <w:t>Units added to the SHI on the basis of receiving building permits become temporarily ineligible if the C of O is not issued with 18 months.</w:t>
      </w:r>
    </w:p>
    <w:p w14:paraId="2D8F1F0E" w14:textId="59DF30C8" w:rsidR="00DA633B" w:rsidRDefault="00DA633B" w:rsidP="008D43B3">
      <w:pPr>
        <w:ind w:left="720" w:right="-720"/>
        <w:jc w:val="both"/>
        <w:rPr>
          <w:rFonts w:ascii="Calibri" w:hAnsi="Calibri"/>
          <w:sz w:val="22"/>
        </w:rPr>
      </w:pPr>
    </w:p>
    <w:p w14:paraId="66A72AAF" w14:textId="77777777" w:rsidR="00DA633B" w:rsidRDefault="00DA633B" w:rsidP="005D3FC9">
      <w:pPr>
        <w:numPr>
          <w:ilvl w:val="0"/>
          <w:numId w:val="39"/>
        </w:numPr>
        <w:jc w:val="both"/>
        <w:rPr>
          <w:rFonts w:ascii="Calibri" w:hAnsi="Calibri"/>
          <w:sz w:val="22"/>
        </w:rPr>
      </w:pPr>
      <w:r>
        <w:rPr>
          <w:rFonts w:ascii="Calibri" w:hAnsi="Calibri"/>
          <w:i/>
          <w:iCs/>
          <w:sz w:val="22"/>
        </w:rPr>
        <w:t>Large Phased Projects</w:t>
      </w:r>
    </w:p>
    <w:p w14:paraId="361D6A2B" w14:textId="77777777" w:rsidR="00DA633B" w:rsidRDefault="00DA633B" w:rsidP="008D43B3">
      <w:pPr>
        <w:ind w:left="720"/>
        <w:jc w:val="both"/>
        <w:rPr>
          <w:rFonts w:ascii="Calibri" w:hAnsi="Calibri"/>
          <w:sz w:val="22"/>
        </w:rPr>
      </w:pPr>
      <w:r>
        <w:rPr>
          <w:rFonts w:ascii="Calibri" w:hAnsi="Calibri"/>
          <w:sz w:val="22"/>
        </w:rPr>
        <w:t>If the comprehensive permit approval or zoning approval allows a project to be built in phases and each phase includes at least 150 units and average time between the start of each phase is 15 months or less, then the entire project remains eligible for the SHI as long as the phasing schedule set forth in the permit approval continues to be met.</w:t>
      </w:r>
    </w:p>
    <w:p w14:paraId="217ED15C" w14:textId="77777777" w:rsidR="00DA633B" w:rsidRDefault="00DA633B" w:rsidP="008D43B3">
      <w:pPr>
        <w:ind w:left="720"/>
        <w:jc w:val="both"/>
        <w:rPr>
          <w:rFonts w:ascii="Calibri" w:hAnsi="Calibri"/>
          <w:sz w:val="22"/>
        </w:rPr>
      </w:pPr>
    </w:p>
    <w:p w14:paraId="193272D1" w14:textId="77777777" w:rsidR="00DA633B" w:rsidRDefault="00DA633B" w:rsidP="005D3FC9">
      <w:pPr>
        <w:numPr>
          <w:ilvl w:val="0"/>
          <w:numId w:val="39"/>
        </w:numPr>
        <w:jc w:val="both"/>
        <w:rPr>
          <w:rFonts w:ascii="Calibri" w:hAnsi="Calibri"/>
          <w:sz w:val="22"/>
        </w:rPr>
      </w:pPr>
      <w:r>
        <w:rPr>
          <w:rFonts w:ascii="Calibri" w:hAnsi="Calibri"/>
          <w:i/>
          <w:iCs/>
          <w:sz w:val="22"/>
        </w:rPr>
        <w:t>Projects with Expired Use Restrictions</w:t>
      </w:r>
    </w:p>
    <w:p w14:paraId="3F6B7ED6" w14:textId="77777777" w:rsidR="00DA633B" w:rsidRDefault="00DA633B" w:rsidP="008D43B3">
      <w:pPr>
        <w:ind w:left="720"/>
        <w:jc w:val="both"/>
        <w:rPr>
          <w:rFonts w:ascii="Calibri" w:hAnsi="Calibri"/>
          <w:sz w:val="22"/>
        </w:rPr>
      </w:pPr>
      <w:r>
        <w:rPr>
          <w:rFonts w:ascii="Calibri" w:hAnsi="Calibri"/>
          <w:sz w:val="22"/>
        </w:rPr>
        <w:t>Units become ineligible for inclusion in the SHI upon expiration or termination of the initial use restriction unless a subsequent use restriction is imposed.</w:t>
      </w:r>
    </w:p>
    <w:p w14:paraId="19EDB974" w14:textId="77777777" w:rsidR="00DA633B" w:rsidRDefault="00DA633B" w:rsidP="008D43B3">
      <w:pPr>
        <w:ind w:left="720"/>
        <w:jc w:val="both"/>
        <w:rPr>
          <w:rFonts w:ascii="Calibri" w:hAnsi="Calibri"/>
          <w:sz w:val="22"/>
        </w:rPr>
      </w:pPr>
    </w:p>
    <w:p w14:paraId="4FF04539" w14:textId="77777777" w:rsidR="00DA633B" w:rsidRDefault="00DA633B" w:rsidP="005D3FC9">
      <w:pPr>
        <w:numPr>
          <w:ilvl w:val="0"/>
          <w:numId w:val="39"/>
        </w:numPr>
        <w:jc w:val="both"/>
        <w:rPr>
          <w:rFonts w:ascii="Calibri" w:hAnsi="Calibri"/>
          <w:sz w:val="22"/>
        </w:rPr>
      </w:pPr>
      <w:r>
        <w:rPr>
          <w:rFonts w:ascii="Calibri" w:hAnsi="Calibri"/>
          <w:i/>
          <w:iCs/>
          <w:sz w:val="22"/>
        </w:rPr>
        <w:t>Biennial Municipal Reporting</w:t>
      </w:r>
    </w:p>
    <w:p w14:paraId="4F9C6A62" w14:textId="77777777" w:rsidR="00DA633B" w:rsidRDefault="00DA633B" w:rsidP="008D43B3">
      <w:pPr>
        <w:ind w:left="720"/>
        <w:jc w:val="both"/>
        <w:rPr>
          <w:rFonts w:ascii="Calibri" w:hAnsi="Calibri"/>
          <w:sz w:val="22"/>
        </w:rPr>
      </w:pPr>
      <w:r>
        <w:rPr>
          <w:rFonts w:ascii="Calibri" w:hAnsi="Calibri"/>
          <w:sz w:val="22"/>
        </w:rPr>
        <w:t>Municipalities are responsible for providing the information on units that should be included in the SHI through a statement certified by the chief executive officer.</w:t>
      </w:r>
    </w:p>
    <w:p w14:paraId="3EAA00CD" w14:textId="77777777" w:rsidR="00DA633B" w:rsidRDefault="00DA633B" w:rsidP="008D43B3">
      <w:pPr>
        <w:ind w:left="720"/>
        <w:jc w:val="both"/>
        <w:rPr>
          <w:rFonts w:ascii="Calibri" w:hAnsi="Calibri"/>
          <w:sz w:val="22"/>
        </w:rPr>
      </w:pPr>
    </w:p>
    <w:p w14:paraId="1AED9217" w14:textId="59C718D3" w:rsidR="00DA633B" w:rsidRDefault="00DA633B" w:rsidP="008D43B3">
      <w:pPr>
        <w:pStyle w:val="BlockText"/>
        <w:ind w:left="0" w:right="0"/>
        <w:jc w:val="both"/>
        <w:rPr>
          <w:rFonts w:ascii="Calibri" w:hAnsi="Calibri"/>
          <w:sz w:val="22"/>
        </w:rPr>
      </w:pPr>
      <w:r>
        <w:rPr>
          <w:rFonts w:ascii="Calibri" w:hAnsi="Calibri"/>
          <w:sz w:val="22"/>
        </w:rPr>
        <w:tab/>
        <w:t xml:space="preserve">Municipalities may be allowed to set-aside up to 70% of the affordable units available in a 40B development for those who have a connection to the community as defined within the parameters of fair housing laws and Section III.C of the Comprehensive Permit Guidelines including residents, employees of the Town of </w:t>
      </w:r>
      <w:r w:rsidR="00366E13">
        <w:rPr>
          <w:rFonts w:ascii="Calibri" w:hAnsi="Calibri"/>
          <w:sz w:val="22"/>
        </w:rPr>
        <w:t>Needham</w:t>
      </w:r>
      <w:r>
        <w:rPr>
          <w:rFonts w:ascii="Calibri" w:hAnsi="Calibri"/>
          <w:sz w:val="22"/>
        </w:rPr>
        <w:t xml:space="preserve"> (including the school district) or employees of businesses located in the town.  If the municipality wishes to implement a local selection preference, it must do the following:</w:t>
      </w:r>
    </w:p>
    <w:p w14:paraId="270A3920" w14:textId="77777777" w:rsidR="00DA633B" w:rsidRDefault="00DA633B" w:rsidP="008D43B3">
      <w:pPr>
        <w:pStyle w:val="BlockText"/>
        <w:ind w:left="0" w:right="0"/>
        <w:jc w:val="both"/>
        <w:rPr>
          <w:rFonts w:ascii="Calibri" w:hAnsi="Calibri"/>
          <w:sz w:val="22"/>
        </w:rPr>
      </w:pPr>
    </w:p>
    <w:p w14:paraId="4E3E4004" w14:textId="77777777" w:rsidR="00DA633B" w:rsidRDefault="00DA633B" w:rsidP="005D3FC9">
      <w:pPr>
        <w:pStyle w:val="BlockText"/>
        <w:numPr>
          <w:ilvl w:val="1"/>
          <w:numId w:val="39"/>
        </w:numPr>
        <w:tabs>
          <w:tab w:val="clear" w:pos="1440"/>
        </w:tabs>
        <w:ind w:left="720" w:right="0"/>
        <w:jc w:val="both"/>
        <w:rPr>
          <w:rFonts w:ascii="Calibri" w:hAnsi="Calibri"/>
          <w:sz w:val="22"/>
        </w:rPr>
      </w:pPr>
      <w:r>
        <w:rPr>
          <w:rFonts w:ascii="Calibri" w:hAnsi="Calibri"/>
          <w:sz w:val="22"/>
        </w:rPr>
        <w:t>Demonstrate in a required Affirmative Fair Housing Marketing Plan the need for the local preference (waiting lists for subsidized developments who may be likely to apply for the project for example).</w:t>
      </w:r>
    </w:p>
    <w:p w14:paraId="452AA68E" w14:textId="77777777" w:rsidR="00DA633B" w:rsidRDefault="00DA633B" w:rsidP="005D3FC9">
      <w:pPr>
        <w:pStyle w:val="BlockText"/>
        <w:numPr>
          <w:ilvl w:val="1"/>
          <w:numId w:val="39"/>
        </w:numPr>
        <w:tabs>
          <w:tab w:val="clear" w:pos="1440"/>
        </w:tabs>
        <w:ind w:left="720" w:right="0"/>
        <w:jc w:val="both"/>
        <w:rPr>
          <w:rFonts w:ascii="Calibri" w:hAnsi="Calibri"/>
          <w:sz w:val="22"/>
        </w:rPr>
      </w:pPr>
      <w:r>
        <w:rPr>
          <w:rFonts w:ascii="Calibri" w:hAnsi="Calibri"/>
          <w:sz w:val="22"/>
        </w:rPr>
        <w:t>Justify the extent of the local preference (the percentage of units to be set-aside for local preference) through documented local need in the context of the size of the community, the size of the project and regional need.  The percentage cannot exceed 70% of the total affordable units.</w:t>
      </w:r>
    </w:p>
    <w:p w14:paraId="10446BE8" w14:textId="77777777" w:rsidR="00DA633B" w:rsidRDefault="00DA633B" w:rsidP="005D3FC9">
      <w:pPr>
        <w:pStyle w:val="BlockText"/>
        <w:numPr>
          <w:ilvl w:val="1"/>
          <w:numId w:val="39"/>
        </w:numPr>
        <w:tabs>
          <w:tab w:val="clear" w:pos="1440"/>
        </w:tabs>
        <w:ind w:left="720" w:right="0"/>
        <w:jc w:val="both"/>
        <w:rPr>
          <w:rFonts w:ascii="Calibri" w:hAnsi="Calibri"/>
          <w:sz w:val="22"/>
        </w:rPr>
      </w:pPr>
      <w:r>
        <w:rPr>
          <w:rFonts w:ascii="Calibri" w:hAnsi="Calibri"/>
          <w:sz w:val="22"/>
        </w:rPr>
        <w:t>Demonstrate that the local preference will not have a disparate impact on protected classes and would not be discriminatory.</w:t>
      </w:r>
    </w:p>
    <w:p w14:paraId="2BEC6059" w14:textId="77777777" w:rsidR="00DA633B" w:rsidRDefault="00DA633B" w:rsidP="005D3FC9">
      <w:pPr>
        <w:pStyle w:val="BlockText"/>
        <w:numPr>
          <w:ilvl w:val="1"/>
          <w:numId w:val="39"/>
        </w:numPr>
        <w:tabs>
          <w:tab w:val="clear" w:pos="1440"/>
        </w:tabs>
        <w:ind w:left="720" w:right="0"/>
        <w:jc w:val="both"/>
        <w:rPr>
          <w:rFonts w:ascii="Calibri" w:hAnsi="Calibri"/>
          <w:sz w:val="22"/>
        </w:rPr>
      </w:pPr>
      <w:r>
        <w:rPr>
          <w:rFonts w:ascii="Calibri" w:hAnsi="Calibri"/>
          <w:sz w:val="22"/>
        </w:rPr>
        <w:t>Provide the project developer with this documentation within three (3) months of final issuance of the comprehensive permit.  Failure to comply with this requirement will be deemed to demonstrate that there is no need for local preference and such preference will not be approved as part of the Affirmative Fair Housing Marketing Plan or use restriction.</w:t>
      </w:r>
    </w:p>
    <w:p w14:paraId="26391199" w14:textId="77777777" w:rsidR="00DA633B" w:rsidRDefault="00DA633B" w:rsidP="005D3FC9">
      <w:pPr>
        <w:pStyle w:val="BlockText"/>
        <w:numPr>
          <w:ilvl w:val="1"/>
          <w:numId w:val="39"/>
        </w:numPr>
        <w:tabs>
          <w:tab w:val="clear" w:pos="1440"/>
        </w:tabs>
        <w:ind w:left="720" w:right="0"/>
        <w:jc w:val="both"/>
        <w:rPr>
          <w:rFonts w:ascii="Calibri" w:hAnsi="Calibri"/>
          <w:sz w:val="22"/>
        </w:rPr>
      </w:pPr>
      <w:r>
        <w:rPr>
          <w:rFonts w:ascii="Calibri" w:hAnsi="Calibri"/>
          <w:sz w:val="22"/>
        </w:rPr>
        <w:t>Obtain approval from the subsidizing agency, such as DHCD in the case of Local Action Units (LAUs), for the local preference as part of the Affirmative Fair Housing Marketing Plan. This approval must be secured prior to including such language in any zoning mechanism.  A comprehensive permit can only contain requirements or conditions relating to local preference to the extent permitted by applicable law and this Affirmative Fair Housing Marketing Plan policy.</w:t>
      </w:r>
    </w:p>
    <w:p w14:paraId="7664D732" w14:textId="77777777" w:rsidR="00DA633B" w:rsidRDefault="00DA633B" w:rsidP="008D43B3">
      <w:pPr>
        <w:jc w:val="both"/>
        <w:rPr>
          <w:rFonts w:ascii="Calibri" w:hAnsi="Calibri"/>
          <w:sz w:val="22"/>
        </w:rPr>
      </w:pPr>
    </w:p>
    <w:p w14:paraId="15A09759" w14:textId="77777777" w:rsidR="00DA633B" w:rsidRDefault="00DA633B" w:rsidP="008D43B3">
      <w:pPr>
        <w:pStyle w:val="BodyTextIndent"/>
        <w:spacing w:after="0"/>
        <w:ind w:left="0"/>
        <w:jc w:val="both"/>
        <w:rPr>
          <w:rFonts w:ascii="Calibri" w:hAnsi="Calibri"/>
          <w:sz w:val="22"/>
        </w:rPr>
      </w:pPr>
      <w:r>
        <w:rPr>
          <w:rFonts w:ascii="Calibri" w:hAnsi="Calibri"/>
          <w:sz w:val="22"/>
        </w:rPr>
        <w:t xml:space="preserve">While there are ongoing discussions regarding how the state should count the affordable units for the purpose of determining whether a community has met the 10% goal, in a rental project if the subsidy applies to the entire project, all units are counted towards the state standard.  For homeownership </w:t>
      </w:r>
      <w:r>
        <w:rPr>
          <w:rFonts w:ascii="Calibri" w:hAnsi="Calibri"/>
          <w:sz w:val="22"/>
        </w:rPr>
        <w:lastRenderedPageBreak/>
        <w:t>projects, only the units made affordable to those households earning within 80% of median income can be attributed to the affordable housing inventory.</w:t>
      </w:r>
    </w:p>
    <w:p w14:paraId="4CDAE050" w14:textId="77777777" w:rsidR="00DA633B" w:rsidRDefault="00DA633B" w:rsidP="008D43B3">
      <w:pPr>
        <w:jc w:val="both"/>
        <w:rPr>
          <w:rFonts w:ascii="Calibri" w:hAnsi="Calibri"/>
          <w:sz w:val="22"/>
        </w:rPr>
      </w:pPr>
    </w:p>
    <w:p w14:paraId="03DC32A2" w14:textId="77777777" w:rsidR="00DA633B" w:rsidRDefault="00DA633B" w:rsidP="008D43B3">
      <w:pPr>
        <w:pStyle w:val="BodyTextIndent"/>
        <w:spacing w:after="0"/>
        <w:ind w:left="0"/>
        <w:jc w:val="both"/>
        <w:rPr>
          <w:rFonts w:ascii="Calibri" w:hAnsi="Calibri"/>
          <w:sz w:val="22"/>
        </w:rPr>
      </w:pPr>
      <w:r>
        <w:rPr>
          <w:rFonts w:ascii="Calibri" w:hAnsi="Calibri"/>
          <w:sz w:val="22"/>
        </w:rPr>
        <w:t xml:space="preserve">There are up to three stages in the 40B process – the project eligibility stage, the application stage, and at times the appeals stage.  First, the applicant must apply for eligibility of a proposed 40B project/site from a subsidizing agency.  Under Chapter 40B, subsidized housing is not limited exclusively to housing receiving direct public subsidies but also applies to privately-financed projects receiving technical assistance from the State through its Local Initiative Program (LIP) or through MassHousing (Housing Starts Program), Federal Home Loan Bank Board (New England Fund), MassDevelopment, and Massachusetts Housing Partnership Fund.  The subsidizing agency then forwards the application to the local City Council/Board of Selectmen for a 30-day comment period.  The City Council/Board of Selectmen solicits comments from Town officials and other boards and based on their review the subsidizing agency typically issues a project eligibility letter.  Alternatively, a developer may approach the City Council/Board of Selectmen for their endorsement of the project, and they can make a joint application to DHCD for certification under the Local Initiative Program (for more information see description in Section I.E below).  </w:t>
      </w:r>
    </w:p>
    <w:p w14:paraId="318F34F6" w14:textId="77777777" w:rsidR="00DA633B" w:rsidRDefault="00DA633B" w:rsidP="008D43B3">
      <w:pPr>
        <w:pStyle w:val="BodyTextIndent"/>
        <w:spacing w:after="0"/>
        <w:ind w:left="0"/>
        <w:jc w:val="both"/>
        <w:rPr>
          <w:rFonts w:ascii="Calibri" w:hAnsi="Calibri"/>
          <w:sz w:val="22"/>
        </w:rPr>
      </w:pPr>
    </w:p>
    <w:p w14:paraId="5DEF9F7A" w14:textId="77777777" w:rsidR="00DA633B" w:rsidRDefault="00DA633B" w:rsidP="008D43B3">
      <w:pPr>
        <w:pStyle w:val="BodyTextIndent"/>
        <w:spacing w:after="0"/>
        <w:ind w:left="0"/>
        <w:jc w:val="both"/>
        <w:rPr>
          <w:rFonts w:ascii="Calibri" w:hAnsi="Calibri"/>
          <w:sz w:val="22"/>
        </w:rPr>
      </w:pPr>
      <w:r>
        <w:rPr>
          <w:rFonts w:ascii="Calibri" w:hAnsi="Calibri"/>
          <w:sz w:val="22"/>
        </w:rPr>
        <w:t>A subsidizing agency must also consider the following items when determining site eligibility:</w:t>
      </w:r>
    </w:p>
    <w:p w14:paraId="4CC5EA8E" w14:textId="77777777" w:rsidR="00DA633B" w:rsidRDefault="00DA633B" w:rsidP="008D43B3">
      <w:pPr>
        <w:pStyle w:val="BodyTextIndent"/>
        <w:spacing w:after="0"/>
        <w:ind w:left="0"/>
        <w:jc w:val="both"/>
        <w:rPr>
          <w:rFonts w:ascii="Calibri" w:hAnsi="Calibri"/>
          <w:sz w:val="22"/>
        </w:rPr>
      </w:pPr>
    </w:p>
    <w:p w14:paraId="5FC41E41" w14:textId="77777777" w:rsidR="00DA633B" w:rsidRDefault="00DA633B" w:rsidP="005D3FC9">
      <w:pPr>
        <w:pStyle w:val="BodyTextIndent"/>
        <w:numPr>
          <w:ilvl w:val="0"/>
          <w:numId w:val="39"/>
        </w:numPr>
        <w:spacing w:after="0"/>
        <w:jc w:val="both"/>
        <w:rPr>
          <w:rFonts w:ascii="Calibri" w:hAnsi="Calibri"/>
          <w:sz w:val="22"/>
        </w:rPr>
      </w:pPr>
      <w:r>
        <w:rPr>
          <w:rFonts w:ascii="Calibri" w:hAnsi="Calibri"/>
          <w:sz w:val="22"/>
        </w:rPr>
        <w:t>Information provided by the municipality or other parties regarding municipal actions previously taken to meet affordable housing needs, including inclusionary zoning, multi-family districts and 40R overlay zones.</w:t>
      </w:r>
    </w:p>
    <w:p w14:paraId="01C98732" w14:textId="77777777" w:rsidR="00DA633B" w:rsidRDefault="00DA633B" w:rsidP="005D3FC9">
      <w:pPr>
        <w:pStyle w:val="BodyTextIndent"/>
        <w:numPr>
          <w:ilvl w:val="0"/>
          <w:numId w:val="39"/>
        </w:numPr>
        <w:spacing w:after="0"/>
        <w:jc w:val="both"/>
        <w:rPr>
          <w:rFonts w:ascii="Calibri" w:hAnsi="Calibri"/>
          <w:i/>
          <w:iCs/>
          <w:sz w:val="22"/>
        </w:rPr>
      </w:pPr>
      <w:r>
        <w:rPr>
          <w:rFonts w:ascii="Calibri" w:hAnsi="Calibri"/>
          <w:sz w:val="22"/>
        </w:rPr>
        <w:t>Whether the conceptual design is appropriate for the site including building massing, topography, environmental resources, and integration into existing development patterns.</w:t>
      </w:r>
    </w:p>
    <w:p w14:paraId="2B544C00" w14:textId="77777777" w:rsidR="00DA633B" w:rsidRDefault="00DA633B" w:rsidP="005D3FC9">
      <w:pPr>
        <w:pStyle w:val="BodyTextIndent"/>
        <w:numPr>
          <w:ilvl w:val="0"/>
          <w:numId w:val="39"/>
        </w:numPr>
        <w:spacing w:after="0"/>
        <w:jc w:val="both"/>
        <w:rPr>
          <w:rFonts w:ascii="Calibri" w:hAnsi="Calibri"/>
          <w:i/>
          <w:iCs/>
          <w:sz w:val="22"/>
        </w:rPr>
      </w:pPr>
      <w:r>
        <w:rPr>
          <w:rFonts w:ascii="Calibri" w:hAnsi="Calibri"/>
          <w:sz w:val="22"/>
        </w:rPr>
        <w:t>That the land valuation, as included in the pro forma, is consistent with DHCD guidelines regarding cost examination and limitations on profits and distribution.</w:t>
      </w:r>
    </w:p>
    <w:p w14:paraId="5BF476BD" w14:textId="77777777" w:rsidR="00DA633B" w:rsidRDefault="00DA633B" w:rsidP="005D3FC9">
      <w:pPr>
        <w:pStyle w:val="BodyTextIndent"/>
        <w:numPr>
          <w:ilvl w:val="0"/>
          <w:numId w:val="39"/>
        </w:numPr>
        <w:spacing w:after="0"/>
        <w:jc w:val="both"/>
        <w:rPr>
          <w:rFonts w:ascii="Calibri" w:hAnsi="Calibri"/>
          <w:i/>
          <w:iCs/>
          <w:sz w:val="22"/>
        </w:rPr>
      </w:pPr>
      <w:r>
        <w:rPr>
          <w:rFonts w:ascii="Calibri" w:hAnsi="Calibri"/>
          <w:sz w:val="22"/>
        </w:rPr>
        <w:t>Requires that LIP site approval applications be submitted by the municipality’s chief executive officer.</w:t>
      </w:r>
    </w:p>
    <w:p w14:paraId="4C7C203A" w14:textId="77777777" w:rsidR="00DA633B" w:rsidRDefault="00DA633B" w:rsidP="005D3FC9">
      <w:pPr>
        <w:pStyle w:val="BodyTextIndent"/>
        <w:numPr>
          <w:ilvl w:val="0"/>
          <w:numId w:val="39"/>
        </w:numPr>
        <w:spacing w:after="0"/>
        <w:jc w:val="both"/>
        <w:rPr>
          <w:rFonts w:ascii="Calibri" w:hAnsi="Calibri"/>
          <w:i/>
          <w:iCs/>
          <w:sz w:val="22"/>
        </w:rPr>
      </w:pPr>
      <w:r>
        <w:rPr>
          <w:rFonts w:ascii="Calibri" w:hAnsi="Calibri"/>
          <w:sz w:val="22"/>
        </w:rPr>
        <w:t>Specifies that members of local boards can attend the site visit conducted during DHCD’s 30-day review period.</w:t>
      </w:r>
    </w:p>
    <w:p w14:paraId="50ED3CAB" w14:textId="77777777" w:rsidR="00DA633B" w:rsidRDefault="00DA633B" w:rsidP="005D3FC9">
      <w:pPr>
        <w:pStyle w:val="BodyTextIndent"/>
        <w:numPr>
          <w:ilvl w:val="0"/>
          <w:numId w:val="39"/>
        </w:numPr>
        <w:spacing w:after="0"/>
        <w:jc w:val="both"/>
        <w:rPr>
          <w:rFonts w:ascii="Calibri" w:hAnsi="Calibri"/>
          <w:i/>
          <w:iCs/>
          <w:sz w:val="22"/>
        </w:rPr>
      </w:pPr>
      <w:r>
        <w:rPr>
          <w:rFonts w:ascii="Calibri" w:hAnsi="Calibri"/>
          <w:sz w:val="22"/>
        </w:rPr>
        <w:t>Requires that the subsidizing agency provide a copy of its determination of eligibility to DHCD, the chief executive officer of the municipality, the ZBA and the applicant.</w:t>
      </w:r>
    </w:p>
    <w:p w14:paraId="383D3FAB" w14:textId="77777777" w:rsidR="00DA633B" w:rsidRDefault="00DA633B" w:rsidP="008D43B3">
      <w:pPr>
        <w:pStyle w:val="BodyTextIndent"/>
        <w:spacing w:after="0"/>
        <w:jc w:val="both"/>
        <w:rPr>
          <w:rFonts w:ascii="Calibri" w:hAnsi="Calibri"/>
          <w:sz w:val="22"/>
        </w:rPr>
      </w:pPr>
    </w:p>
    <w:p w14:paraId="20C04AE8" w14:textId="77777777" w:rsidR="00DA633B" w:rsidRDefault="00DA633B" w:rsidP="008D43B3">
      <w:pPr>
        <w:pStyle w:val="BodyTextIndent"/>
        <w:spacing w:after="0"/>
        <w:ind w:left="0"/>
        <w:jc w:val="both"/>
        <w:rPr>
          <w:rFonts w:ascii="Calibri" w:hAnsi="Calibri"/>
          <w:sz w:val="22"/>
        </w:rPr>
      </w:pPr>
      <w:r>
        <w:rPr>
          <w:rFonts w:ascii="Calibri" w:hAnsi="Calibri"/>
          <w:sz w:val="22"/>
        </w:rPr>
        <w:t>If there are substantial changes to a project before the ZBA issues its decision, the subsidizing agency can defer the re-determination of site/project eligibility until the ZBA issues its decision unless the chief executive officer of the municipality or applicant request otherwise.  New 40B regulations provide greater detail on this re-determination process.  Additionally, challenges to project eligibility determinations can only be made on the grounds that there has been a substantial change to the project that affects project eligibility requirements and leaves resolution of the challenge to the subsidizing agency.</w:t>
      </w:r>
    </w:p>
    <w:p w14:paraId="0C065A36" w14:textId="77777777" w:rsidR="00DA633B" w:rsidRPr="008D43B3" w:rsidRDefault="00DA633B" w:rsidP="008D43B3">
      <w:pPr>
        <w:pStyle w:val="BodyTextIndent"/>
        <w:spacing w:after="0"/>
        <w:ind w:left="0"/>
        <w:jc w:val="both"/>
        <w:rPr>
          <w:rFonts w:ascii="Calibri" w:hAnsi="Calibri"/>
          <w:sz w:val="20"/>
          <w:szCs w:val="20"/>
        </w:rPr>
      </w:pPr>
    </w:p>
    <w:p w14:paraId="6ABF785F" w14:textId="77777777" w:rsidR="00DA633B" w:rsidRPr="008D43B3" w:rsidRDefault="00DA633B" w:rsidP="008D43B3">
      <w:pPr>
        <w:pStyle w:val="BodyText3"/>
        <w:spacing w:after="0"/>
        <w:jc w:val="both"/>
        <w:rPr>
          <w:rFonts w:ascii="Calibri" w:hAnsi="Calibri"/>
          <w:sz w:val="20"/>
          <w:szCs w:val="20"/>
        </w:rPr>
      </w:pPr>
      <w:r w:rsidRPr="008D43B3">
        <w:rPr>
          <w:rFonts w:ascii="Calibri" w:hAnsi="Calibri"/>
          <w:sz w:val="20"/>
          <w:szCs w:val="20"/>
        </w:rPr>
        <w:t xml:space="preserve">The next stage in the comprehensive permit process is the application phase including pre-hearing activities such as adopting rules before the application is submitted, setting a reasonable filing fee, providing for technical “peer review” fees, establishing a process for selecting technical consultants, and setting forth minimum application submission requirements.  Failure to open a public hearing within 30 days of filing an application can result in constructive approval.  The public hearing is the most critical part of the whole application process.  Here is the chance for the Zoning Board of Appeals’ consultants to analyze existing site conditions, advise the ZBA on the capacity of the site to handle the proposed type of development, and to recommend alternative development </w:t>
      </w:r>
      <w:r w:rsidRPr="008D43B3">
        <w:rPr>
          <w:rFonts w:ascii="Calibri" w:hAnsi="Calibri"/>
          <w:sz w:val="20"/>
          <w:szCs w:val="20"/>
        </w:rPr>
        <w:lastRenderedPageBreak/>
        <w:t>designs.  Here is where the ZBA gets the advice of experts on unfamiliar matters – called peer review.  Consistency of the project with local needs is the central principal in the review process.</w:t>
      </w:r>
    </w:p>
    <w:p w14:paraId="4E79BB8A" w14:textId="77777777" w:rsidR="00DA633B" w:rsidRPr="008D43B3" w:rsidRDefault="00DA633B" w:rsidP="008D43B3">
      <w:pPr>
        <w:jc w:val="both"/>
        <w:rPr>
          <w:rFonts w:ascii="Calibri" w:hAnsi="Calibri"/>
          <w:sz w:val="20"/>
          <w:szCs w:val="20"/>
        </w:rPr>
      </w:pPr>
    </w:p>
    <w:p w14:paraId="2F1C6D9B" w14:textId="77777777" w:rsidR="00DA633B" w:rsidRDefault="00DA633B" w:rsidP="008D43B3">
      <w:pPr>
        <w:jc w:val="both"/>
        <w:rPr>
          <w:rFonts w:ascii="Calibri" w:hAnsi="Calibri"/>
          <w:sz w:val="22"/>
        </w:rPr>
      </w:pPr>
      <w:r w:rsidRPr="008D43B3">
        <w:rPr>
          <w:rFonts w:ascii="Calibri" w:hAnsi="Calibri"/>
          <w:sz w:val="20"/>
          <w:szCs w:val="20"/>
        </w:rPr>
        <w:t>Another important component of the public hearing process is the project economic analysis that determines whether conditions</w:t>
      </w:r>
      <w:r>
        <w:rPr>
          <w:rFonts w:ascii="Calibri" w:hAnsi="Calibri"/>
          <w:sz w:val="22"/>
        </w:rPr>
        <w:t xml:space="preserve"> imposed and waivers denied would render the project “uneconomic”.  The burden of proof is on the applicant, who must prove that it is impossible to proceed and still realize a reasonable return, which cannot be more than 20%.  Another part of the public hearing process is the engineering review.  The ZBA directs its consultants to analyze the consistency of the project with local bylaws and regulations and to examine the feasibility of alternative designs.  </w:t>
      </w:r>
    </w:p>
    <w:p w14:paraId="70A5B04B" w14:textId="77777777" w:rsidR="00DA633B" w:rsidRDefault="00DA633B" w:rsidP="008D43B3">
      <w:pPr>
        <w:jc w:val="both"/>
        <w:rPr>
          <w:rFonts w:ascii="Calibri" w:hAnsi="Calibri"/>
          <w:sz w:val="22"/>
        </w:rPr>
      </w:pPr>
    </w:p>
    <w:p w14:paraId="1F69170C" w14:textId="77777777" w:rsidR="00DA633B" w:rsidRDefault="00DA633B" w:rsidP="008D43B3">
      <w:pPr>
        <w:jc w:val="both"/>
        <w:rPr>
          <w:rFonts w:ascii="Calibri" w:hAnsi="Calibri"/>
          <w:sz w:val="22"/>
        </w:rPr>
      </w:pPr>
      <w:r>
        <w:rPr>
          <w:rFonts w:ascii="Calibri" w:hAnsi="Calibri"/>
          <w:sz w:val="22"/>
        </w:rPr>
        <w:t>Chapter 40B regulations related to the hearing process include:</w:t>
      </w:r>
    </w:p>
    <w:p w14:paraId="1DA5ED1F" w14:textId="77777777" w:rsidR="00DA633B" w:rsidRDefault="00DA633B" w:rsidP="008D43B3">
      <w:pPr>
        <w:jc w:val="both"/>
        <w:rPr>
          <w:rFonts w:ascii="Calibri" w:hAnsi="Calibri"/>
          <w:sz w:val="22"/>
        </w:rPr>
      </w:pPr>
    </w:p>
    <w:p w14:paraId="018675DD" w14:textId="77777777" w:rsidR="00DA633B" w:rsidRDefault="00DA633B" w:rsidP="005D3FC9">
      <w:pPr>
        <w:numPr>
          <w:ilvl w:val="0"/>
          <w:numId w:val="40"/>
        </w:numPr>
        <w:jc w:val="both"/>
        <w:rPr>
          <w:rFonts w:ascii="Calibri" w:hAnsi="Calibri"/>
          <w:sz w:val="22"/>
        </w:rPr>
      </w:pPr>
      <w:r>
        <w:rPr>
          <w:rFonts w:ascii="Calibri" w:hAnsi="Calibri"/>
          <w:sz w:val="22"/>
        </w:rPr>
        <w:t>The hearing must be terminated within 180 days of the filing of a complete application unless the applicant consents to extend.</w:t>
      </w:r>
    </w:p>
    <w:p w14:paraId="1E644A39" w14:textId="77777777" w:rsidR="00DA633B" w:rsidRDefault="00DA633B" w:rsidP="005D3FC9">
      <w:pPr>
        <w:numPr>
          <w:ilvl w:val="0"/>
          <w:numId w:val="40"/>
        </w:numPr>
        <w:jc w:val="both"/>
        <w:rPr>
          <w:rFonts w:ascii="Calibri" w:hAnsi="Calibri"/>
          <w:sz w:val="22"/>
        </w:rPr>
      </w:pPr>
      <w:r>
        <w:rPr>
          <w:rFonts w:ascii="Calibri" w:hAnsi="Calibri"/>
          <w:sz w:val="22"/>
        </w:rPr>
        <w:t xml:space="preserve">Allows communities already considering three (3) or more comprehensive permit applications to stay a hearing on additional applications if the total units under consideration meet the definition of a large project (larger of 300 units or 2% of housing in communities with 7,500 housing units as of the latest Census, 250 units in communities with 5,001 to 7,499 total units, 200 units in communities with 2,500 to 5,000 units, and 150 units or 10% of housing in communities with less than 2,500 units).  </w:t>
      </w:r>
    </w:p>
    <w:p w14:paraId="08802342" w14:textId="77777777" w:rsidR="00DA633B" w:rsidRDefault="00DA633B" w:rsidP="005D3FC9">
      <w:pPr>
        <w:numPr>
          <w:ilvl w:val="0"/>
          <w:numId w:val="40"/>
        </w:numPr>
        <w:jc w:val="both"/>
        <w:rPr>
          <w:rFonts w:ascii="Calibri" w:hAnsi="Calibri"/>
          <w:sz w:val="22"/>
        </w:rPr>
      </w:pPr>
      <w:r>
        <w:rPr>
          <w:rFonts w:ascii="Calibri" w:hAnsi="Calibri"/>
          <w:sz w:val="22"/>
        </w:rPr>
        <w:t xml:space="preserve">Local boards can adopt local rules for the conduct of their hearings, but they must obtain an opinion from DHCD that their rules are consistent with Chapter 40B.  </w:t>
      </w:r>
    </w:p>
    <w:p w14:paraId="36D562F2" w14:textId="77777777" w:rsidR="00DA633B" w:rsidRDefault="00DA633B" w:rsidP="005D3FC9">
      <w:pPr>
        <w:numPr>
          <w:ilvl w:val="0"/>
          <w:numId w:val="40"/>
        </w:numPr>
        <w:jc w:val="both"/>
        <w:rPr>
          <w:rFonts w:ascii="Calibri" w:hAnsi="Calibri"/>
          <w:sz w:val="22"/>
        </w:rPr>
      </w:pPr>
      <w:r>
        <w:rPr>
          <w:rFonts w:ascii="Calibri" w:hAnsi="Calibri"/>
          <w:sz w:val="22"/>
        </w:rPr>
        <w:t xml:space="preserve">Local boards cannot impose “unreasonable or unnecessary” time or cost burdens on an applicant and bans requiring an applicant to pay legal fees for general representation of the ZBA or other boards.  The new requirements go into the basis of the fees in more detail, but as a general rule the ZBA may not assess any fee greater than the amount that might be appropriated from town or city funds to review a project of a similar type and scale.  </w:t>
      </w:r>
    </w:p>
    <w:p w14:paraId="3341B671" w14:textId="77777777" w:rsidR="00DA633B" w:rsidRDefault="00DA633B" w:rsidP="005D3FC9">
      <w:pPr>
        <w:numPr>
          <w:ilvl w:val="0"/>
          <w:numId w:val="40"/>
        </w:numPr>
        <w:jc w:val="both"/>
        <w:rPr>
          <w:rFonts w:ascii="Calibri" w:hAnsi="Calibri"/>
          <w:sz w:val="22"/>
        </w:rPr>
      </w:pPr>
      <w:r>
        <w:rPr>
          <w:rFonts w:ascii="Calibri" w:hAnsi="Calibri"/>
          <w:sz w:val="22"/>
        </w:rPr>
        <w:t xml:space="preserve">An applicant can appeal the selection of a consultant within 20 days of the selection on the grounds that the consultant has a conflict of interest or lack minimum required qualifications.  </w:t>
      </w:r>
    </w:p>
    <w:p w14:paraId="7B00EB02" w14:textId="77777777" w:rsidR="00DA633B" w:rsidRDefault="00DA633B" w:rsidP="005D3FC9">
      <w:pPr>
        <w:numPr>
          <w:ilvl w:val="0"/>
          <w:numId w:val="40"/>
        </w:numPr>
        <w:jc w:val="both"/>
        <w:rPr>
          <w:rFonts w:ascii="Calibri" w:hAnsi="Calibri"/>
          <w:sz w:val="22"/>
        </w:rPr>
      </w:pPr>
      <w:r>
        <w:rPr>
          <w:rFonts w:ascii="Calibri" w:hAnsi="Calibri"/>
          <w:sz w:val="22"/>
        </w:rPr>
        <w:t>Specify and limit the circumstances under which ZBA’s can review pro formas.</w:t>
      </w:r>
    </w:p>
    <w:p w14:paraId="6D44A362" w14:textId="77777777" w:rsidR="00DA633B" w:rsidRDefault="00DA633B" w:rsidP="005D3FC9">
      <w:pPr>
        <w:numPr>
          <w:ilvl w:val="0"/>
          <w:numId w:val="40"/>
        </w:numPr>
        <w:jc w:val="both"/>
        <w:rPr>
          <w:rFonts w:ascii="Calibri" w:hAnsi="Calibri"/>
          <w:sz w:val="22"/>
        </w:rPr>
      </w:pPr>
      <w:r>
        <w:rPr>
          <w:rFonts w:ascii="Calibri" w:hAnsi="Calibri"/>
          <w:sz w:val="22"/>
        </w:rPr>
        <w:t>Zoning waivers are only required under “as of right” requirements, not from special permit requirements.</w:t>
      </w:r>
    </w:p>
    <w:p w14:paraId="7D3CE9F3" w14:textId="77777777" w:rsidR="00DA633B" w:rsidRDefault="00DA633B" w:rsidP="005D3FC9">
      <w:pPr>
        <w:numPr>
          <w:ilvl w:val="0"/>
          <w:numId w:val="40"/>
        </w:numPr>
        <w:jc w:val="both"/>
        <w:rPr>
          <w:rFonts w:ascii="Calibri" w:hAnsi="Calibri"/>
          <w:sz w:val="22"/>
        </w:rPr>
      </w:pPr>
      <w:r>
        <w:rPr>
          <w:rFonts w:ascii="Calibri" w:hAnsi="Calibri"/>
          <w:sz w:val="22"/>
        </w:rPr>
        <w:t>Forbids ZBA’s from imposing conditions that deviate from the project eligibility requirements or that would require the project to provide more affordable units that the minimum threshold required by DHCD guidelines.</w:t>
      </w:r>
    </w:p>
    <w:p w14:paraId="24E7F927" w14:textId="77777777" w:rsidR="00DA633B" w:rsidRDefault="00DA633B" w:rsidP="005D3FC9">
      <w:pPr>
        <w:numPr>
          <w:ilvl w:val="0"/>
          <w:numId w:val="40"/>
        </w:numPr>
        <w:jc w:val="both"/>
        <w:rPr>
          <w:rFonts w:ascii="Calibri" w:hAnsi="Calibri"/>
          <w:sz w:val="22"/>
        </w:rPr>
      </w:pPr>
      <w:r>
        <w:rPr>
          <w:rFonts w:ascii="Calibri" w:hAnsi="Calibri"/>
          <w:sz w:val="22"/>
        </w:rPr>
        <w:t>States that ZBA’s cannot delay or deny an application because a state or federal approval has not been obtained.</w:t>
      </w:r>
    </w:p>
    <w:p w14:paraId="724E19F7" w14:textId="77777777" w:rsidR="00DA633B" w:rsidRDefault="00DA633B" w:rsidP="005D3FC9">
      <w:pPr>
        <w:numPr>
          <w:ilvl w:val="0"/>
          <w:numId w:val="40"/>
        </w:numPr>
        <w:jc w:val="both"/>
        <w:rPr>
          <w:rFonts w:ascii="Calibri" w:hAnsi="Calibri"/>
          <w:sz w:val="22"/>
        </w:rPr>
      </w:pPr>
      <w:r>
        <w:rPr>
          <w:rFonts w:ascii="Calibri" w:hAnsi="Calibri"/>
          <w:sz w:val="22"/>
        </w:rPr>
        <w:t>Adds new language regarding what constitutes an uneconomic condition including requiring applicants to pay for off-site public infrastructure or improvements if they involve pre-existing conditions, are not usually imposed on unsubsidized housing or are disproportionate to the impacts of the proposed development or requiring a reduction in the number of units other than on a basis of legitimate local concerns (health, safety, environment, design, etc.).  Also states that a condition shall not be considered uneconomic if it would remove or modify a proposed nonresidential element of a project that is not allowed by right.</w:t>
      </w:r>
    </w:p>
    <w:p w14:paraId="39471FE7" w14:textId="77777777" w:rsidR="00DA633B" w:rsidRDefault="00DA633B" w:rsidP="008D43B3">
      <w:pPr>
        <w:jc w:val="both"/>
        <w:rPr>
          <w:rFonts w:ascii="Calibri" w:hAnsi="Calibri"/>
          <w:sz w:val="22"/>
        </w:rPr>
      </w:pPr>
    </w:p>
    <w:p w14:paraId="789FAE77" w14:textId="77777777" w:rsidR="00DA633B" w:rsidRDefault="00DA633B" w:rsidP="008D43B3">
      <w:pPr>
        <w:jc w:val="both"/>
        <w:rPr>
          <w:rFonts w:ascii="Calibri" w:hAnsi="Calibri"/>
          <w:sz w:val="22"/>
        </w:rPr>
      </w:pPr>
      <w:r>
        <w:rPr>
          <w:rFonts w:ascii="Calibri" w:hAnsi="Calibri"/>
          <w:sz w:val="22"/>
        </w:rPr>
        <w:t xml:space="preserve">After the public hearing is closed, the ZBA must set-aside at least two sessions for deliberations within 40 days of the close of the hearing.  These deliberations can result in either approval, approval with conditions, or denial.  </w:t>
      </w:r>
    </w:p>
    <w:p w14:paraId="20F50B5C" w14:textId="77777777" w:rsidR="00DA633B" w:rsidRDefault="00DA633B" w:rsidP="008D43B3">
      <w:pPr>
        <w:jc w:val="both"/>
        <w:rPr>
          <w:rFonts w:ascii="Calibri" w:hAnsi="Calibri"/>
          <w:sz w:val="22"/>
        </w:rPr>
      </w:pPr>
    </w:p>
    <w:p w14:paraId="73C19346" w14:textId="77777777" w:rsidR="00DA633B" w:rsidRDefault="00DA633B" w:rsidP="008D43B3">
      <w:pPr>
        <w:pStyle w:val="BodyTextIndent"/>
        <w:ind w:left="0"/>
        <w:jc w:val="both"/>
        <w:rPr>
          <w:rFonts w:ascii="Calibri" w:hAnsi="Calibri"/>
          <w:sz w:val="22"/>
        </w:rPr>
      </w:pPr>
      <w:r>
        <w:rPr>
          <w:rFonts w:ascii="Calibri" w:hAnsi="Calibri"/>
          <w:sz w:val="22"/>
        </w:rPr>
        <w:t>Subsidizing agencies are required to issue final project eligibility approvals following approval of the comprehensive permit reconfirming project eligibility, including financial feasibility, and approving the proposed use restriction and finding that the applicant has committed to complying with cost examination requirements. New Chapter 40B regulations set forth the basic parameters for ensuring that profit limitations are enforced, while leaving the definition of “reasonable return” to the subsidizing agency in accordance with DHCD guidelines.  The applicant or subsequent developer must submit a detailed financial statement, prepared by a certified public accountant, to the subsidizing agency in a form and upon a schedule determined by the DHCD guidelines.</w:t>
      </w:r>
    </w:p>
    <w:p w14:paraId="6DC1EE63" w14:textId="77777777" w:rsidR="000E71B8" w:rsidRDefault="000E71B8" w:rsidP="008D43B3">
      <w:pPr>
        <w:jc w:val="both"/>
        <w:rPr>
          <w:rFonts w:ascii="Calibri" w:hAnsi="Calibri"/>
          <w:sz w:val="22"/>
        </w:rPr>
      </w:pPr>
    </w:p>
    <w:p w14:paraId="65A2B07F" w14:textId="7281846B" w:rsidR="00DA633B" w:rsidRDefault="00DA633B" w:rsidP="008D43B3">
      <w:pPr>
        <w:jc w:val="both"/>
        <w:rPr>
          <w:rFonts w:ascii="Calibri" w:hAnsi="Calibri"/>
          <w:sz w:val="22"/>
        </w:rPr>
      </w:pPr>
      <w:r>
        <w:rPr>
          <w:rFonts w:ascii="Calibri" w:hAnsi="Calibri"/>
          <w:sz w:val="22"/>
        </w:rPr>
        <w:t>If the process heads into the third stage – the appeals process – the burden is on the ZBA to demonstrate that the denial is consistent with local needs, meaning the public health and safety and environmental concerns outweigh the regional need for housing.  If a local ZBA denies the permit, a state Housing Appeals Committee (HAC) can overrule the local decision if less than 10% of the locality’s year-round housing stock has been subsidized for households earning less than 80% of median income, if the locality cannot demonstrate health and safety reasons for the denial that cannot be mitigated, or if the community has not met housing production goals based on an approved plan or other statutory minima listed above.  The HAC has upheld the developer in the vast majority of the cases, but in most instances promotes negotiation and compromise between the developer and locality.  In its 30-year history, only a handful of denials have been upheld on appeal.  The HAC cannot issue a permit, but may only order the ZBA to issue one.  Also, any aggrieved person, except the applicant, may appeal to the Superior Court or Land Court, but even for abutters, establishing “standing” in court is an uphill battle.  Appeals from approvals are often filed to force a delay in commencing a project, but the appeal must demonstrate “legal error” in the decision of the ZBA or HAC.</w:t>
      </w:r>
    </w:p>
    <w:p w14:paraId="2EC49E07" w14:textId="70C404D4" w:rsidR="00DA633B" w:rsidRPr="00C54FC9" w:rsidRDefault="000E71B8" w:rsidP="008D43B3">
      <w:pPr>
        <w:pStyle w:val="Heading8"/>
        <w:jc w:val="both"/>
        <w:rPr>
          <w:rFonts w:ascii="Calibri" w:hAnsi="Calibri"/>
          <w:b/>
          <w:sz w:val="24"/>
          <w:szCs w:val="24"/>
        </w:rPr>
      </w:pPr>
      <w:r>
        <w:rPr>
          <w:rFonts w:ascii="Calibri" w:hAnsi="Calibri"/>
          <w:b/>
          <w:sz w:val="24"/>
          <w:szCs w:val="24"/>
        </w:rPr>
        <w:t>C</w:t>
      </w:r>
      <w:r w:rsidR="00DA633B" w:rsidRPr="00C54FC9">
        <w:rPr>
          <w:rFonts w:ascii="Calibri" w:hAnsi="Calibri"/>
          <w:b/>
          <w:sz w:val="24"/>
          <w:szCs w:val="24"/>
        </w:rPr>
        <w:t>.</w:t>
      </w:r>
      <w:r w:rsidR="00DA633B" w:rsidRPr="00C54FC9">
        <w:rPr>
          <w:rFonts w:ascii="Calibri" w:hAnsi="Calibri"/>
          <w:b/>
          <w:sz w:val="24"/>
          <w:szCs w:val="24"/>
        </w:rPr>
        <w:tab/>
      </w:r>
      <w:r w:rsidR="00DA633B" w:rsidRPr="00C54FC9">
        <w:rPr>
          <w:rFonts w:ascii="Calibri" w:hAnsi="Calibri"/>
          <w:b/>
          <w:sz w:val="24"/>
          <w:szCs w:val="24"/>
          <w:u w:val="single"/>
        </w:rPr>
        <w:t>Chapter 40R/40S</w:t>
      </w:r>
    </w:p>
    <w:p w14:paraId="47EF31C8" w14:textId="77777777" w:rsidR="00DA633B" w:rsidRDefault="00DA633B" w:rsidP="008D43B3">
      <w:pPr>
        <w:tabs>
          <w:tab w:val="num" w:pos="-720"/>
        </w:tabs>
        <w:jc w:val="both"/>
        <w:rPr>
          <w:rFonts w:ascii="Calibri" w:hAnsi="Calibri"/>
          <w:sz w:val="22"/>
        </w:rPr>
      </w:pPr>
      <w:r>
        <w:rPr>
          <w:rFonts w:ascii="Calibri" w:hAnsi="Calibri"/>
          <w:sz w:val="22"/>
        </w:rPr>
        <w:t>In 2004, the State Legislature approved a new zoning tool for communities in recognition that escalating housing prices, now beyond the reach of increasing numbers of state residents, are causing graduates from area institutions of higher learning to relocate to other areas of the country in search of greater affordability.  The Commonwealth Housing Task Force, in concert with other organizations and institutions, developed a series of recommendations, most of which were enacted by the State Legislature as Chapter 40R of the Massachusetts General Laws.  The key components of these regulations are that “the state provide financial and other incentives to local communities that pass Smart Growth Overlay Zoning Districts that allow the building of single-family homes on smaller lots and the construction of apartments for families at all income levels, and the state increase its commitment to fund affordable housing for families of low and moderate income”.</w:t>
      </w:r>
      <w:r>
        <w:rPr>
          <w:rStyle w:val="FootnoteReference"/>
          <w:rFonts w:ascii="Calibri" w:eastAsiaTheme="majorEastAsia" w:hAnsi="Calibri"/>
          <w:sz w:val="22"/>
        </w:rPr>
        <w:footnoteReference w:id="47"/>
      </w:r>
      <w:r>
        <w:rPr>
          <w:rFonts w:ascii="Calibri" w:hAnsi="Calibri"/>
          <w:sz w:val="22"/>
        </w:rPr>
        <w:t xml:space="preserve">  </w:t>
      </w:r>
    </w:p>
    <w:p w14:paraId="3E55AB2F" w14:textId="77777777" w:rsidR="00DA633B" w:rsidRDefault="00DA633B" w:rsidP="008D43B3">
      <w:pPr>
        <w:tabs>
          <w:tab w:val="num" w:pos="-720"/>
        </w:tabs>
        <w:jc w:val="both"/>
        <w:rPr>
          <w:rFonts w:ascii="Calibri" w:hAnsi="Calibri"/>
          <w:sz w:val="22"/>
        </w:rPr>
      </w:pPr>
    </w:p>
    <w:p w14:paraId="779508A1" w14:textId="77777777" w:rsidR="00DA633B" w:rsidRDefault="00DA633B" w:rsidP="008D43B3">
      <w:pPr>
        <w:tabs>
          <w:tab w:val="num" w:pos="-720"/>
        </w:tabs>
        <w:jc w:val="both"/>
        <w:rPr>
          <w:rFonts w:ascii="Calibri" w:hAnsi="Calibri"/>
          <w:sz w:val="22"/>
        </w:rPr>
      </w:pPr>
      <w:r>
        <w:rPr>
          <w:rFonts w:ascii="Calibri" w:hAnsi="Calibri"/>
          <w:sz w:val="22"/>
        </w:rPr>
        <w:t>The statute defines 40R as “a principle of land development that emphasizes mixing land uses, increases the availability of affordable housing by creating a range of housing opportunities in neighborhoods, takes advantage of compact design, fosters distinctive and attractive communities, preserves opens space, farmland, natural beauty and critical environmental areas, strengthens existing communities, provides a variety of transportation choices, makes development decisions predictable, fair and cost effective and encourages community and stakeholder collaboration in development decisions.”</w:t>
      </w:r>
      <w:r>
        <w:rPr>
          <w:rStyle w:val="FootnoteReference"/>
          <w:rFonts w:ascii="Calibri" w:eastAsiaTheme="majorEastAsia" w:hAnsi="Calibri"/>
          <w:sz w:val="22"/>
        </w:rPr>
        <w:footnoteReference w:id="48"/>
      </w:r>
      <w:r>
        <w:rPr>
          <w:rFonts w:ascii="Calibri" w:hAnsi="Calibri"/>
          <w:sz w:val="22"/>
        </w:rPr>
        <w:t xml:space="preserve">  The key components of 40R include:</w:t>
      </w:r>
    </w:p>
    <w:p w14:paraId="2B791189" w14:textId="77777777" w:rsidR="00DA633B" w:rsidRDefault="00DA633B" w:rsidP="008D43B3">
      <w:pPr>
        <w:jc w:val="both"/>
        <w:rPr>
          <w:rFonts w:ascii="Calibri" w:hAnsi="Calibri"/>
          <w:sz w:val="22"/>
        </w:rPr>
      </w:pPr>
    </w:p>
    <w:p w14:paraId="5EA270C9" w14:textId="77777777" w:rsidR="00DA633B" w:rsidRDefault="00DA633B" w:rsidP="005D3FC9">
      <w:pPr>
        <w:numPr>
          <w:ilvl w:val="0"/>
          <w:numId w:val="24"/>
        </w:numPr>
        <w:tabs>
          <w:tab w:val="clear" w:pos="1500"/>
          <w:tab w:val="num" w:pos="720"/>
        </w:tabs>
        <w:ind w:left="720"/>
        <w:jc w:val="both"/>
        <w:rPr>
          <w:rFonts w:ascii="Calibri" w:hAnsi="Calibri"/>
          <w:sz w:val="22"/>
        </w:rPr>
      </w:pPr>
      <w:r>
        <w:rPr>
          <w:rFonts w:ascii="Calibri" w:hAnsi="Calibri"/>
          <w:sz w:val="22"/>
        </w:rPr>
        <w:t>Allows local option to adopt Overlay Districts near transit, areas of concentrated development, commercial districts, rural village districts, and other suitable locations;</w:t>
      </w:r>
    </w:p>
    <w:p w14:paraId="18CDBBD1" w14:textId="77777777" w:rsidR="00DA633B" w:rsidRDefault="00DA633B" w:rsidP="005D3FC9">
      <w:pPr>
        <w:numPr>
          <w:ilvl w:val="0"/>
          <w:numId w:val="24"/>
        </w:numPr>
        <w:tabs>
          <w:tab w:val="clear" w:pos="1500"/>
          <w:tab w:val="num" w:pos="720"/>
        </w:tabs>
        <w:ind w:left="720"/>
        <w:jc w:val="both"/>
        <w:rPr>
          <w:rFonts w:ascii="Calibri" w:hAnsi="Calibri"/>
          <w:sz w:val="22"/>
        </w:rPr>
      </w:pPr>
      <w:r>
        <w:rPr>
          <w:rFonts w:ascii="Calibri" w:hAnsi="Calibri"/>
          <w:sz w:val="22"/>
        </w:rPr>
        <w:t>Allows “as-of-right” residential development of minimum allowable densities;</w:t>
      </w:r>
    </w:p>
    <w:p w14:paraId="27AB10E0" w14:textId="77777777" w:rsidR="00DA633B" w:rsidRDefault="00DA633B" w:rsidP="005D3FC9">
      <w:pPr>
        <w:numPr>
          <w:ilvl w:val="0"/>
          <w:numId w:val="24"/>
        </w:numPr>
        <w:tabs>
          <w:tab w:val="left" w:pos="720"/>
        </w:tabs>
        <w:ind w:hanging="1140"/>
        <w:jc w:val="both"/>
        <w:rPr>
          <w:rFonts w:ascii="Calibri" w:hAnsi="Calibri"/>
          <w:sz w:val="22"/>
        </w:rPr>
      </w:pPr>
      <w:r>
        <w:rPr>
          <w:rFonts w:ascii="Calibri" w:hAnsi="Calibri"/>
          <w:sz w:val="22"/>
        </w:rPr>
        <w:t>Provides that 20% of the units be affordable;</w:t>
      </w:r>
    </w:p>
    <w:p w14:paraId="68B333F2" w14:textId="77777777" w:rsidR="00DA633B" w:rsidRDefault="00DA633B" w:rsidP="005D3FC9">
      <w:pPr>
        <w:numPr>
          <w:ilvl w:val="0"/>
          <w:numId w:val="24"/>
        </w:numPr>
        <w:tabs>
          <w:tab w:val="left" w:pos="720"/>
        </w:tabs>
        <w:ind w:hanging="1140"/>
        <w:jc w:val="both"/>
        <w:rPr>
          <w:rFonts w:ascii="Calibri" w:hAnsi="Calibri"/>
          <w:sz w:val="22"/>
        </w:rPr>
      </w:pPr>
      <w:r>
        <w:rPr>
          <w:rFonts w:ascii="Calibri" w:hAnsi="Calibri"/>
          <w:sz w:val="22"/>
        </w:rPr>
        <w:t>Promotes mixed-use and infill development;</w:t>
      </w:r>
    </w:p>
    <w:p w14:paraId="3DDCAB33" w14:textId="77777777" w:rsidR="00DA633B" w:rsidRDefault="00DA633B" w:rsidP="005D3FC9">
      <w:pPr>
        <w:numPr>
          <w:ilvl w:val="0"/>
          <w:numId w:val="24"/>
        </w:numPr>
        <w:tabs>
          <w:tab w:val="left" w:pos="720"/>
        </w:tabs>
        <w:ind w:hanging="1140"/>
        <w:jc w:val="both"/>
        <w:rPr>
          <w:rFonts w:ascii="Calibri" w:hAnsi="Calibri"/>
          <w:sz w:val="22"/>
        </w:rPr>
      </w:pPr>
      <w:r>
        <w:rPr>
          <w:rFonts w:ascii="Calibri" w:hAnsi="Calibri"/>
          <w:sz w:val="22"/>
        </w:rPr>
        <w:t>Provides two types of payments to municipalities; and</w:t>
      </w:r>
    </w:p>
    <w:p w14:paraId="55A086A9" w14:textId="77777777" w:rsidR="00DA633B" w:rsidRDefault="00DA633B" w:rsidP="005D3FC9">
      <w:pPr>
        <w:numPr>
          <w:ilvl w:val="0"/>
          <w:numId w:val="24"/>
        </w:numPr>
        <w:tabs>
          <w:tab w:val="left" w:pos="720"/>
        </w:tabs>
        <w:ind w:hanging="1140"/>
        <w:jc w:val="both"/>
        <w:rPr>
          <w:rFonts w:ascii="Calibri" w:hAnsi="Calibri"/>
          <w:sz w:val="22"/>
        </w:rPr>
      </w:pPr>
      <w:r>
        <w:rPr>
          <w:rFonts w:ascii="Calibri" w:hAnsi="Calibri"/>
          <w:sz w:val="22"/>
        </w:rPr>
        <w:t>Encourages open space and protects historic districts.</w:t>
      </w:r>
    </w:p>
    <w:p w14:paraId="0A5AF802" w14:textId="77777777" w:rsidR="00DA633B" w:rsidRDefault="00DA633B" w:rsidP="008D43B3">
      <w:pPr>
        <w:tabs>
          <w:tab w:val="num" w:pos="0"/>
        </w:tabs>
        <w:jc w:val="both"/>
        <w:rPr>
          <w:rFonts w:ascii="Calibri" w:hAnsi="Calibri"/>
          <w:sz w:val="22"/>
        </w:rPr>
      </w:pPr>
    </w:p>
    <w:p w14:paraId="5EE92CCE" w14:textId="77777777" w:rsidR="00DA633B" w:rsidRDefault="00DA633B" w:rsidP="008D43B3">
      <w:pPr>
        <w:jc w:val="both"/>
        <w:rPr>
          <w:rFonts w:ascii="Calibri" w:hAnsi="Calibri"/>
          <w:sz w:val="22"/>
        </w:rPr>
      </w:pPr>
      <w:r>
        <w:rPr>
          <w:rFonts w:ascii="Calibri" w:hAnsi="Calibri"/>
          <w:sz w:val="22"/>
        </w:rPr>
        <w:t>The incentives prescribed by the Task Force and passed by the Legislature include an incentive payment upon the passage of the Overlay District based on the number of projected housing units as follows:</w:t>
      </w:r>
    </w:p>
    <w:p w14:paraId="39797C61" w14:textId="77777777" w:rsidR="00DA633B" w:rsidRPr="008D43B3" w:rsidRDefault="00DA633B" w:rsidP="008D43B3">
      <w:pPr>
        <w:pStyle w:val="Heading4"/>
        <w:jc w:val="center"/>
        <w:rPr>
          <w:rFonts w:ascii="Calibri" w:hAnsi="Calibri"/>
          <w:i w:val="0"/>
          <w:iCs w:val="0"/>
          <w:color w:val="auto"/>
          <w:sz w:val="22"/>
        </w:rPr>
      </w:pPr>
      <w:r w:rsidRPr="008D43B3">
        <w:rPr>
          <w:rFonts w:ascii="Calibri" w:hAnsi="Calibri"/>
          <w:i w:val="0"/>
          <w:iCs w:val="0"/>
          <w:color w:val="auto"/>
          <w:sz w:val="22"/>
        </w:rPr>
        <w:t>Incentive Payments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4076"/>
      </w:tblGrid>
      <w:tr w:rsidR="00DA633B" w14:paraId="7CD579B0" w14:textId="77777777" w:rsidTr="000A6E84">
        <w:tc>
          <w:tcPr>
            <w:tcW w:w="4060" w:type="dxa"/>
          </w:tcPr>
          <w:p w14:paraId="04A557B4" w14:textId="77777777" w:rsidR="00DA633B" w:rsidRPr="008D43B3" w:rsidRDefault="00DA633B" w:rsidP="008D43B3">
            <w:pPr>
              <w:pStyle w:val="Heading3"/>
              <w:spacing w:before="0"/>
              <w:jc w:val="center"/>
              <w:rPr>
                <w:rFonts w:ascii="Calibri" w:hAnsi="Calibri"/>
              </w:rPr>
            </w:pPr>
            <w:r w:rsidRPr="008D43B3">
              <w:rPr>
                <w:rFonts w:ascii="Calibri" w:hAnsi="Calibri"/>
                <w:color w:val="auto"/>
                <w:sz w:val="22"/>
              </w:rPr>
              <w:t>Incentive Units</w:t>
            </w:r>
          </w:p>
        </w:tc>
        <w:tc>
          <w:tcPr>
            <w:tcW w:w="4076" w:type="dxa"/>
          </w:tcPr>
          <w:p w14:paraId="56224C49" w14:textId="77777777" w:rsidR="00DA633B" w:rsidRDefault="00DA633B" w:rsidP="008D43B3">
            <w:pPr>
              <w:jc w:val="center"/>
              <w:rPr>
                <w:rFonts w:ascii="Calibri" w:hAnsi="Calibri"/>
                <w:b/>
              </w:rPr>
            </w:pPr>
            <w:r>
              <w:rPr>
                <w:rFonts w:ascii="Calibri" w:hAnsi="Calibri"/>
                <w:b/>
                <w:sz w:val="22"/>
              </w:rPr>
              <w:t>Payments</w:t>
            </w:r>
          </w:p>
        </w:tc>
      </w:tr>
      <w:tr w:rsidR="00DA633B" w14:paraId="7F0CEFB5" w14:textId="77777777" w:rsidTr="000A6E84">
        <w:tc>
          <w:tcPr>
            <w:tcW w:w="4060" w:type="dxa"/>
          </w:tcPr>
          <w:p w14:paraId="24AA47BB" w14:textId="77777777" w:rsidR="00DA633B" w:rsidRPr="008D43B3" w:rsidRDefault="00DA633B" w:rsidP="008D43B3">
            <w:pPr>
              <w:jc w:val="center"/>
              <w:rPr>
                <w:rFonts w:ascii="Calibri" w:hAnsi="Calibri"/>
                <w:sz w:val="20"/>
                <w:szCs w:val="20"/>
              </w:rPr>
            </w:pPr>
            <w:r w:rsidRPr="008D43B3">
              <w:rPr>
                <w:rFonts w:ascii="Calibri" w:hAnsi="Calibri"/>
                <w:sz w:val="20"/>
                <w:szCs w:val="20"/>
              </w:rPr>
              <w:t>Up to 20</w:t>
            </w:r>
          </w:p>
        </w:tc>
        <w:tc>
          <w:tcPr>
            <w:tcW w:w="4076" w:type="dxa"/>
          </w:tcPr>
          <w:p w14:paraId="338E8EE6" w14:textId="77777777" w:rsidR="00DA633B" w:rsidRPr="008D43B3" w:rsidRDefault="00DA633B" w:rsidP="008D43B3">
            <w:pPr>
              <w:jc w:val="center"/>
              <w:rPr>
                <w:rFonts w:ascii="Calibri" w:hAnsi="Calibri"/>
                <w:sz w:val="20"/>
                <w:szCs w:val="20"/>
              </w:rPr>
            </w:pPr>
            <w:r w:rsidRPr="008D43B3">
              <w:rPr>
                <w:rFonts w:ascii="Calibri" w:hAnsi="Calibri"/>
                <w:sz w:val="20"/>
                <w:szCs w:val="20"/>
              </w:rPr>
              <w:t>$10,000</w:t>
            </w:r>
          </w:p>
        </w:tc>
      </w:tr>
      <w:tr w:rsidR="00DA633B" w14:paraId="488D4EF3" w14:textId="77777777" w:rsidTr="000A6E84">
        <w:tc>
          <w:tcPr>
            <w:tcW w:w="4060" w:type="dxa"/>
          </w:tcPr>
          <w:p w14:paraId="2E54F102" w14:textId="77777777" w:rsidR="00DA633B" w:rsidRPr="008D43B3" w:rsidRDefault="00DA633B" w:rsidP="008D43B3">
            <w:pPr>
              <w:jc w:val="center"/>
              <w:rPr>
                <w:rFonts w:ascii="Calibri" w:hAnsi="Calibri"/>
                <w:sz w:val="20"/>
                <w:szCs w:val="20"/>
              </w:rPr>
            </w:pPr>
            <w:r w:rsidRPr="008D43B3">
              <w:rPr>
                <w:rFonts w:ascii="Calibri" w:hAnsi="Calibri"/>
                <w:sz w:val="20"/>
                <w:szCs w:val="20"/>
              </w:rPr>
              <w:t>21-100</w:t>
            </w:r>
          </w:p>
        </w:tc>
        <w:tc>
          <w:tcPr>
            <w:tcW w:w="4076" w:type="dxa"/>
          </w:tcPr>
          <w:p w14:paraId="0BAEB61E" w14:textId="77777777" w:rsidR="00DA633B" w:rsidRPr="008D43B3" w:rsidRDefault="00DA633B" w:rsidP="008D43B3">
            <w:pPr>
              <w:jc w:val="center"/>
              <w:rPr>
                <w:rFonts w:ascii="Calibri" w:hAnsi="Calibri"/>
                <w:sz w:val="20"/>
                <w:szCs w:val="20"/>
              </w:rPr>
            </w:pPr>
            <w:r w:rsidRPr="008D43B3">
              <w:rPr>
                <w:rFonts w:ascii="Calibri" w:hAnsi="Calibri"/>
                <w:sz w:val="20"/>
                <w:szCs w:val="20"/>
              </w:rPr>
              <w:t>$75,000</w:t>
            </w:r>
          </w:p>
        </w:tc>
      </w:tr>
      <w:tr w:rsidR="00DA633B" w14:paraId="2830D9C6" w14:textId="77777777" w:rsidTr="000A6E84">
        <w:tc>
          <w:tcPr>
            <w:tcW w:w="4060" w:type="dxa"/>
          </w:tcPr>
          <w:p w14:paraId="701AA700" w14:textId="77777777" w:rsidR="00DA633B" w:rsidRPr="008D43B3" w:rsidRDefault="00DA633B" w:rsidP="008D43B3">
            <w:pPr>
              <w:jc w:val="center"/>
              <w:rPr>
                <w:rFonts w:ascii="Calibri" w:hAnsi="Calibri"/>
                <w:sz w:val="20"/>
                <w:szCs w:val="20"/>
              </w:rPr>
            </w:pPr>
            <w:r w:rsidRPr="008D43B3">
              <w:rPr>
                <w:rFonts w:ascii="Calibri" w:hAnsi="Calibri"/>
                <w:sz w:val="20"/>
                <w:szCs w:val="20"/>
              </w:rPr>
              <w:t>101-200</w:t>
            </w:r>
          </w:p>
        </w:tc>
        <w:tc>
          <w:tcPr>
            <w:tcW w:w="4076" w:type="dxa"/>
          </w:tcPr>
          <w:p w14:paraId="4985AC53" w14:textId="77777777" w:rsidR="00DA633B" w:rsidRPr="008D43B3" w:rsidRDefault="00DA633B" w:rsidP="008D43B3">
            <w:pPr>
              <w:jc w:val="center"/>
              <w:rPr>
                <w:rFonts w:ascii="Calibri" w:hAnsi="Calibri"/>
                <w:sz w:val="20"/>
                <w:szCs w:val="20"/>
              </w:rPr>
            </w:pPr>
            <w:r w:rsidRPr="008D43B3">
              <w:rPr>
                <w:rFonts w:ascii="Calibri" w:hAnsi="Calibri"/>
                <w:sz w:val="20"/>
                <w:szCs w:val="20"/>
              </w:rPr>
              <w:t>$200,000</w:t>
            </w:r>
          </w:p>
        </w:tc>
      </w:tr>
      <w:tr w:rsidR="00DA633B" w14:paraId="38DC3F2B" w14:textId="77777777" w:rsidTr="000A6E84">
        <w:tc>
          <w:tcPr>
            <w:tcW w:w="4060" w:type="dxa"/>
          </w:tcPr>
          <w:p w14:paraId="751F50CD" w14:textId="77777777" w:rsidR="00DA633B" w:rsidRPr="008D43B3" w:rsidRDefault="00DA633B" w:rsidP="008D43B3">
            <w:pPr>
              <w:jc w:val="center"/>
              <w:rPr>
                <w:rFonts w:ascii="Calibri" w:hAnsi="Calibri"/>
                <w:sz w:val="20"/>
                <w:szCs w:val="20"/>
              </w:rPr>
            </w:pPr>
            <w:r w:rsidRPr="008D43B3">
              <w:rPr>
                <w:rFonts w:ascii="Calibri" w:hAnsi="Calibri"/>
                <w:sz w:val="20"/>
                <w:szCs w:val="20"/>
              </w:rPr>
              <w:t>210-500</w:t>
            </w:r>
          </w:p>
        </w:tc>
        <w:tc>
          <w:tcPr>
            <w:tcW w:w="4076" w:type="dxa"/>
          </w:tcPr>
          <w:p w14:paraId="4D6BBA70" w14:textId="77777777" w:rsidR="00DA633B" w:rsidRPr="008D43B3" w:rsidRDefault="00DA633B" w:rsidP="008D43B3">
            <w:pPr>
              <w:jc w:val="center"/>
              <w:rPr>
                <w:rFonts w:ascii="Calibri" w:hAnsi="Calibri"/>
                <w:sz w:val="20"/>
                <w:szCs w:val="20"/>
              </w:rPr>
            </w:pPr>
            <w:r w:rsidRPr="008D43B3">
              <w:rPr>
                <w:rFonts w:ascii="Calibri" w:hAnsi="Calibri"/>
                <w:sz w:val="20"/>
                <w:szCs w:val="20"/>
              </w:rPr>
              <w:t>$350,000</w:t>
            </w:r>
          </w:p>
        </w:tc>
      </w:tr>
      <w:tr w:rsidR="00DA633B" w14:paraId="6F1D371A" w14:textId="77777777" w:rsidTr="000A6E84">
        <w:tc>
          <w:tcPr>
            <w:tcW w:w="4060" w:type="dxa"/>
          </w:tcPr>
          <w:p w14:paraId="74701E59" w14:textId="77777777" w:rsidR="00DA633B" w:rsidRPr="008D43B3" w:rsidRDefault="00DA633B" w:rsidP="008D43B3">
            <w:pPr>
              <w:jc w:val="center"/>
              <w:rPr>
                <w:rFonts w:ascii="Calibri" w:hAnsi="Calibri"/>
                <w:sz w:val="20"/>
                <w:szCs w:val="20"/>
              </w:rPr>
            </w:pPr>
            <w:r w:rsidRPr="008D43B3">
              <w:rPr>
                <w:rFonts w:ascii="Calibri" w:hAnsi="Calibri"/>
                <w:sz w:val="20"/>
                <w:szCs w:val="20"/>
              </w:rPr>
              <w:t>501 or more</w:t>
            </w:r>
          </w:p>
        </w:tc>
        <w:tc>
          <w:tcPr>
            <w:tcW w:w="4076" w:type="dxa"/>
          </w:tcPr>
          <w:p w14:paraId="0C493259" w14:textId="77777777" w:rsidR="00DA633B" w:rsidRPr="008D43B3" w:rsidRDefault="00DA633B" w:rsidP="008D43B3">
            <w:pPr>
              <w:jc w:val="center"/>
              <w:rPr>
                <w:rFonts w:ascii="Calibri" w:hAnsi="Calibri"/>
                <w:sz w:val="20"/>
                <w:szCs w:val="20"/>
              </w:rPr>
            </w:pPr>
            <w:r w:rsidRPr="008D43B3">
              <w:rPr>
                <w:rFonts w:ascii="Calibri" w:hAnsi="Calibri"/>
                <w:sz w:val="20"/>
                <w:szCs w:val="20"/>
              </w:rPr>
              <w:t>$600,000</w:t>
            </w:r>
          </w:p>
        </w:tc>
      </w:tr>
    </w:tbl>
    <w:p w14:paraId="4ED7D82E" w14:textId="77777777" w:rsidR="00DA633B" w:rsidRDefault="00DA633B" w:rsidP="008D43B3">
      <w:pPr>
        <w:rPr>
          <w:rFonts w:ascii="Calibri" w:hAnsi="Calibri"/>
          <w:sz w:val="22"/>
        </w:rPr>
      </w:pPr>
    </w:p>
    <w:p w14:paraId="498D40BD" w14:textId="77777777" w:rsidR="00DA633B" w:rsidRDefault="00DA633B" w:rsidP="008D43B3">
      <w:pPr>
        <w:jc w:val="both"/>
        <w:rPr>
          <w:rFonts w:ascii="Calibri" w:hAnsi="Calibri"/>
          <w:sz w:val="22"/>
        </w:rPr>
      </w:pPr>
      <w:r>
        <w:rPr>
          <w:rFonts w:ascii="Calibri" w:hAnsi="Calibri"/>
          <w:sz w:val="22"/>
        </w:rPr>
        <w:t>There are also density bonus payments of $3,000 for each residential unit issued a building permit. To be eligible for these incentives the Overlay Districts need to allow mixed-use development and densities of 20 units per acre for apartment buildings, 12 units per acre for two and three-family homes, and at least eight units per acre for single-family homes. Communities with populations of less than 10,000 residents are eligible for a waiver of these density requirements, however significant hardship must be demonstrated.  The Zoning Districts would also encourage housing development on vacant infill lots and in underutilized nonresidential buildings.  The Task Force emphasizes that Planning Boards, which would enact the Zoning Districts, would be “able to ensure that what is built in the District is compatible with and reflects the character of the immediate neighborhood.”</w:t>
      </w:r>
      <w:r>
        <w:rPr>
          <w:rStyle w:val="FootnoteReference"/>
          <w:rFonts w:ascii="Calibri" w:eastAsiaTheme="majorEastAsia" w:hAnsi="Calibri"/>
          <w:sz w:val="22"/>
        </w:rPr>
        <w:footnoteReference w:id="49"/>
      </w:r>
      <w:r>
        <w:rPr>
          <w:rFonts w:ascii="Calibri" w:hAnsi="Calibri"/>
          <w:sz w:val="22"/>
        </w:rPr>
        <w:t xml:space="preserve"> </w:t>
      </w:r>
    </w:p>
    <w:p w14:paraId="4AF97F4E" w14:textId="77777777" w:rsidR="00DA633B" w:rsidRDefault="00DA633B" w:rsidP="008D43B3">
      <w:pPr>
        <w:jc w:val="both"/>
        <w:rPr>
          <w:rFonts w:ascii="Calibri" w:hAnsi="Calibri"/>
          <w:sz w:val="22"/>
        </w:rPr>
      </w:pPr>
    </w:p>
    <w:p w14:paraId="6095BBB6" w14:textId="77777777" w:rsidR="00DA633B" w:rsidRDefault="00DA633B" w:rsidP="008D43B3">
      <w:pPr>
        <w:jc w:val="both"/>
        <w:rPr>
          <w:rFonts w:ascii="Calibri" w:hAnsi="Calibri"/>
          <w:sz w:val="22"/>
        </w:rPr>
      </w:pPr>
      <w:r>
        <w:rPr>
          <w:rFonts w:ascii="Calibri" w:hAnsi="Calibri"/>
          <w:sz w:val="22"/>
        </w:rPr>
        <w:t>The principal benefits of 40R include:</w:t>
      </w:r>
    </w:p>
    <w:p w14:paraId="6B4F0FEE" w14:textId="77777777" w:rsidR="00DA633B" w:rsidRDefault="00DA633B" w:rsidP="008D43B3">
      <w:pPr>
        <w:jc w:val="both"/>
        <w:rPr>
          <w:rFonts w:ascii="Calibri" w:hAnsi="Calibri"/>
          <w:sz w:val="22"/>
        </w:rPr>
      </w:pPr>
    </w:p>
    <w:p w14:paraId="5322FCFE" w14:textId="77777777" w:rsidR="00DA633B" w:rsidRDefault="00DA633B" w:rsidP="005D3FC9">
      <w:pPr>
        <w:numPr>
          <w:ilvl w:val="0"/>
          <w:numId w:val="28"/>
        </w:numPr>
        <w:ind w:left="720"/>
        <w:jc w:val="both"/>
        <w:rPr>
          <w:rFonts w:ascii="Calibri" w:hAnsi="Calibri"/>
          <w:sz w:val="22"/>
        </w:rPr>
      </w:pPr>
      <w:r>
        <w:rPr>
          <w:rFonts w:ascii="Calibri" w:hAnsi="Calibri"/>
          <w:sz w:val="22"/>
        </w:rPr>
        <w:t>Expands a community’s planning efforts;</w:t>
      </w:r>
    </w:p>
    <w:p w14:paraId="00508CE5" w14:textId="77777777" w:rsidR="00DA633B" w:rsidRDefault="00DA633B" w:rsidP="005D3FC9">
      <w:pPr>
        <w:numPr>
          <w:ilvl w:val="0"/>
          <w:numId w:val="28"/>
        </w:numPr>
        <w:ind w:left="720"/>
        <w:jc w:val="both"/>
        <w:rPr>
          <w:rFonts w:ascii="Calibri" w:hAnsi="Calibri"/>
          <w:sz w:val="22"/>
        </w:rPr>
      </w:pPr>
      <w:r>
        <w:rPr>
          <w:rFonts w:ascii="Calibri" w:hAnsi="Calibri"/>
          <w:sz w:val="22"/>
        </w:rPr>
        <w:t>Allows communities to address housing needs;</w:t>
      </w:r>
    </w:p>
    <w:p w14:paraId="2D39E0E5" w14:textId="77777777" w:rsidR="00DA633B" w:rsidRDefault="00DA633B" w:rsidP="005D3FC9">
      <w:pPr>
        <w:numPr>
          <w:ilvl w:val="0"/>
          <w:numId w:val="28"/>
        </w:numPr>
        <w:ind w:left="720"/>
        <w:jc w:val="both"/>
        <w:rPr>
          <w:rFonts w:ascii="Calibri" w:hAnsi="Calibri"/>
          <w:sz w:val="22"/>
        </w:rPr>
      </w:pPr>
      <w:r>
        <w:rPr>
          <w:rFonts w:ascii="Calibri" w:hAnsi="Calibri"/>
          <w:sz w:val="22"/>
        </w:rPr>
        <w:t>Allows communities to direct growth;</w:t>
      </w:r>
    </w:p>
    <w:p w14:paraId="20757169" w14:textId="77777777" w:rsidR="00DA633B" w:rsidRDefault="00DA633B" w:rsidP="005D3FC9">
      <w:pPr>
        <w:numPr>
          <w:ilvl w:val="0"/>
          <w:numId w:val="28"/>
        </w:numPr>
        <w:ind w:left="720"/>
        <w:jc w:val="both"/>
        <w:rPr>
          <w:rFonts w:ascii="Calibri" w:hAnsi="Calibri"/>
          <w:sz w:val="22"/>
        </w:rPr>
      </w:pPr>
      <w:r>
        <w:rPr>
          <w:rFonts w:ascii="Calibri" w:hAnsi="Calibri"/>
          <w:sz w:val="22"/>
        </w:rPr>
        <w:t>Can help communities meet production goals and 10% threshold under Chapter 40B;</w:t>
      </w:r>
    </w:p>
    <w:p w14:paraId="548C7E31" w14:textId="77777777" w:rsidR="00DA633B" w:rsidRDefault="00DA633B" w:rsidP="005D3FC9">
      <w:pPr>
        <w:numPr>
          <w:ilvl w:val="0"/>
          <w:numId w:val="28"/>
        </w:numPr>
        <w:ind w:left="720"/>
        <w:jc w:val="both"/>
        <w:rPr>
          <w:rFonts w:ascii="Calibri" w:hAnsi="Calibri"/>
          <w:sz w:val="22"/>
        </w:rPr>
      </w:pPr>
      <w:r>
        <w:rPr>
          <w:rFonts w:ascii="Calibri" w:hAnsi="Calibri"/>
          <w:sz w:val="22"/>
        </w:rPr>
        <w:t>Can help identify preferred locations for 40B developments; and</w:t>
      </w:r>
    </w:p>
    <w:p w14:paraId="2CD20EB8" w14:textId="77777777" w:rsidR="00DA633B" w:rsidRDefault="00DA633B" w:rsidP="005D3FC9">
      <w:pPr>
        <w:numPr>
          <w:ilvl w:val="0"/>
          <w:numId w:val="28"/>
        </w:numPr>
        <w:ind w:left="720"/>
        <w:jc w:val="both"/>
        <w:rPr>
          <w:rFonts w:ascii="Calibri" w:hAnsi="Calibri"/>
          <w:sz w:val="22"/>
        </w:rPr>
      </w:pPr>
      <w:r>
        <w:rPr>
          <w:rFonts w:ascii="Calibri" w:hAnsi="Calibri"/>
          <w:sz w:val="22"/>
        </w:rPr>
        <w:t>State incentive payments.</w:t>
      </w:r>
    </w:p>
    <w:p w14:paraId="118B786C" w14:textId="77777777" w:rsidR="00DA633B" w:rsidRDefault="00DA633B" w:rsidP="008D43B3">
      <w:pPr>
        <w:jc w:val="both"/>
        <w:rPr>
          <w:rFonts w:ascii="Calibri" w:hAnsi="Calibri"/>
          <w:sz w:val="22"/>
        </w:rPr>
      </w:pPr>
    </w:p>
    <w:p w14:paraId="2E9776F7" w14:textId="77777777" w:rsidR="00DA633B" w:rsidRDefault="00DA633B" w:rsidP="008D43B3">
      <w:pPr>
        <w:jc w:val="both"/>
        <w:rPr>
          <w:rFonts w:ascii="Calibri" w:hAnsi="Calibri"/>
          <w:sz w:val="22"/>
        </w:rPr>
      </w:pPr>
      <w:r>
        <w:rPr>
          <w:rFonts w:ascii="Calibri" w:hAnsi="Calibri"/>
          <w:sz w:val="22"/>
        </w:rPr>
        <w:t>The formal steps involved in creating Overlay Districts are as follows:</w:t>
      </w:r>
    </w:p>
    <w:p w14:paraId="03BBB042" w14:textId="77777777" w:rsidR="00DA633B" w:rsidRDefault="00DA633B" w:rsidP="008D43B3">
      <w:pPr>
        <w:jc w:val="both"/>
        <w:rPr>
          <w:rFonts w:ascii="Calibri" w:hAnsi="Calibri"/>
          <w:sz w:val="22"/>
        </w:rPr>
      </w:pPr>
    </w:p>
    <w:p w14:paraId="5265953D" w14:textId="77777777" w:rsidR="00DA633B" w:rsidRDefault="00DA633B" w:rsidP="005D3FC9">
      <w:pPr>
        <w:numPr>
          <w:ilvl w:val="0"/>
          <w:numId w:val="29"/>
        </w:numPr>
        <w:tabs>
          <w:tab w:val="clear" w:pos="360"/>
          <w:tab w:val="num" w:pos="720"/>
        </w:tabs>
        <w:ind w:left="720"/>
        <w:jc w:val="both"/>
        <w:rPr>
          <w:rFonts w:ascii="Calibri" w:hAnsi="Calibri"/>
          <w:sz w:val="22"/>
        </w:rPr>
      </w:pPr>
      <w:r>
        <w:rPr>
          <w:rFonts w:ascii="Calibri" w:hAnsi="Calibri"/>
          <w:sz w:val="22"/>
        </w:rPr>
        <w:t>The City/Town holds a public hearing as to whether to adopt an Overlay District per the requirements of 40R;</w:t>
      </w:r>
    </w:p>
    <w:p w14:paraId="1E1B2705" w14:textId="77777777" w:rsidR="00DA633B" w:rsidRDefault="00DA633B" w:rsidP="005D3FC9">
      <w:pPr>
        <w:numPr>
          <w:ilvl w:val="0"/>
          <w:numId w:val="29"/>
        </w:numPr>
        <w:tabs>
          <w:tab w:val="clear" w:pos="360"/>
          <w:tab w:val="num" w:pos="720"/>
        </w:tabs>
        <w:ind w:left="720"/>
        <w:jc w:val="both"/>
        <w:rPr>
          <w:rFonts w:ascii="Calibri" w:hAnsi="Calibri"/>
          <w:sz w:val="22"/>
        </w:rPr>
      </w:pPr>
      <w:r>
        <w:rPr>
          <w:rFonts w:ascii="Calibri" w:hAnsi="Calibri"/>
          <w:sz w:val="22"/>
        </w:rPr>
        <w:t>The City/Town applies to DHCD prior to adopting the new zoning;</w:t>
      </w:r>
    </w:p>
    <w:p w14:paraId="12B4A6D6" w14:textId="77777777" w:rsidR="00DA633B" w:rsidRDefault="00DA633B" w:rsidP="005D3FC9">
      <w:pPr>
        <w:numPr>
          <w:ilvl w:val="0"/>
          <w:numId w:val="30"/>
        </w:numPr>
        <w:tabs>
          <w:tab w:val="clear" w:pos="360"/>
          <w:tab w:val="num" w:pos="720"/>
          <w:tab w:val="num" w:pos="1440"/>
          <w:tab w:val="num" w:pos="2700"/>
        </w:tabs>
        <w:ind w:left="720"/>
        <w:jc w:val="both"/>
        <w:rPr>
          <w:rFonts w:ascii="Calibri" w:hAnsi="Calibri"/>
          <w:sz w:val="22"/>
        </w:rPr>
      </w:pPr>
      <w:r>
        <w:rPr>
          <w:rFonts w:ascii="Calibri" w:hAnsi="Calibri"/>
          <w:sz w:val="22"/>
        </w:rPr>
        <w:t>DHCD reviews the application and issues a Letter of Eligibility if the new zoning satisfies the requirements of 40R;</w:t>
      </w:r>
    </w:p>
    <w:p w14:paraId="3771262D" w14:textId="77777777" w:rsidR="00DA633B" w:rsidRDefault="00DA633B" w:rsidP="005D3FC9">
      <w:pPr>
        <w:numPr>
          <w:ilvl w:val="0"/>
          <w:numId w:val="30"/>
        </w:numPr>
        <w:tabs>
          <w:tab w:val="clear" w:pos="360"/>
          <w:tab w:val="num" w:pos="720"/>
          <w:tab w:val="num" w:pos="1440"/>
          <w:tab w:val="num" w:pos="2700"/>
        </w:tabs>
        <w:ind w:left="720"/>
        <w:jc w:val="both"/>
        <w:rPr>
          <w:rFonts w:ascii="Calibri" w:hAnsi="Calibri"/>
          <w:sz w:val="22"/>
        </w:rPr>
      </w:pPr>
      <w:r>
        <w:rPr>
          <w:rFonts w:ascii="Calibri" w:hAnsi="Calibri"/>
          <w:sz w:val="22"/>
        </w:rPr>
        <w:lastRenderedPageBreak/>
        <w:t>The City/Town adopts the new zoning through a two-thirds vote of Town Meeting subject to any modifications required by DHCD;</w:t>
      </w:r>
    </w:p>
    <w:p w14:paraId="0AD25C4D" w14:textId="77777777" w:rsidR="00DA633B" w:rsidRDefault="00DA633B" w:rsidP="005D3FC9">
      <w:pPr>
        <w:numPr>
          <w:ilvl w:val="0"/>
          <w:numId w:val="30"/>
        </w:numPr>
        <w:tabs>
          <w:tab w:val="clear" w:pos="360"/>
          <w:tab w:val="num" w:pos="720"/>
          <w:tab w:val="num" w:pos="1440"/>
          <w:tab w:val="num" w:pos="2700"/>
        </w:tabs>
        <w:ind w:left="720"/>
        <w:jc w:val="both"/>
        <w:rPr>
          <w:rFonts w:ascii="Calibri" w:hAnsi="Calibri"/>
          <w:sz w:val="22"/>
        </w:rPr>
      </w:pPr>
      <w:r>
        <w:rPr>
          <w:rFonts w:ascii="Calibri" w:hAnsi="Calibri"/>
          <w:sz w:val="22"/>
        </w:rPr>
        <w:t>The City/Town submits evidence of approval to DHCD upon the adoption of the new zoning; and</w:t>
      </w:r>
    </w:p>
    <w:p w14:paraId="432BA22E" w14:textId="77777777" w:rsidR="00DA633B" w:rsidRDefault="00DA633B" w:rsidP="005D3FC9">
      <w:pPr>
        <w:numPr>
          <w:ilvl w:val="0"/>
          <w:numId w:val="30"/>
        </w:numPr>
        <w:tabs>
          <w:tab w:val="clear" w:pos="360"/>
          <w:tab w:val="num" w:pos="720"/>
          <w:tab w:val="num" w:pos="1440"/>
          <w:tab w:val="num" w:pos="2700"/>
        </w:tabs>
        <w:ind w:left="720"/>
        <w:jc w:val="both"/>
        <w:rPr>
          <w:rFonts w:ascii="Calibri" w:hAnsi="Calibri"/>
          <w:sz w:val="22"/>
        </w:rPr>
      </w:pPr>
      <w:r>
        <w:rPr>
          <w:rFonts w:ascii="Calibri" w:hAnsi="Calibri"/>
          <w:sz w:val="22"/>
        </w:rPr>
        <w:t>DHCD issues a letter of approval, which indicates the number of incentive units and the amount of payment.</w:t>
      </w:r>
    </w:p>
    <w:p w14:paraId="7BF99EFE" w14:textId="77777777" w:rsidR="00DA633B" w:rsidRDefault="00DA633B" w:rsidP="008D43B3">
      <w:pPr>
        <w:jc w:val="both"/>
        <w:rPr>
          <w:rFonts w:ascii="Calibri" w:hAnsi="Calibri"/>
          <w:i/>
          <w:sz w:val="22"/>
        </w:rPr>
      </w:pPr>
    </w:p>
    <w:p w14:paraId="32555FC6" w14:textId="77777777" w:rsidR="00DA633B" w:rsidRPr="008D43B3" w:rsidRDefault="00DA633B" w:rsidP="00DA633B">
      <w:pPr>
        <w:pStyle w:val="BodyText3"/>
        <w:jc w:val="both"/>
        <w:rPr>
          <w:rFonts w:ascii="Calibri" w:hAnsi="Calibri"/>
          <w:iCs/>
          <w:sz w:val="22"/>
          <w:szCs w:val="22"/>
        </w:rPr>
      </w:pPr>
      <w:r w:rsidRPr="008D43B3">
        <w:rPr>
          <w:rFonts w:ascii="Calibri" w:hAnsi="Calibri"/>
          <w:iCs/>
          <w:sz w:val="22"/>
          <w:szCs w:val="22"/>
        </w:rPr>
        <w:t>The state also enacted Chapter 40S under the Massachusetts General Law that provides additional benefits through insurance to towns that build affordable housing under 40R that they would not be saddled with the extra school costs caused by school-aged children who might move into this new housing.  This funding was initially included as part of 40R but was eliminated during the final stages of approval.  In effect, 40S is a complimentary insurance plan for communities concerned about the impacts of a possible net increase in school costs due to new housing development.</w:t>
      </w:r>
    </w:p>
    <w:p w14:paraId="138342F0" w14:textId="5D15C3A4" w:rsidR="00DA633B" w:rsidRPr="00C54FC9" w:rsidRDefault="000E71B8" w:rsidP="00DA633B">
      <w:pPr>
        <w:ind w:right="-720"/>
        <w:jc w:val="both"/>
        <w:rPr>
          <w:rFonts w:ascii="Calibri" w:hAnsi="Calibri" w:cs="Lucida Sans Unicode"/>
          <w:b/>
          <w:bCs/>
          <w:iCs/>
        </w:rPr>
      </w:pPr>
      <w:r>
        <w:rPr>
          <w:rFonts w:ascii="Calibri" w:hAnsi="Calibri" w:cs="Lucida Sans Unicode"/>
          <w:b/>
          <w:bCs/>
          <w:iCs/>
        </w:rPr>
        <w:t>D</w:t>
      </w:r>
      <w:r w:rsidR="00DA633B" w:rsidRPr="00C54FC9">
        <w:rPr>
          <w:rFonts w:ascii="Calibri" w:hAnsi="Calibri" w:cs="Lucida Sans Unicode"/>
          <w:b/>
          <w:bCs/>
          <w:iCs/>
        </w:rPr>
        <w:t>.</w:t>
      </w:r>
      <w:r w:rsidR="00DA633B" w:rsidRPr="00C54FC9">
        <w:rPr>
          <w:rFonts w:ascii="Calibri" w:hAnsi="Calibri" w:cs="Lucida Sans Unicode"/>
          <w:b/>
          <w:bCs/>
          <w:iCs/>
        </w:rPr>
        <w:tab/>
      </w:r>
      <w:r w:rsidR="00DA633B" w:rsidRPr="00C54FC9">
        <w:rPr>
          <w:rFonts w:ascii="Calibri" w:hAnsi="Calibri" w:cs="Lucida Sans Unicode"/>
          <w:b/>
          <w:bCs/>
          <w:iCs/>
          <w:u w:val="single"/>
        </w:rPr>
        <w:t>MassWorks Infrastructure Program</w:t>
      </w:r>
    </w:p>
    <w:p w14:paraId="2DABB41A" w14:textId="77777777" w:rsidR="00DA633B" w:rsidRDefault="00DA633B" w:rsidP="00B8599C">
      <w:pPr>
        <w:pStyle w:val="ecxmsonormal"/>
        <w:spacing w:before="0" w:beforeAutospacing="0" w:after="0" w:afterAutospacing="0"/>
        <w:jc w:val="both"/>
        <w:rPr>
          <w:rFonts w:ascii="Calibri" w:hAnsi="Calibri" w:cs="Lucida Sans Unicode"/>
          <w:sz w:val="22"/>
          <w:lang w:val="en"/>
        </w:rPr>
      </w:pPr>
      <w:r>
        <w:rPr>
          <w:rFonts w:ascii="Calibri" w:hAnsi="Calibri" w:cs="Lucida Sans Unicode"/>
          <w:sz w:val="22"/>
          <w:lang w:val="en"/>
        </w:rPr>
        <w:t>The MassWorks Infrastructure Program provides a one-stop shop for municipalities and other eligible public entities seeking public infrastructure funding to support economic development and job creation. The Program represents an administrative consolidation of six former grant programs:</w:t>
      </w:r>
    </w:p>
    <w:p w14:paraId="2F2904CA" w14:textId="77777777" w:rsidR="00DA633B" w:rsidRDefault="00DA633B" w:rsidP="00B8599C">
      <w:pPr>
        <w:tabs>
          <w:tab w:val="num" w:pos="720"/>
        </w:tabs>
        <w:ind w:left="720" w:hanging="360"/>
        <w:jc w:val="both"/>
        <w:rPr>
          <w:rFonts w:ascii="Calibri" w:eastAsia="Arial Unicode MS" w:hAnsi="Calibri" w:cs="Lucida Sans Unicode"/>
          <w:sz w:val="22"/>
        </w:rPr>
      </w:pPr>
    </w:p>
    <w:p w14:paraId="53A98DD3"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Public Works Economic Development (PWED)</w:t>
      </w:r>
    </w:p>
    <w:p w14:paraId="2AB2CCB1"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Community Development Action Grant (CDAG)</w:t>
      </w:r>
    </w:p>
    <w:p w14:paraId="28637180"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Growth Districts Initiative (GDI) Grant Program</w:t>
      </w:r>
    </w:p>
    <w:p w14:paraId="0A06151E"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Massachusetts Opportunity Relocation and Expansion Program (MORE)</w:t>
      </w:r>
    </w:p>
    <w:p w14:paraId="2664DCAB"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Small Town Rural Assistance Program (STRAP)</w:t>
      </w:r>
    </w:p>
    <w:p w14:paraId="06724B84" w14:textId="77777777" w:rsidR="00DA633B" w:rsidRDefault="00DA633B" w:rsidP="005D3FC9">
      <w:pPr>
        <w:numPr>
          <w:ilvl w:val="0"/>
          <w:numId w:val="32"/>
        </w:numPr>
        <w:ind w:left="720"/>
        <w:jc w:val="both"/>
        <w:rPr>
          <w:rFonts w:ascii="Calibri" w:hAnsi="Calibri" w:cs="Lucida Sans Unicode"/>
          <w:iCs/>
          <w:sz w:val="22"/>
        </w:rPr>
      </w:pPr>
      <w:r>
        <w:rPr>
          <w:rFonts w:ascii="Calibri" w:hAnsi="Calibri" w:cs="Lucida Sans Unicode"/>
          <w:iCs/>
          <w:sz w:val="22"/>
        </w:rPr>
        <w:t>Transit Oriented Development (TOD) Program</w:t>
      </w:r>
    </w:p>
    <w:p w14:paraId="69C7ADB0" w14:textId="77777777" w:rsidR="00DA633B" w:rsidRDefault="00DA633B" w:rsidP="00B8599C">
      <w:pPr>
        <w:pStyle w:val="ecxmsonormal"/>
        <w:spacing w:before="0" w:beforeAutospacing="0" w:after="0" w:afterAutospacing="0"/>
        <w:jc w:val="both"/>
        <w:rPr>
          <w:rFonts w:ascii="Calibri" w:hAnsi="Calibri" w:cs="Lucida Sans Unicode"/>
          <w:sz w:val="22"/>
          <w:lang w:val="en"/>
        </w:rPr>
      </w:pPr>
    </w:p>
    <w:p w14:paraId="2C5F359F" w14:textId="77777777" w:rsidR="00DA633B" w:rsidRDefault="00DA633B" w:rsidP="00B8599C">
      <w:pPr>
        <w:pStyle w:val="ecxmsonormal"/>
        <w:spacing w:before="0" w:beforeAutospacing="0" w:after="0" w:afterAutospacing="0"/>
        <w:jc w:val="both"/>
        <w:rPr>
          <w:rFonts w:ascii="Calibri" w:hAnsi="Calibri" w:cs="Lucida Sans Unicode"/>
          <w:sz w:val="22"/>
          <w:lang w:val="en"/>
        </w:rPr>
      </w:pPr>
      <w:r>
        <w:rPr>
          <w:rFonts w:ascii="Calibri" w:hAnsi="Calibri" w:cs="Lucida Sans Unicode"/>
          <w:sz w:val="22"/>
          <w:lang w:val="en"/>
        </w:rPr>
        <w:t>The MassWorks Infrastructure Program provides a one-stop shop for municipalities and other eligible public entities seeking public infrastructure funding to support:</w:t>
      </w:r>
    </w:p>
    <w:p w14:paraId="5B98D1D4" w14:textId="77777777" w:rsidR="00DA633B" w:rsidRDefault="00DA633B" w:rsidP="00B8599C">
      <w:pPr>
        <w:pStyle w:val="ecxmsonormal"/>
        <w:spacing w:before="0" w:beforeAutospacing="0" w:after="0" w:afterAutospacing="0"/>
        <w:jc w:val="both"/>
        <w:rPr>
          <w:rFonts w:ascii="Calibri" w:hAnsi="Calibri" w:cs="Lucida Sans Unicode"/>
          <w:sz w:val="22"/>
        </w:rPr>
      </w:pPr>
    </w:p>
    <w:p w14:paraId="10B68D48" w14:textId="77777777" w:rsidR="00DA633B" w:rsidRDefault="00DA633B" w:rsidP="005D3FC9">
      <w:pPr>
        <w:numPr>
          <w:ilvl w:val="0"/>
          <w:numId w:val="32"/>
        </w:numPr>
        <w:ind w:left="720"/>
        <w:jc w:val="both"/>
        <w:rPr>
          <w:rFonts w:ascii="Calibri" w:hAnsi="Calibri" w:cs="Lucida Sans Unicode"/>
          <w:sz w:val="22"/>
        </w:rPr>
      </w:pPr>
      <w:r>
        <w:rPr>
          <w:rFonts w:ascii="Calibri" w:hAnsi="Calibri" w:cs="Lucida Sans Unicode"/>
          <w:sz w:val="22"/>
          <w:lang w:val="en"/>
        </w:rPr>
        <w:t>Economic development and job creation and retention</w:t>
      </w:r>
    </w:p>
    <w:p w14:paraId="4656BFC6" w14:textId="77777777" w:rsidR="00DA633B" w:rsidRDefault="00DA633B" w:rsidP="005D3FC9">
      <w:pPr>
        <w:numPr>
          <w:ilvl w:val="0"/>
          <w:numId w:val="32"/>
        </w:numPr>
        <w:ind w:left="720"/>
        <w:jc w:val="both"/>
        <w:rPr>
          <w:rFonts w:ascii="Calibri" w:hAnsi="Calibri" w:cs="Lucida Sans Unicode"/>
          <w:sz w:val="22"/>
        </w:rPr>
      </w:pPr>
      <w:r>
        <w:rPr>
          <w:rFonts w:ascii="Calibri" w:hAnsi="Calibri" w:cs="Lucida Sans Unicode"/>
          <w:sz w:val="22"/>
          <w:lang w:val="en"/>
        </w:rPr>
        <w:t>Housing development at density of at least 4 units to the acre (both market and affordable units)</w:t>
      </w:r>
    </w:p>
    <w:p w14:paraId="0907E6C0" w14:textId="77777777" w:rsidR="00DA633B" w:rsidRDefault="00DA633B" w:rsidP="005D3FC9">
      <w:pPr>
        <w:numPr>
          <w:ilvl w:val="0"/>
          <w:numId w:val="32"/>
        </w:numPr>
        <w:ind w:left="720"/>
        <w:jc w:val="both"/>
        <w:rPr>
          <w:rFonts w:ascii="Calibri" w:hAnsi="Calibri" w:cs="Lucida Sans Unicode"/>
          <w:sz w:val="22"/>
        </w:rPr>
      </w:pPr>
      <w:r>
        <w:rPr>
          <w:rFonts w:ascii="Calibri" w:hAnsi="Calibri" w:cs="Lucida Sans Unicode"/>
          <w:sz w:val="22"/>
          <w:lang w:val="en"/>
        </w:rPr>
        <w:t>Transportation improvements to enhancing safety in small, rural communities</w:t>
      </w:r>
    </w:p>
    <w:p w14:paraId="0F2C02BC" w14:textId="77777777" w:rsidR="00DA633B" w:rsidRDefault="00DA633B" w:rsidP="00B8599C">
      <w:pPr>
        <w:pStyle w:val="ecxmsonormal"/>
        <w:spacing w:before="0" w:beforeAutospacing="0" w:after="0" w:afterAutospacing="0"/>
        <w:jc w:val="both"/>
        <w:rPr>
          <w:rFonts w:ascii="Calibri" w:hAnsi="Calibri" w:cs="Lucida Sans Unicode"/>
          <w:sz w:val="22"/>
          <w:lang w:val="en"/>
        </w:rPr>
      </w:pPr>
    </w:p>
    <w:p w14:paraId="26719581" w14:textId="77777777" w:rsidR="00DA633B" w:rsidRDefault="00DA633B" w:rsidP="00B8599C">
      <w:pPr>
        <w:pStyle w:val="ecxmsonormal"/>
        <w:spacing w:before="0" w:beforeAutospacing="0" w:after="0" w:afterAutospacing="0"/>
        <w:jc w:val="both"/>
        <w:rPr>
          <w:rFonts w:ascii="Calibri" w:hAnsi="Calibri" w:cs="Lucida Sans Unicode"/>
          <w:sz w:val="22"/>
          <w:lang w:val="en"/>
        </w:rPr>
      </w:pPr>
      <w:r>
        <w:rPr>
          <w:rFonts w:ascii="Calibri" w:hAnsi="Calibri" w:cs="Lucida Sans Unicode"/>
          <w:sz w:val="22"/>
          <w:lang w:val="en"/>
        </w:rPr>
        <w:t>The MassWorks Infrastructure Program is administered by the Executive Office of Housing and Economic Development, in cooperation with the Department of Transportation and Executive Office for Administration &amp; Finance.</w:t>
      </w:r>
    </w:p>
    <w:p w14:paraId="6E8139F8" w14:textId="77777777" w:rsidR="00DA633B" w:rsidRDefault="00DA633B" w:rsidP="00B8599C">
      <w:pPr>
        <w:rPr>
          <w:rFonts w:ascii="Calibri" w:hAnsi="Calibri"/>
          <w:sz w:val="22"/>
        </w:rPr>
      </w:pPr>
    </w:p>
    <w:p w14:paraId="6E99E390" w14:textId="77777777" w:rsidR="00DA633B" w:rsidRDefault="00DA633B" w:rsidP="00B8599C">
      <w:pPr>
        <w:rPr>
          <w:rFonts w:ascii="Calibri" w:hAnsi="Calibri"/>
          <w:sz w:val="22"/>
        </w:rPr>
      </w:pPr>
    </w:p>
    <w:p w14:paraId="20BC10E9" w14:textId="77777777" w:rsidR="00DA633B" w:rsidRPr="00C54FC9" w:rsidRDefault="00DA633B" w:rsidP="00C54FC9">
      <w:pPr>
        <w:pStyle w:val="Heading2"/>
        <w:numPr>
          <w:ilvl w:val="0"/>
          <w:numId w:val="0"/>
        </w:numPr>
        <w:shd w:val="clear" w:color="auto" w:fill="B6DDE8" w:themeFill="accent5" w:themeFillTint="66"/>
        <w:tabs>
          <w:tab w:val="num" w:pos="720"/>
        </w:tabs>
        <w:rPr>
          <w:rFonts w:ascii="Calibri" w:hAnsi="Calibri"/>
          <w:sz w:val="28"/>
          <w:szCs w:val="28"/>
        </w:rPr>
      </w:pPr>
      <w:r w:rsidRPr="00C54FC9">
        <w:rPr>
          <w:rFonts w:ascii="Calibri" w:hAnsi="Calibri"/>
          <w:sz w:val="28"/>
          <w:szCs w:val="28"/>
        </w:rPr>
        <w:t>II.</w:t>
      </w:r>
      <w:r w:rsidRPr="00C54FC9">
        <w:rPr>
          <w:rFonts w:ascii="Calibri" w:hAnsi="Calibri"/>
          <w:sz w:val="28"/>
          <w:szCs w:val="28"/>
        </w:rPr>
        <w:tab/>
        <w:t>SUMMARY OF HOUSING RESOURCES</w:t>
      </w:r>
    </w:p>
    <w:p w14:paraId="69E18F63" w14:textId="684F317F" w:rsidR="00DA633B" w:rsidRDefault="00DA633B" w:rsidP="00B8599C">
      <w:pPr>
        <w:jc w:val="both"/>
        <w:rPr>
          <w:rFonts w:ascii="Calibri" w:hAnsi="Calibri"/>
          <w:sz w:val="22"/>
        </w:rPr>
      </w:pPr>
      <w:r>
        <w:rPr>
          <w:rFonts w:ascii="Calibri" w:hAnsi="Calibri"/>
          <w:sz w:val="22"/>
        </w:rPr>
        <w:t xml:space="preserve">Those programs that may be most appropriate to development activity in </w:t>
      </w:r>
      <w:r w:rsidR="000E71B8">
        <w:rPr>
          <w:rFonts w:ascii="Calibri" w:hAnsi="Calibri"/>
          <w:sz w:val="22"/>
        </w:rPr>
        <w:t>Needham</w:t>
      </w:r>
      <w:r>
        <w:rPr>
          <w:rFonts w:ascii="Calibri" w:hAnsi="Calibri"/>
          <w:sz w:val="22"/>
        </w:rPr>
        <w:t xml:space="preserve"> are described below.</w:t>
      </w:r>
      <w:r>
        <w:rPr>
          <w:rStyle w:val="FootnoteReference"/>
          <w:rFonts w:ascii="Calibri" w:eastAsiaTheme="majorEastAsia" w:hAnsi="Calibri"/>
          <w:sz w:val="22"/>
        </w:rPr>
        <w:footnoteReference w:id="50"/>
      </w:r>
    </w:p>
    <w:p w14:paraId="0D46B384" w14:textId="77777777" w:rsidR="00DA633B" w:rsidRDefault="00DA633B" w:rsidP="00B8599C">
      <w:pPr>
        <w:jc w:val="both"/>
        <w:rPr>
          <w:rFonts w:ascii="Calibri" w:hAnsi="Calibri"/>
          <w:sz w:val="22"/>
        </w:rPr>
      </w:pPr>
    </w:p>
    <w:p w14:paraId="6C618DAA" w14:textId="77777777" w:rsidR="00DA633B" w:rsidRPr="00C54FC9" w:rsidRDefault="00DA633B" w:rsidP="00B8599C">
      <w:pPr>
        <w:jc w:val="both"/>
        <w:rPr>
          <w:rFonts w:ascii="Calibri" w:hAnsi="Calibri"/>
          <w:b/>
          <w:bCs/>
        </w:rPr>
      </w:pPr>
      <w:r w:rsidRPr="00C54FC9">
        <w:rPr>
          <w:rFonts w:ascii="Calibri" w:hAnsi="Calibri"/>
          <w:b/>
          <w:bCs/>
        </w:rPr>
        <w:t>A.</w:t>
      </w:r>
      <w:r w:rsidRPr="00C54FC9">
        <w:rPr>
          <w:rFonts w:ascii="Calibri" w:hAnsi="Calibri"/>
          <w:b/>
          <w:bCs/>
        </w:rPr>
        <w:tab/>
      </w:r>
      <w:r w:rsidRPr="00C54FC9">
        <w:rPr>
          <w:rFonts w:ascii="Calibri" w:hAnsi="Calibri"/>
          <w:b/>
          <w:bCs/>
          <w:u w:val="single"/>
        </w:rPr>
        <w:t>Technical Assistance</w:t>
      </w:r>
      <w:r w:rsidRPr="00C54FC9">
        <w:rPr>
          <w:rFonts w:ascii="Calibri" w:hAnsi="Calibri"/>
          <w:b/>
          <w:bCs/>
        </w:rPr>
        <w:t xml:space="preserve"> </w:t>
      </w:r>
    </w:p>
    <w:p w14:paraId="7584B43B" w14:textId="77777777" w:rsidR="00DA633B" w:rsidRPr="006D0B5D" w:rsidRDefault="00DA633B" w:rsidP="00B8599C">
      <w:pPr>
        <w:rPr>
          <w:rFonts w:ascii="Calibri" w:hAnsi="Calibri" w:cs="Calibri"/>
          <w:b/>
          <w:bCs/>
          <w:i/>
          <w:iCs/>
          <w:sz w:val="22"/>
          <w:szCs w:val="22"/>
        </w:rPr>
      </w:pPr>
      <w:r>
        <w:rPr>
          <w:rFonts w:ascii="Calibri" w:hAnsi="Calibri" w:cs="Lucida Sans Unicode"/>
          <w:b/>
          <w:bCs/>
          <w:i/>
          <w:iCs/>
          <w:sz w:val="22"/>
        </w:rPr>
        <w:t>1.</w:t>
      </w:r>
      <w:r>
        <w:rPr>
          <w:rFonts w:ascii="Calibri" w:hAnsi="Calibri" w:cs="Lucida Sans Unicode"/>
          <w:b/>
          <w:bCs/>
          <w:i/>
          <w:iCs/>
          <w:sz w:val="22"/>
        </w:rPr>
        <w:tab/>
      </w:r>
      <w:r w:rsidRPr="006D0B5D">
        <w:rPr>
          <w:rFonts w:ascii="Calibri" w:hAnsi="Calibri" w:cs="Calibri"/>
          <w:b/>
          <w:bCs/>
          <w:i/>
          <w:iCs/>
          <w:sz w:val="22"/>
          <w:szCs w:val="22"/>
        </w:rPr>
        <w:t>Community Planning Grant Program</w:t>
      </w:r>
    </w:p>
    <w:p w14:paraId="7F0336D6" w14:textId="77777777" w:rsidR="00DA633B" w:rsidRPr="006D0B5D" w:rsidRDefault="00DA633B" w:rsidP="00B8599C">
      <w:pPr>
        <w:jc w:val="both"/>
        <w:rPr>
          <w:rFonts w:ascii="Calibri" w:hAnsi="Calibri" w:cs="Calibri"/>
          <w:sz w:val="22"/>
          <w:szCs w:val="22"/>
        </w:rPr>
      </w:pPr>
      <w:r w:rsidRPr="006D0B5D">
        <w:rPr>
          <w:rFonts w:ascii="Calibri" w:hAnsi="Calibri" w:cs="Calibri"/>
          <w:sz w:val="22"/>
          <w:szCs w:val="22"/>
        </w:rPr>
        <w:lastRenderedPageBreak/>
        <w:t>The state has introduced the Community Planning Grant Program that offers grant funding for a variety of activities related to land use including development.  Activities may include the development of a Master Plan, Housing Production Plan, zoning review and updates, Urban Renewal Plans, Downtown Plans, Parking Management Plans, Feasibility Studies, or other Strategic Plans.  Grants will likely be in the $25,000 to $75,000 range.  Communities apply for this funding through the Community One Stop for Growth Application.</w:t>
      </w:r>
    </w:p>
    <w:p w14:paraId="395BB63D" w14:textId="77777777" w:rsidR="00DA633B" w:rsidRDefault="00DA633B" w:rsidP="00B8599C">
      <w:pPr>
        <w:pStyle w:val="BodyText3"/>
        <w:jc w:val="both"/>
        <w:rPr>
          <w:rFonts w:ascii="Calibri" w:hAnsi="Calibri" w:cs="Lucida Sans Unicode"/>
          <w:lang w:bidi="he-IL"/>
        </w:rPr>
      </w:pPr>
    </w:p>
    <w:p w14:paraId="0E6B1DCD" w14:textId="77777777" w:rsidR="00DA633B" w:rsidRDefault="00DA633B" w:rsidP="00B8599C">
      <w:pPr>
        <w:jc w:val="both"/>
        <w:rPr>
          <w:rFonts w:ascii="Calibri" w:hAnsi="Calibri"/>
          <w:b/>
          <w:bCs/>
          <w:i/>
          <w:iCs/>
          <w:sz w:val="22"/>
        </w:rPr>
      </w:pPr>
      <w:r>
        <w:rPr>
          <w:rFonts w:ascii="Calibri" w:hAnsi="Calibri"/>
          <w:b/>
          <w:bCs/>
          <w:i/>
          <w:iCs/>
          <w:sz w:val="22"/>
        </w:rPr>
        <w:t>2.</w:t>
      </w:r>
      <w:r>
        <w:rPr>
          <w:rFonts w:ascii="Calibri" w:hAnsi="Calibri"/>
          <w:b/>
          <w:bCs/>
          <w:i/>
          <w:iCs/>
          <w:sz w:val="22"/>
        </w:rPr>
        <w:tab/>
        <w:t>Peer-to-Peer Technical Assistance</w:t>
      </w:r>
    </w:p>
    <w:p w14:paraId="3E62FA92" w14:textId="77777777" w:rsidR="00DA633B" w:rsidRPr="00B8599C" w:rsidRDefault="00DA633B" w:rsidP="00B8599C">
      <w:pPr>
        <w:pStyle w:val="BodyText2"/>
        <w:spacing w:after="0" w:line="240" w:lineRule="auto"/>
        <w:jc w:val="both"/>
        <w:rPr>
          <w:rFonts w:ascii="Calibri" w:hAnsi="Calibri"/>
          <w:sz w:val="22"/>
          <w:szCs w:val="22"/>
        </w:rPr>
      </w:pPr>
      <w:r w:rsidRPr="00B8599C">
        <w:rPr>
          <w:rFonts w:ascii="Calibri" w:hAnsi="Calibri"/>
          <w:sz w:val="22"/>
          <w:szCs w:val="22"/>
        </w:rPr>
        <w:t>This state program utilizes the expertise and experience of local officials from one community to provide assistance to officials in another comparable community to share skills and knowledge on short-term problem solving or technical assistance projects related to community development and capacity building.  Funding is provided through the Community Development Block Grant Program and is limited to grants of no more than $1,000, providing up to 30 hours of technical assistance.</w:t>
      </w:r>
    </w:p>
    <w:p w14:paraId="7633763F" w14:textId="77777777" w:rsidR="00DA633B" w:rsidRDefault="00DA633B" w:rsidP="00B8599C">
      <w:pPr>
        <w:jc w:val="both"/>
        <w:rPr>
          <w:rFonts w:ascii="Calibri" w:hAnsi="Calibri"/>
          <w:sz w:val="22"/>
        </w:rPr>
      </w:pPr>
    </w:p>
    <w:p w14:paraId="2F4C4C78" w14:textId="77777777" w:rsidR="00DA633B" w:rsidRDefault="00DA633B" w:rsidP="00B8599C">
      <w:pPr>
        <w:jc w:val="both"/>
        <w:rPr>
          <w:rFonts w:ascii="Calibri" w:hAnsi="Calibri"/>
          <w:sz w:val="22"/>
        </w:rPr>
      </w:pPr>
      <w:r>
        <w:rPr>
          <w:rFonts w:ascii="Calibri" w:hAnsi="Calibri"/>
          <w:sz w:val="22"/>
        </w:rPr>
        <w:t>Applications are accepted on a continuous basis, but funding is limited.  To apply, a municipality must provide DHCD with a brief written description of the problem or issue, the technical assistance needed and documentation of a vote of the Board of Selectmen or letter from the Town Administrator supporting the request for a peer.  Communities may propose a local official from another community to serve as the peer or ask DHCD for a referral.  If DHCD approves the request and once the peer is recruited, DHCD will enter into a contract for services with the municipality.  When the work is completed to the municipality’s satisfaction, the Town must prepare a final report, submit it to DHCD, and request reimbursement for the peer.</w:t>
      </w:r>
    </w:p>
    <w:p w14:paraId="1D1E5B8E" w14:textId="77777777" w:rsidR="00DA633B" w:rsidRDefault="00DA633B" w:rsidP="00B8599C">
      <w:pPr>
        <w:jc w:val="both"/>
        <w:rPr>
          <w:rFonts w:ascii="Calibri" w:hAnsi="Calibri"/>
          <w:sz w:val="22"/>
        </w:rPr>
      </w:pPr>
    </w:p>
    <w:p w14:paraId="30AB26C3" w14:textId="77777777" w:rsidR="00DA633B" w:rsidRDefault="00DA633B" w:rsidP="00B8599C">
      <w:pPr>
        <w:jc w:val="both"/>
        <w:rPr>
          <w:rFonts w:ascii="Calibri" w:hAnsi="Calibri"/>
          <w:b/>
          <w:bCs/>
          <w:i/>
          <w:iCs/>
          <w:sz w:val="22"/>
        </w:rPr>
      </w:pPr>
      <w:r>
        <w:rPr>
          <w:rFonts w:ascii="Calibri" w:hAnsi="Calibri"/>
          <w:b/>
          <w:bCs/>
          <w:i/>
          <w:iCs/>
          <w:sz w:val="22"/>
        </w:rPr>
        <w:t>3.</w:t>
      </w:r>
      <w:r>
        <w:rPr>
          <w:rFonts w:ascii="Calibri" w:hAnsi="Calibri"/>
          <w:b/>
          <w:bCs/>
          <w:i/>
          <w:iCs/>
          <w:sz w:val="22"/>
        </w:rPr>
        <w:tab/>
        <w:t>MHP Intensive Community Support Team</w:t>
      </w:r>
    </w:p>
    <w:p w14:paraId="30FAC7F4" w14:textId="77777777" w:rsidR="00DA633B" w:rsidRDefault="00DA633B" w:rsidP="00B8599C">
      <w:pPr>
        <w:pStyle w:val="BodyText2"/>
        <w:spacing w:after="0" w:line="240" w:lineRule="auto"/>
        <w:jc w:val="both"/>
        <w:rPr>
          <w:rFonts w:ascii="Calibri" w:hAnsi="Calibri"/>
        </w:rPr>
      </w:pPr>
      <w:r>
        <w:rPr>
          <w:rFonts w:ascii="Calibri" w:hAnsi="Calibri"/>
        </w:rPr>
        <w:t>The Massachusetts Housing Partnership Fund is a quasi-public agency that offers a wide range of technical and financial resources to support affordable housing.  The Intensive Community Support Team provides sustained, in-depth assistance to support the development of affordable housing.  Focusing on housing production, the Team helps local advocates move a project from the conceptual phase through construction, bringing expertise and shared lessons from other parts of the state.  The team can also provide guidance on project finance.  Those communities, which are interested in this initiative, should contact the MHP Fund directly for more information.</w:t>
      </w:r>
    </w:p>
    <w:p w14:paraId="1FD5AF90" w14:textId="77777777" w:rsidR="00DA633B" w:rsidRDefault="00DA633B" w:rsidP="00B8599C">
      <w:pPr>
        <w:pStyle w:val="BodyText2"/>
        <w:spacing w:after="0" w:line="240" w:lineRule="auto"/>
        <w:jc w:val="both"/>
        <w:rPr>
          <w:rFonts w:ascii="Calibri" w:hAnsi="Calibri"/>
        </w:rPr>
      </w:pPr>
    </w:p>
    <w:p w14:paraId="63BCEB92" w14:textId="77777777" w:rsidR="00DA633B" w:rsidRDefault="00DA633B" w:rsidP="00B8599C">
      <w:pPr>
        <w:jc w:val="both"/>
        <w:rPr>
          <w:rFonts w:ascii="Calibri" w:hAnsi="Calibri"/>
          <w:b/>
          <w:bCs/>
          <w:i/>
          <w:iCs/>
          <w:sz w:val="22"/>
        </w:rPr>
      </w:pPr>
      <w:r>
        <w:rPr>
          <w:rFonts w:ascii="Calibri" w:hAnsi="Calibri"/>
          <w:b/>
          <w:bCs/>
          <w:i/>
          <w:iCs/>
          <w:sz w:val="22"/>
        </w:rPr>
        <w:t>4.</w:t>
      </w:r>
      <w:r>
        <w:rPr>
          <w:rFonts w:ascii="Calibri" w:hAnsi="Calibri"/>
          <w:b/>
          <w:bCs/>
          <w:i/>
          <w:iCs/>
          <w:sz w:val="22"/>
        </w:rPr>
        <w:tab/>
        <w:t>MHP Chapter 40B Technical Assistance Program</w:t>
      </w:r>
    </w:p>
    <w:p w14:paraId="61A62C15" w14:textId="77777777" w:rsidR="00DA633B" w:rsidRDefault="00DA633B" w:rsidP="00B8599C">
      <w:pPr>
        <w:pStyle w:val="BodyText2"/>
        <w:spacing w:after="0" w:line="240" w:lineRule="auto"/>
        <w:jc w:val="both"/>
        <w:rPr>
          <w:rFonts w:ascii="Calibri" w:hAnsi="Calibri"/>
        </w:rPr>
      </w:pPr>
      <w:r>
        <w:rPr>
          <w:rFonts w:ascii="Calibri" w:hAnsi="Calibri"/>
        </w:rPr>
        <w:t>Working with DHCD, MHP launched this program in 1999 to provide technical assistance to those communities needing assistance in reviewing comprehensive permit applications.  The Program offers up to $10,000 in third-party technical assistance to enable communities to hire consultants to help them review Chapter 40B applications.  Those communities that are interested in this initiative should contact the MHP Fund directly for more information.</w:t>
      </w:r>
    </w:p>
    <w:p w14:paraId="3EF61EFC" w14:textId="77777777" w:rsidR="00DA633B" w:rsidRDefault="00DA633B" w:rsidP="00B8599C">
      <w:pPr>
        <w:jc w:val="both"/>
        <w:rPr>
          <w:rFonts w:ascii="Calibri" w:hAnsi="Calibri"/>
          <w:sz w:val="22"/>
        </w:rPr>
      </w:pPr>
    </w:p>
    <w:p w14:paraId="030F7EF8" w14:textId="77777777" w:rsidR="00DA633B" w:rsidRDefault="00DA633B" w:rsidP="00B8599C">
      <w:pPr>
        <w:jc w:val="both"/>
        <w:rPr>
          <w:rFonts w:ascii="Calibri" w:hAnsi="Calibri"/>
          <w:sz w:val="22"/>
        </w:rPr>
      </w:pPr>
      <w:r>
        <w:rPr>
          <w:rFonts w:ascii="Calibri" w:hAnsi="Calibri"/>
          <w:sz w:val="22"/>
        </w:rPr>
        <w:t>MHP recently announced new guidelines to help cities and towns review housing development proposals under Chapter 40B including:</w:t>
      </w:r>
    </w:p>
    <w:p w14:paraId="0486A645" w14:textId="77777777" w:rsidR="00DA633B" w:rsidRDefault="00DA633B" w:rsidP="00B8599C">
      <w:pPr>
        <w:jc w:val="both"/>
        <w:rPr>
          <w:rFonts w:ascii="Calibri" w:hAnsi="Calibri"/>
          <w:sz w:val="22"/>
        </w:rPr>
      </w:pPr>
    </w:p>
    <w:p w14:paraId="3CA5650F" w14:textId="77777777" w:rsidR="00DA633B" w:rsidRDefault="00DA633B" w:rsidP="005D3FC9">
      <w:pPr>
        <w:numPr>
          <w:ilvl w:val="0"/>
          <w:numId w:val="26"/>
        </w:numPr>
        <w:jc w:val="both"/>
        <w:rPr>
          <w:rFonts w:ascii="Calibri" w:hAnsi="Calibri"/>
          <w:sz w:val="22"/>
        </w:rPr>
      </w:pPr>
      <w:r>
        <w:rPr>
          <w:rFonts w:ascii="Calibri" w:hAnsi="Calibri"/>
          <w:sz w:val="22"/>
        </w:rPr>
        <w:t>State housing agencies will now appraise and establish the land value of 40B sites before issuing project eligibility letters.</w:t>
      </w:r>
    </w:p>
    <w:p w14:paraId="3022BF91" w14:textId="77777777" w:rsidR="00DA633B" w:rsidRDefault="00DA633B" w:rsidP="005D3FC9">
      <w:pPr>
        <w:numPr>
          <w:ilvl w:val="0"/>
          <w:numId w:val="26"/>
        </w:numPr>
        <w:jc w:val="both"/>
        <w:rPr>
          <w:rFonts w:ascii="Calibri" w:hAnsi="Calibri"/>
          <w:sz w:val="22"/>
        </w:rPr>
      </w:pPr>
      <w:r>
        <w:rPr>
          <w:rFonts w:ascii="Calibri" w:hAnsi="Calibri"/>
          <w:sz w:val="22"/>
        </w:rPr>
        <w:lastRenderedPageBreak/>
        <w:t>State will put standards in place for determining when permit conditions make a 40B development “uneconomic”.</w:t>
      </w:r>
    </w:p>
    <w:p w14:paraId="401BE109" w14:textId="77777777" w:rsidR="00DA633B" w:rsidRDefault="00DA633B" w:rsidP="005D3FC9">
      <w:pPr>
        <w:numPr>
          <w:ilvl w:val="0"/>
          <w:numId w:val="26"/>
        </w:numPr>
        <w:jc w:val="both"/>
        <w:rPr>
          <w:rFonts w:ascii="Calibri" w:hAnsi="Calibri"/>
          <w:sz w:val="22"/>
        </w:rPr>
      </w:pPr>
      <w:r>
        <w:rPr>
          <w:rFonts w:ascii="Calibri" w:hAnsi="Calibri"/>
          <w:sz w:val="22"/>
        </w:rPr>
        <w:t>There will be set guidelines on determining related-party transactions, i.e., when a developer may also have a role as contractor or realtor.</w:t>
      </w:r>
    </w:p>
    <w:p w14:paraId="0894FB6D" w14:textId="77777777" w:rsidR="00DA633B" w:rsidRDefault="00DA633B" w:rsidP="005D3FC9">
      <w:pPr>
        <w:numPr>
          <w:ilvl w:val="0"/>
          <w:numId w:val="26"/>
        </w:numPr>
        <w:jc w:val="both"/>
        <w:rPr>
          <w:rFonts w:ascii="Calibri" w:hAnsi="Calibri"/>
          <w:sz w:val="22"/>
        </w:rPr>
      </w:pPr>
      <w:r>
        <w:rPr>
          <w:rFonts w:ascii="Calibri" w:hAnsi="Calibri"/>
          <w:sz w:val="22"/>
        </w:rPr>
        <w:t>Advice on how to identify the most important issues early and communicate them to the developer, how informal work sessions can be effective, and how to make decisions that are unlikely to be overturned in court.</w:t>
      </w:r>
    </w:p>
    <w:p w14:paraId="567E4051" w14:textId="77777777" w:rsidR="00DA633B" w:rsidRDefault="00DA633B" w:rsidP="00B8599C">
      <w:pPr>
        <w:jc w:val="both"/>
        <w:rPr>
          <w:rFonts w:ascii="Calibri" w:hAnsi="Calibri"/>
          <w:sz w:val="22"/>
        </w:rPr>
      </w:pPr>
    </w:p>
    <w:p w14:paraId="44763459" w14:textId="77777777" w:rsidR="00DA633B" w:rsidRPr="00C54FC9" w:rsidRDefault="00DA633B" w:rsidP="00B8599C">
      <w:pPr>
        <w:jc w:val="both"/>
        <w:rPr>
          <w:rFonts w:ascii="Calibri" w:hAnsi="Calibri"/>
          <w:b/>
          <w:bCs/>
        </w:rPr>
      </w:pPr>
      <w:r w:rsidRPr="00C54FC9">
        <w:rPr>
          <w:rFonts w:ascii="Calibri" w:hAnsi="Calibri"/>
          <w:b/>
          <w:bCs/>
        </w:rPr>
        <w:t>B.</w:t>
      </w:r>
      <w:r w:rsidRPr="00C54FC9">
        <w:rPr>
          <w:rFonts w:ascii="Calibri" w:hAnsi="Calibri"/>
          <w:b/>
          <w:bCs/>
        </w:rPr>
        <w:tab/>
      </w:r>
      <w:r w:rsidRPr="00C54FC9">
        <w:rPr>
          <w:rFonts w:ascii="Calibri" w:hAnsi="Calibri"/>
          <w:b/>
          <w:bCs/>
          <w:u w:val="single"/>
        </w:rPr>
        <w:t>Housing Development</w:t>
      </w:r>
    </w:p>
    <w:p w14:paraId="05C31AC5" w14:textId="77777777" w:rsidR="00DA633B" w:rsidRDefault="00DA633B" w:rsidP="00B8599C">
      <w:pPr>
        <w:pStyle w:val="BodyTextIndent2"/>
        <w:tabs>
          <w:tab w:val="left" w:pos="-720"/>
        </w:tabs>
        <w:spacing w:after="0" w:line="240" w:lineRule="auto"/>
        <w:ind w:left="0"/>
        <w:jc w:val="both"/>
        <w:rPr>
          <w:rFonts w:ascii="Calibri" w:hAnsi="Calibri"/>
          <w:sz w:val="22"/>
        </w:rPr>
      </w:pPr>
      <w:r>
        <w:rPr>
          <w:rFonts w:ascii="Calibri" w:hAnsi="Calibri"/>
          <w:sz w:val="22"/>
        </w:rPr>
        <w:t>While comprehensive permits typically do not involve external public subsidies but use internal subsidies by which the market units in fact subsidize the affordable ones, communities are finding that they also require public subsidies to cover the costs of affordable or mixed-income residential development and need to access a range of programs through the state and federal government and other financial institutions to accomplish their objectives and meet affordable housing goals.  Because the costs of development are typically significantly higher than the rents or purchase prices that low- and moderate-income tenants can afford, multiple layers of subsidies are often required to fill the gaps.  Sometimes even Chapter 40B developments are finding it useful to apply for external subsidies to increase the numbers of affordable units, to target units to lower income or special needs populations, or to fill gaps that market rates cannot fully cover.</w:t>
      </w:r>
    </w:p>
    <w:p w14:paraId="28E6A247" w14:textId="77777777" w:rsidR="00DA633B" w:rsidRDefault="00DA633B" w:rsidP="00B8599C">
      <w:pPr>
        <w:pStyle w:val="BodyTextIndent2"/>
        <w:tabs>
          <w:tab w:val="left" w:pos="720"/>
        </w:tabs>
        <w:spacing w:after="0" w:line="240" w:lineRule="auto"/>
        <w:ind w:left="0"/>
        <w:jc w:val="both"/>
        <w:rPr>
          <w:rFonts w:ascii="Calibri" w:hAnsi="Calibri"/>
          <w:sz w:val="22"/>
        </w:rPr>
      </w:pPr>
    </w:p>
    <w:p w14:paraId="32EC45CD" w14:textId="77777777" w:rsidR="00DA633B" w:rsidRDefault="00DA633B" w:rsidP="00B8599C">
      <w:pPr>
        <w:tabs>
          <w:tab w:val="left" w:pos="-720"/>
        </w:tabs>
        <w:jc w:val="both"/>
        <w:rPr>
          <w:rFonts w:ascii="Calibri" w:hAnsi="Calibri"/>
          <w:i/>
          <w:sz w:val="22"/>
        </w:rPr>
      </w:pPr>
      <w:r>
        <w:rPr>
          <w:rFonts w:ascii="Calibri" w:hAnsi="Calibri"/>
          <w:sz w:val="22"/>
        </w:rPr>
        <w:t xml:space="preserve">The state requires applicants to submit a One Stop Application for most of its housing subsidy programs in an effort to standardize the application process across agencies and programs.  A Notice of Funding Availability (NOFA) is issued by the state usually twice annually for its rental programs and homeownership initiatives.  Using the One Stop Application, applicants can apply to several programs simultaneously to support the funding needs of a particular project.   </w:t>
      </w:r>
    </w:p>
    <w:p w14:paraId="2D3E924E" w14:textId="77777777" w:rsidR="00DA633B" w:rsidRDefault="00DA633B" w:rsidP="00B8599C">
      <w:pPr>
        <w:jc w:val="both"/>
        <w:rPr>
          <w:rFonts w:ascii="Calibri" w:hAnsi="Calibri"/>
          <w:b/>
          <w:bCs/>
          <w:sz w:val="22"/>
        </w:rPr>
      </w:pPr>
    </w:p>
    <w:p w14:paraId="547F8317" w14:textId="77777777" w:rsidR="00DA633B" w:rsidRDefault="00DA633B" w:rsidP="00B8599C">
      <w:pPr>
        <w:jc w:val="both"/>
        <w:rPr>
          <w:rFonts w:ascii="Calibri" w:hAnsi="Calibri"/>
          <w:b/>
          <w:bCs/>
          <w:i/>
          <w:iCs/>
          <w:sz w:val="22"/>
        </w:rPr>
      </w:pPr>
      <w:r>
        <w:rPr>
          <w:rFonts w:ascii="Calibri" w:hAnsi="Calibri"/>
          <w:b/>
          <w:bCs/>
          <w:i/>
          <w:iCs/>
          <w:sz w:val="22"/>
        </w:rPr>
        <w:t>1.</w:t>
      </w:r>
      <w:r>
        <w:rPr>
          <w:rFonts w:ascii="Calibri" w:hAnsi="Calibri"/>
          <w:b/>
          <w:bCs/>
          <w:i/>
          <w:iCs/>
          <w:sz w:val="22"/>
        </w:rPr>
        <w:tab/>
        <w:t>HOME Program</w:t>
      </w:r>
    </w:p>
    <w:p w14:paraId="3AD4F182" w14:textId="77777777" w:rsidR="00DA633B" w:rsidRDefault="00DA633B" w:rsidP="00B8599C">
      <w:pPr>
        <w:jc w:val="both"/>
        <w:rPr>
          <w:rFonts w:ascii="Calibri" w:hAnsi="Calibri"/>
          <w:sz w:val="22"/>
        </w:rPr>
      </w:pPr>
      <w:r>
        <w:rPr>
          <w:rFonts w:ascii="Calibri" w:hAnsi="Calibri"/>
          <w:sz w:val="22"/>
        </w:rPr>
        <w:t>HUD created the HOME Program in 1990 to provide grants to states, larger cities and consortia of smaller cities and towns to do the following:</w:t>
      </w:r>
    </w:p>
    <w:p w14:paraId="1641CE23" w14:textId="77777777" w:rsidR="00DA633B" w:rsidRDefault="00DA633B" w:rsidP="00B8599C">
      <w:pPr>
        <w:jc w:val="both"/>
        <w:rPr>
          <w:rFonts w:ascii="Calibri" w:hAnsi="Calibri"/>
          <w:sz w:val="22"/>
        </w:rPr>
      </w:pPr>
    </w:p>
    <w:p w14:paraId="758DDA3F" w14:textId="77777777" w:rsidR="00DA633B" w:rsidRDefault="00DA633B" w:rsidP="005D3FC9">
      <w:pPr>
        <w:numPr>
          <w:ilvl w:val="0"/>
          <w:numId w:val="27"/>
        </w:numPr>
        <w:ind w:left="720"/>
        <w:jc w:val="both"/>
        <w:rPr>
          <w:rFonts w:ascii="Calibri" w:hAnsi="Calibri"/>
          <w:sz w:val="22"/>
        </w:rPr>
      </w:pPr>
      <w:r>
        <w:rPr>
          <w:rFonts w:ascii="Calibri" w:hAnsi="Calibri"/>
          <w:sz w:val="22"/>
        </w:rPr>
        <w:t>Produce rental housing;</w:t>
      </w:r>
    </w:p>
    <w:p w14:paraId="5DFA924E" w14:textId="77777777" w:rsidR="00DA633B" w:rsidRDefault="00DA633B" w:rsidP="005D3FC9">
      <w:pPr>
        <w:numPr>
          <w:ilvl w:val="0"/>
          <w:numId w:val="27"/>
        </w:numPr>
        <w:ind w:left="720"/>
        <w:jc w:val="both"/>
        <w:rPr>
          <w:rFonts w:ascii="Calibri" w:hAnsi="Calibri"/>
          <w:sz w:val="22"/>
        </w:rPr>
      </w:pPr>
      <w:r>
        <w:rPr>
          <w:rFonts w:ascii="Calibri" w:hAnsi="Calibri"/>
          <w:sz w:val="22"/>
        </w:rPr>
        <w:t>Provide rehabilitation loans and grants, including lead paint removal and accessibility modifications, for rental and owner-occupied properties;</w:t>
      </w:r>
    </w:p>
    <w:p w14:paraId="70CB9812" w14:textId="77777777" w:rsidR="00DA633B" w:rsidRDefault="00DA633B" w:rsidP="005D3FC9">
      <w:pPr>
        <w:numPr>
          <w:ilvl w:val="0"/>
          <w:numId w:val="27"/>
        </w:numPr>
        <w:ind w:left="720"/>
        <w:jc w:val="both"/>
        <w:rPr>
          <w:rFonts w:ascii="Calibri" w:hAnsi="Calibri"/>
          <w:sz w:val="22"/>
        </w:rPr>
      </w:pPr>
      <w:r>
        <w:rPr>
          <w:rFonts w:ascii="Calibri" w:hAnsi="Calibri"/>
          <w:sz w:val="22"/>
        </w:rPr>
        <w:t>Offer tenant-based rental assistance (two-year subsidies); and/or</w:t>
      </w:r>
    </w:p>
    <w:p w14:paraId="4D95CD4B" w14:textId="77777777" w:rsidR="00DA633B" w:rsidRDefault="00DA633B" w:rsidP="005D3FC9">
      <w:pPr>
        <w:numPr>
          <w:ilvl w:val="0"/>
          <w:numId w:val="27"/>
        </w:numPr>
        <w:ind w:left="720"/>
        <w:jc w:val="both"/>
        <w:rPr>
          <w:rFonts w:ascii="Calibri" w:hAnsi="Calibri"/>
          <w:sz w:val="22"/>
        </w:rPr>
      </w:pPr>
      <w:r>
        <w:rPr>
          <w:rFonts w:ascii="Calibri" w:hAnsi="Calibri"/>
          <w:sz w:val="22"/>
        </w:rPr>
        <w:t>Assist first-time homeowners.</w:t>
      </w:r>
    </w:p>
    <w:p w14:paraId="06F19FAD" w14:textId="77777777" w:rsidR="00DA633B" w:rsidRDefault="00DA633B" w:rsidP="00B8599C">
      <w:pPr>
        <w:jc w:val="both"/>
        <w:rPr>
          <w:rFonts w:ascii="Calibri" w:hAnsi="Calibri"/>
          <w:sz w:val="22"/>
        </w:rPr>
      </w:pPr>
    </w:p>
    <w:p w14:paraId="7E8752C3" w14:textId="77777777" w:rsidR="00DA633B" w:rsidRPr="00B8599C" w:rsidRDefault="00DA633B" w:rsidP="00B8599C">
      <w:pPr>
        <w:pStyle w:val="BodyText3"/>
        <w:spacing w:after="0"/>
        <w:jc w:val="both"/>
        <w:rPr>
          <w:rFonts w:ascii="Calibri" w:hAnsi="Calibri"/>
          <w:sz w:val="22"/>
          <w:szCs w:val="22"/>
        </w:rPr>
      </w:pPr>
      <w:r w:rsidRPr="00B8599C">
        <w:rPr>
          <w:rFonts w:ascii="Calibri" w:hAnsi="Calibri"/>
          <w:sz w:val="22"/>
          <w:szCs w:val="22"/>
        </w:rPr>
        <w:t xml:space="preserve">The HOME Program funding is targeted to homebuyers or homeowners earning no more than 80% of median income and to rental units where at least 90% of the units must be affordable and occupied by households earning no more than 60% of median income, the balance to those earning within 80% of median.  Moreover, for those rental projects with five or more units, at least 20% of the units must be reserved for households earning less than 50% of median income.  In addition to income guidelines, the HOME Program specifies the need for deed restrictions, resale requirements, and maximum sales prices or rentals.  </w:t>
      </w:r>
    </w:p>
    <w:p w14:paraId="287EF568" w14:textId="77777777" w:rsidR="00DA633B" w:rsidRPr="00B8599C" w:rsidRDefault="00DA633B" w:rsidP="00B8599C">
      <w:pPr>
        <w:jc w:val="both"/>
        <w:rPr>
          <w:rFonts w:ascii="Calibri" w:hAnsi="Calibri"/>
          <w:sz w:val="22"/>
          <w:szCs w:val="22"/>
        </w:rPr>
      </w:pPr>
    </w:p>
    <w:p w14:paraId="29996648" w14:textId="138BC6EF" w:rsidR="00DA633B" w:rsidRPr="00B8599C" w:rsidRDefault="00DA633B" w:rsidP="00B8599C">
      <w:pPr>
        <w:pStyle w:val="BodyText2"/>
        <w:spacing w:after="0" w:line="240" w:lineRule="auto"/>
        <w:jc w:val="both"/>
        <w:rPr>
          <w:rFonts w:ascii="Calibri" w:hAnsi="Calibri"/>
          <w:sz w:val="22"/>
          <w:szCs w:val="22"/>
        </w:rPr>
      </w:pPr>
      <w:r w:rsidRPr="00B8599C">
        <w:rPr>
          <w:rFonts w:ascii="Calibri" w:hAnsi="Calibri"/>
          <w:sz w:val="22"/>
          <w:szCs w:val="22"/>
        </w:rPr>
        <w:t xml:space="preserve">Because </w:t>
      </w:r>
      <w:r w:rsidR="000E71B8">
        <w:rPr>
          <w:rFonts w:ascii="Calibri" w:hAnsi="Calibri"/>
          <w:sz w:val="22"/>
          <w:szCs w:val="22"/>
        </w:rPr>
        <w:t>Needham</w:t>
      </w:r>
      <w:r w:rsidRPr="00B8599C">
        <w:rPr>
          <w:rFonts w:ascii="Calibri" w:hAnsi="Calibri"/>
          <w:sz w:val="22"/>
          <w:szCs w:val="22"/>
        </w:rPr>
        <w:t xml:space="preserve"> is not an entitlement community, meaning that it is not automatically entitled to receive HOME funding based on HUD’s funding formula, the Town </w:t>
      </w:r>
      <w:r w:rsidR="000E71B8">
        <w:rPr>
          <w:rFonts w:ascii="Calibri" w:hAnsi="Calibri"/>
          <w:sz w:val="22"/>
          <w:szCs w:val="22"/>
        </w:rPr>
        <w:t>has</w:t>
      </w:r>
      <w:r w:rsidRPr="00B8599C">
        <w:rPr>
          <w:rFonts w:ascii="Calibri" w:hAnsi="Calibri"/>
          <w:sz w:val="22"/>
          <w:szCs w:val="22"/>
        </w:rPr>
        <w:t xml:space="preserve"> join</w:t>
      </w:r>
      <w:r w:rsidR="000E71B8">
        <w:rPr>
          <w:rFonts w:ascii="Calibri" w:hAnsi="Calibri"/>
          <w:sz w:val="22"/>
          <w:szCs w:val="22"/>
        </w:rPr>
        <w:t>ed</w:t>
      </w:r>
      <w:r w:rsidRPr="00B8599C">
        <w:rPr>
          <w:rFonts w:ascii="Calibri" w:hAnsi="Calibri"/>
          <w:sz w:val="22"/>
          <w:szCs w:val="22"/>
        </w:rPr>
        <w:t xml:space="preserve"> a consortium of other </w:t>
      </w:r>
      <w:r w:rsidRPr="00B8599C">
        <w:rPr>
          <w:rFonts w:ascii="Calibri" w:hAnsi="Calibri"/>
          <w:sz w:val="22"/>
          <w:szCs w:val="22"/>
        </w:rPr>
        <w:lastRenderedPageBreak/>
        <w:t>smaller towns and cities</w:t>
      </w:r>
      <w:r w:rsidR="000E71B8">
        <w:rPr>
          <w:rFonts w:ascii="Calibri" w:hAnsi="Calibri"/>
          <w:sz w:val="22"/>
          <w:szCs w:val="22"/>
        </w:rPr>
        <w:t>, the West Metro HOME Consortium,</w:t>
      </w:r>
      <w:r w:rsidRPr="00B8599C">
        <w:rPr>
          <w:rFonts w:ascii="Calibri" w:hAnsi="Calibri"/>
          <w:sz w:val="22"/>
          <w:szCs w:val="22"/>
        </w:rPr>
        <w:t xml:space="preserve"> to receive funding </w:t>
      </w:r>
      <w:r w:rsidR="000E71B8">
        <w:rPr>
          <w:rFonts w:ascii="Calibri" w:hAnsi="Calibri"/>
          <w:sz w:val="22"/>
          <w:szCs w:val="22"/>
        </w:rPr>
        <w:t>by a federal formula on an annual basis.</w:t>
      </w:r>
    </w:p>
    <w:p w14:paraId="42CB7873" w14:textId="77777777" w:rsidR="00920BC9" w:rsidRDefault="00920BC9" w:rsidP="00B8599C">
      <w:pPr>
        <w:jc w:val="both"/>
        <w:rPr>
          <w:rFonts w:ascii="Calibri" w:hAnsi="Calibri"/>
          <w:sz w:val="22"/>
        </w:rPr>
      </w:pPr>
    </w:p>
    <w:p w14:paraId="771F47CD" w14:textId="6A6BC0AC" w:rsidR="00DA633B" w:rsidRDefault="00DA633B" w:rsidP="00B8599C">
      <w:pPr>
        <w:jc w:val="both"/>
        <w:rPr>
          <w:rFonts w:ascii="Calibri" w:hAnsi="Calibri"/>
          <w:sz w:val="22"/>
        </w:rPr>
      </w:pPr>
      <w:r>
        <w:rPr>
          <w:rFonts w:ascii="Calibri" w:hAnsi="Calibri"/>
          <w:sz w:val="22"/>
        </w:rPr>
        <w:t>The HOME Rental Program</w:t>
      </w:r>
      <w:r>
        <w:rPr>
          <w:rFonts w:ascii="Calibri" w:hAnsi="Calibri"/>
          <w:i/>
          <w:iCs/>
          <w:sz w:val="22"/>
        </w:rPr>
        <w:t xml:space="preserve"> </w:t>
      </w:r>
      <w:r>
        <w:rPr>
          <w:rFonts w:ascii="Calibri" w:hAnsi="Calibri"/>
          <w:sz w:val="22"/>
        </w:rPr>
        <w:t xml:space="preserve">is targeted to the acquisition and rehabilitation of multi-family distressed properties or new construction of multi-family rental housing from five to fifty units.  Once again, the maximum subsidy per project is $750,000 and the maximum subsidy per unit in localities that receive HOME or CDBG funds directly from HUD is $50,000 (these communities should also include a commitment of local funds in the project).  Subsidies are in the form of deferred loans at 0% interest for 30 years.  State HOME funding cannot be combined with another state subsidy program with several exceptions including the Low Income Housing Tax Credits, HIF and the Soft Second Program.   </w:t>
      </w:r>
    </w:p>
    <w:p w14:paraId="12AF790D" w14:textId="77777777" w:rsidR="00B8599C" w:rsidRDefault="00B8599C" w:rsidP="00DA633B">
      <w:pPr>
        <w:ind w:right="-720"/>
        <w:jc w:val="both"/>
        <w:rPr>
          <w:rFonts w:ascii="Calibri" w:hAnsi="Calibri"/>
          <w:b/>
          <w:bCs/>
          <w:i/>
          <w:iCs/>
          <w:sz w:val="22"/>
        </w:rPr>
      </w:pPr>
    </w:p>
    <w:p w14:paraId="06126ACD" w14:textId="04141D2A" w:rsidR="00DA633B" w:rsidRDefault="00DA633B" w:rsidP="00DA633B">
      <w:pPr>
        <w:ind w:right="-720"/>
        <w:jc w:val="both"/>
        <w:rPr>
          <w:rFonts w:ascii="Calibri" w:hAnsi="Calibri"/>
          <w:b/>
          <w:bCs/>
          <w:i/>
          <w:iCs/>
          <w:sz w:val="22"/>
        </w:rPr>
      </w:pPr>
      <w:r>
        <w:rPr>
          <w:rFonts w:ascii="Calibri" w:hAnsi="Calibri"/>
          <w:b/>
          <w:bCs/>
          <w:i/>
          <w:iCs/>
          <w:sz w:val="22"/>
        </w:rPr>
        <w:t>2.</w:t>
      </w:r>
      <w:r>
        <w:rPr>
          <w:rFonts w:ascii="Calibri" w:hAnsi="Calibri"/>
          <w:b/>
          <w:bCs/>
          <w:i/>
          <w:iCs/>
          <w:sz w:val="22"/>
        </w:rPr>
        <w:tab/>
        <w:t>Community Development Block Grant Program (CDBG)</w:t>
      </w:r>
    </w:p>
    <w:p w14:paraId="0B980089" w14:textId="77777777" w:rsidR="00DA633B" w:rsidRPr="00B8599C" w:rsidRDefault="00DA633B" w:rsidP="00C54FC9">
      <w:pPr>
        <w:pStyle w:val="BodyText2"/>
        <w:spacing w:after="0" w:line="240" w:lineRule="auto"/>
        <w:jc w:val="both"/>
        <w:rPr>
          <w:rFonts w:ascii="Calibri" w:hAnsi="Calibri"/>
          <w:sz w:val="22"/>
          <w:szCs w:val="22"/>
        </w:rPr>
      </w:pPr>
      <w:r w:rsidRPr="00B8599C">
        <w:rPr>
          <w:rFonts w:ascii="Calibri" w:hAnsi="Calibri"/>
          <w:sz w:val="22"/>
          <w:szCs w:val="22"/>
        </w:rPr>
        <w:t xml:space="preserve">In addition to funding for the Peer-to-Peer Program mentioned in the above section, there are other housing resources supported by federal CDBG funds that are distributed by formula to Massachusetts.  </w:t>
      </w:r>
    </w:p>
    <w:p w14:paraId="615934E0" w14:textId="77777777" w:rsidR="00DA633B" w:rsidRDefault="00DA633B" w:rsidP="00C54FC9">
      <w:pPr>
        <w:jc w:val="both"/>
        <w:rPr>
          <w:rFonts w:ascii="Calibri" w:hAnsi="Calibri"/>
          <w:sz w:val="22"/>
        </w:rPr>
      </w:pPr>
    </w:p>
    <w:p w14:paraId="364E5C8D" w14:textId="77777777" w:rsidR="00DA633B" w:rsidRDefault="00DA633B" w:rsidP="00C54FC9">
      <w:pPr>
        <w:jc w:val="both"/>
        <w:rPr>
          <w:rFonts w:ascii="Calibri" w:hAnsi="Calibri"/>
          <w:sz w:val="22"/>
        </w:rPr>
      </w:pPr>
      <w:r>
        <w:rPr>
          <w:rFonts w:ascii="Calibri" w:hAnsi="Calibri"/>
          <w:sz w:val="22"/>
        </w:rPr>
        <w:t xml:space="preserve">The </w:t>
      </w:r>
      <w:r>
        <w:rPr>
          <w:rFonts w:ascii="Calibri" w:hAnsi="Calibri"/>
          <w:b/>
          <w:bCs/>
          <w:sz w:val="22"/>
        </w:rPr>
        <w:t xml:space="preserve">Massachusetts Small Cities Program </w:t>
      </w:r>
      <w:r>
        <w:rPr>
          <w:rFonts w:ascii="Calibri" w:hAnsi="Calibri"/>
          <w:sz w:val="22"/>
        </w:rPr>
        <w:t xml:space="preserve">that has a set-aside of Community Development Block Grant (CDBG) funds to support a range of eligible activities including housing development.  However, at least 70% of the money must provide benefits to households earning within 80% of median income.  This money is for those nonentitlement localities that do not receive CDBG funds directly from HUD.  Funds are awarded on a competitive basis through Notices of Funding Availability with specific due dates or through applications reviewed on a rolling basis throughout the year, depending on the specific program.  This funding supports a variety of specific programs.  </w:t>
      </w:r>
    </w:p>
    <w:p w14:paraId="77416BA1" w14:textId="77777777" w:rsidR="00DA633B" w:rsidRDefault="00DA633B" w:rsidP="00C54FC9">
      <w:pPr>
        <w:jc w:val="both"/>
        <w:rPr>
          <w:rFonts w:ascii="Calibri" w:hAnsi="Calibri"/>
          <w:sz w:val="22"/>
        </w:rPr>
      </w:pPr>
    </w:p>
    <w:p w14:paraId="23CAFA99" w14:textId="5A954DB7" w:rsidR="00DA633B" w:rsidRDefault="00DA633B" w:rsidP="00C54FC9">
      <w:pPr>
        <w:jc w:val="both"/>
        <w:rPr>
          <w:rFonts w:ascii="Calibri" w:hAnsi="Calibri"/>
          <w:sz w:val="22"/>
        </w:rPr>
      </w:pPr>
      <w:r>
        <w:rPr>
          <w:rFonts w:ascii="Calibri" w:hAnsi="Calibri"/>
          <w:sz w:val="22"/>
        </w:rPr>
        <w:t xml:space="preserve">There are other programs funded through the Community Development Block Grant Small Cities Program for both homeownership and rental projects.  A number of the special initiatives are directed to communities with high “statistical community-wide needs,” however, the </w:t>
      </w:r>
      <w:r>
        <w:rPr>
          <w:rFonts w:ascii="Calibri" w:hAnsi="Calibri"/>
          <w:b/>
          <w:bCs/>
          <w:sz w:val="22"/>
        </w:rPr>
        <w:t>Community Development Fund II</w:t>
      </w:r>
      <w:r>
        <w:rPr>
          <w:rFonts w:ascii="Calibri" w:hAnsi="Calibri"/>
          <w:sz w:val="22"/>
        </w:rPr>
        <w:t xml:space="preserve"> is targeted to communities with lower needs scores that have not received CDBG funds in recent years.  This may be the best source of CDBG funding for </w:t>
      </w:r>
      <w:r w:rsidR="00232905">
        <w:rPr>
          <w:rFonts w:ascii="Calibri" w:hAnsi="Calibri"/>
          <w:sz w:val="22"/>
        </w:rPr>
        <w:t>Needham</w:t>
      </w:r>
      <w:r>
        <w:rPr>
          <w:rFonts w:ascii="Calibri" w:hAnsi="Calibri"/>
          <w:sz w:val="22"/>
        </w:rPr>
        <w:t xml:space="preserve">.  Funding is also awarded competitively through an annual Notice of Funding Availability.  DHCD also has a </w:t>
      </w:r>
      <w:r>
        <w:rPr>
          <w:rFonts w:ascii="Calibri" w:hAnsi="Calibri"/>
          <w:b/>
          <w:bCs/>
          <w:sz w:val="22"/>
        </w:rPr>
        <w:t xml:space="preserve">Reserve Fund </w:t>
      </w:r>
      <w:r>
        <w:rPr>
          <w:rFonts w:ascii="Calibri" w:hAnsi="Calibri"/>
          <w:sz w:val="22"/>
        </w:rPr>
        <w:t>for CDBG-eligible projects that did not receive funding from other CDBG funded programs or for innovative projects.</w:t>
      </w:r>
    </w:p>
    <w:p w14:paraId="3CFC83D8" w14:textId="77777777" w:rsidR="00DA633B" w:rsidRDefault="00DA633B" w:rsidP="00C54FC9">
      <w:pPr>
        <w:pStyle w:val="BodyText2"/>
        <w:spacing w:after="0" w:line="240" w:lineRule="auto"/>
        <w:jc w:val="both"/>
        <w:rPr>
          <w:rFonts w:ascii="Calibri" w:hAnsi="Calibri"/>
        </w:rPr>
      </w:pPr>
    </w:p>
    <w:p w14:paraId="3E5ABB27" w14:textId="77777777" w:rsidR="00DA633B" w:rsidRDefault="00DA633B" w:rsidP="00C54FC9">
      <w:pPr>
        <w:jc w:val="both"/>
        <w:rPr>
          <w:rFonts w:ascii="Calibri" w:hAnsi="Calibri"/>
          <w:b/>
          <w:bCs/>
          <w:i/>
          <w:iCs/>
          <w:sz w:val="22"/>
        </w:rPr>
      </w:pPr>
      <w:r>
        <w:rPr>
          <w:rFonts w:ascii="Calibri" w:hAnsi="Calibri"/>
          <w:b/>
          <w:bCs/>
          <w:i/>
          <w:iCs/>
          <w:sz w:val="22"/>
        </w:rPr>
        <w:t>3.</w:t>
      </w:r>
      <w:r>
        <w:rPr>
          <w:rFonts w:ascii="Calibri" w:hAnsi="Calibri"/>
          <w:b/>
          <w:bCs/>
          <w:i/>
          <w:iCs/>
          <w:sz w:val="22"/>
        </w:rPr>
        <w:tab/>
        <w:t>Housing Stabilization Fund (HSF)</w:t>
      </w:r>
    </w:p>
    <w:p w14:paraId="39CA9E29" w14:textId="77777777" w:rsidR="00DA633B" w:rsidRDefault="00DA633B" w:rsidP="00C54FC9">
      <w:pPr>
        <w:jc w:val="both"/>
        <w:rPr>
          <w:rFonts w:ascii="Calibri" w:hAnsi="Calibri"/>
          <w:sz w:val="22"/>
        </w:rPr>
      </w:pPr>
      <w:r>
        <w:rPr>
          <w:rFonts w:ascii="Calibri" w:hAnsi="Calibri"/>
          <w:sz w:val="22"/>
        </w:rPr>
        <w:t>The state’s Housing Stabilization Fund (HSF)</w:t>
      </w:r>
      <w:r>
        <w:rPr>
          <w:rFonts w:ascii="Calibri" w:hAnsi="Calibri"/>
          <w:i/>
          <w:iCs/>
          <w:sz w:val="22"/>
        </w:rPr>
        <w:t xml:space="preserve"> </w:t>
      </w:r>
      <w:r>
        <w:rPr>
          <w:rFonts w:ascii="Calibri" w:hAnsi="Calibri"/>
          <w:sz w:val="22"/>
        </w:rPr>
        <w:t xml:space="preserve">was established in 1993 through a Housing Bond bill to support housing rehabilitation through a variety of housing activities including homeownership (most of this funding has been allocated for the MHP Soft Second Program) and rental project development.  The state subsequently issued additional bond bills to provide more funding.  The HSF Rehabilitation Initiative is targeted to households with incomes within 80% of median income, with resale or subsequent tenancy for households within 100% of median income.  The funds can be used for grants or loans through state and local agencies, housing authorities and community development corporations with the ability to subcontract to other entities.  The funds have been used to match local HOME program funding, to fund demolition, and to support the acquisition and rehabilitation of affordable housing.  In addition to a program directed to the rehabilitation of abandoned, distressed or foreclosed properties, the HSF provides funds to municipalities for local revitalization programs directed to the creation or preservation of rental projects.  As with HOME, the maximum amount available per project is $750,000 and the maximum per unit is $65,000 for communities that do not receive HOME or CDBG funds directly from HUD, and $50,000 for those that do.  Communities can apply for HSF funding biannually through the One Stop Application.  </w:t>
      </w:r>
    </w:p>
    <w:p w14:paraId="2D226050" w14:textId="26FF659D" w:rsidR="00DA633B" w:rsidRDefault="00DA633B" w:rsidP="00C54FC9">
      <w:pPr>
        <w:jc w:val="both"/>
        <w:rPr>
          <w:rFonts w:ascii="Calibri" w:hAnsi="Calibri"/>
          <w:b/>
          <w:bCs/>
          <w:i/>
          <w:iCs/>
          <w:sz w:val="22"/>
        </w:rPr>
      </w:pPr>
    </w:p>
    <w:p w14:paraId="1AD5B99A" w14:textId="77777777" w:rsidR="00DA633B" w:rsidRDefault="00DA633B" w:rsidP="00C54FC9">
      <w:pPr>
        <w:jc w:val="both"/>
        <w:rPr>
          <w:rFonts w:ascii="Calibri" w:hAnsi="Calibri"/>
          <w:b/>
          <w:bCs/>
          <w:i/>
          <w:iCs/>
          <w:sz w:val="22"/>
        </w:rPr>
      </w:pPr>
      <w:r>
        <w:rPr>
          <w:rFonts w:ascii="Calibri" w:hAnsi="Calibri"/>
          <w:b/>
          <w:bCs/>
          <w:i/>
          <w:iCs/>
          <w:sz w:val="22"/>
        </w:rPr>
        <w:t>4.</w:t>
      </w:r>
      <w:r>
        <w:rPr>
          <w:rFonts w:ascii="Calibri" w:hAnsi="Calibri"/>
          <w:b/>
          <w:bCs/>
          <w:i/>
          <w:iCs/>
          <w:sz w:val="22"/>
        </w:rPr>
        <w:tab/>
        <w:t>Low Income Housing Tax Credit Program</w:t>
      </w:r>
    </w:p>
    <w:p w14:paraId="143E08F0" w14:textId="77777777" w:rsidR="00DA633B" w:rsidRDefault="00DA633B" w:rsidP="00C54FC9">
      <w:pPr>
        <w:jc w:val="both"/>
        <w:rPr>
          <w:rFonts w:ascii="Calibri" w:hAnsi="Calibri"/>
          <w:sz w:val="22"/>
        </w:rPr>
      </w:pPr>
      <w:r>
        <w:rPr>
          <w:rFonts w:ascii="Calibri" w:hAnsi="Calibri"/>
          <w:sz w:val="22"/>
        </w:rPr>
        <w:t>The Low Income Housing Tax Credit Program</w:t>
      </w:r>
      <w:r>
        <w:rPr>
          <w:rFonts w:ascii="Calibri" w:hAnsi="Calibri"/>
          <w:i/>
          <w:iCs/>
          <w:sz w:val="22"/>
        </w:rPr>
        <w:t xml:space="preserve"> </w:t>
      </w:r>
      <w:r>
        <w:rPr>
          <w:rFonts w:ascii="Calibri" w:hAnsi="Calibri"/>
          <w:sz w:val="22"/>
        </w:rPr>
        <w:t xml:space="preserve">was created in 1986 by the Federal Government to offer tax credits to investors in housing development projects that include some low-income units.  The tax credit program is often the centerpiece program in any affordable rental project because it brings in valuable equity funds.  Tax credits are either for 4% or 9% of the development or rehab costs for each affordable unit for a ten-year period.  The 4% credits have a present value of 30% of the development costs, except for the costs of land, and the 9% credit have a present value equal to 70% of the costs of developing the affordable units, with the exception of land.  Both the 4% and 9% credits can be sold to investors for close to their present values.  </w:t>
      </w:r>
    </w:p>
    <w:p w14:paraId="2AE9974F" w14:textId="77777777" w:rsidR="00DA633B" w:rsidRDefault="00DA633B" w:rsidP="00C54FC9">
      <w:pPr>
        <w:jc w:val="both"/>
        <w:rPr>
          <w:rFonts w:ascii="Calibri" w:hAnsi="Calibri"/>
          <w:sz w:val="22"/>
        </w:rPr>
      </w:pPr>
    </w:p>
    <w:p w14:paraId="5E5E8D69" w14:textId="77777777" w:rsidR="00DA633B" w:rsidRPr="00232905" w:rsidRDefault="00DA633B" w:rsidP="00C54FC9">
      <w:pPr>
        <w:pStyle w:val="BodyText2"/>
        <w:spacing w:after="0" w:line="240" w:lineRule="auto"/>
        <w:jc w:val="both"/>
        <w:rPr>
          <w:rFonts w:ascii="Calibri" w:hAnsi="Calibri"/>
          <w:sz w:val="22"/>
          <w:szCs w:val="22"/>
        </w:rPr>
      </w:pPr>
      <w:r w:rsidRPr="00232905">
        <w:rPr>
          <w:rFonts w:ascii="Calibri" w:hAnsi="Calibri"/>
          <w:sz w:val="22"/>
          <w:szCs w:val="22"/>
        </w:rPr>
        <w:t xml:space="preserve">The Federal Government limits the 9% credits and consequently there is some competition for them, nevertheless, most tax credit projects in Massachusetts are financed through the 9% credit.   Private investors, such as banks or corporations, purchase the tax credits for about 80 cents on the dollar, and their money serves as equity in a project, reducing the amount of the debt service and consequently the rents.  The program mandates that at least 20% of the units must be made affordable to households earning within 50% of median income or 40% of the units must be affordable to households earning up to 60% of median income.   Those projects that receive the 9% tax credits must produce much higher percentages of affordable units.  </w:t>
      </w:r>
    </w:p>
    <w:p w14:paraId="6C63DB92" w14:textId="77777777" w:rsidR="00DA633B" w:rsidRPr="00232905" w:rsidRDefault="00DA633B" w:rsidP="00C54FC9">
      <w:pPr>
        <w:jc w:val="both"/>
        <w:rPr>
          <w:rFonts w:ascii="Calibri" w:hAnsi="Calibri"/>
          <w:sz w:val="22"/>
          <w:szCs w:val="22"/>
        </w:rPr>
      </w:pPr>
    </w:p>
    <w:p w14:paraId="4DEB557E" w14:textId="77777777" w:rsidR="00DA633B" w:rsidRPr="00232905" w:rsidRDefault="00DA633B" w:rsidP="00C54FC9">
      <w:pPr>
        <w:jc w:val="both"/>
        <w:rPr>
          <w:rFonts w:ascii="Calibri" w:hAnsi="Calibri"/>
          <w:sz w:val="22"/>
          <w:szCs w:val="22"/>
        </w:rPr>
      </w:pPr>
      <w:r w:rsidRPr="00232905">
        <w:rPr>
          <w:rFonts w:ascii="Calibri" w:hAnsi="Calibri"/>
          <w:sz w:val="22"/>
          <w:szCs w:val="22"/>
        </w:rPr>
        <w:t xml:space="preserve">The Massachusetts Legislature has enacted a comparable state tax credit program, modeled after the federal tax credit program.  The One Stop Application is also used to apply for this source of funding. </w:t>
      </w:r>
    </w:p>
    <w:p w14:paraId="583B9A83" w14:textId="77777777" w:rsidR="00DA633B" w:rsidRPr="00232905" w:rsidRDefault="00DA633B" w:rsidP="00C54FC9">
      <w:pPr>
        <w:jc w:val="both"/>
        <w:rPr>
          <w:rFonts w:ascii="Calibri" w:hAnsi="Calibri"/>
          <w:sz w:val="22"/>
          <w:szCs w:val="22"/>
        </w:rPr>
      </w:pPr>
    </w:p>
    <w:p w14:paraId="01A38855" w14:textId="77777777" w:rsidR="00DA633B" w:rsidRPr="00232905" w:rsidRDefault="00DA633B" w:rsidP="00C54FC9">
      <w:pPr>
        <w:jc w:val="both"/>
        <w:rPr>
          <w:rFonts w:ascii="Calibri" w:hAnsi="Calibri"/>
          <w:b/>
          <w:bCs/>
          <w:i/>
          <w:iCs/>
          <w:sz w:val="22"/>
          <w:szCs w:val="22"/>
        </w:rPr>
      </w:pPr>
      <w:r w:rsidRPr="00232905">
        <w:rPr>
          <w:rFonts w:ascii="Calibri" w:hAnsi="Calibri"/>
          <w:b/>
          <w:bCs/>
          <w:i/>
          <w:iCs/>
          <w:sz w:val="22"/>
          <w:szCs w:val="22"/>
        </w:rPr>
        <w:t>5.</w:t>
      </w:r>
      <w:r w:rsidRPr="00232905">
        <w:rPr>
          <w:rFonts w:ascii="Calibri" w:hAnsi="Calibri"/>
          <w:b/>
          <w:bCs/>
          <w:i/>
          <w:iCs/>
          <w:sz w:val="22"/>
          <w:szCs w:val="22"/>
        </w:rPr>
        <w:tab/>
        <w:t>Affordable Housing Trust Fund</w:t>
      </w:r>
    </w:p>
    <w:p w14:paraId="79B1D834" w14:textId="77777777" w:rsidR="00DA633B" w:rsidRDefault="00DA633B" w:rsidP="00C54FC9">
      <w:pPr>
        <w:jc w:val="both"/>
        <w:rPr>
          <w:rFonts w:ascii="Calibri" w:hAnsi="Calibri"/>
          <w:sz w:val="22"/>
        </w:rPr>
      </w:pPr>
      <w:r>
        <w:rPr>
          <w:rFonts w:ascii="Calibri" w:hAnsi="Calibri"/>
          <w:sz w:val="22"/>
        </w:rPr>
        <w:t>The Affordable Housing Trust Fund (AHTF) was established by an act of the State Legislature and is codified under Chapter 121-D of the Massachusetts General Laws. The AHTF operates out of DHCD and is administered by MassHousing with guidance provided by an Advisory Committee of housing advocates. The purpose of the fund is to support the creation/preservation of housing that is affordable to people with incomes that do not exceed 110% of the area median income. The AHTF can be used to support the acquisition, development and/or preservation of affordable housing units. AHTF assistance can include:</w:t>
      </w:r>
    </w:p>
    <w:p w14:paraId="36C02CFE" w14:textId="77777777" w:rsidR="00DA633B" w:rsidRDefault="00DA633B" w:rsidP="00C54FC9">
      <w:pPr>
        <w:jc w:val="both"/>
        <w:rPr>
          <w:rFonts w:ascii="Calibri" w:hAnsi="Calibri"/>
          <w:sz w:val="22"/>
        </w:rPr>
      </w:pPr>
    </w:p>
    <w:p w14:paraId="058AD316" w14:textId="77777777" w:rsidR="00DA633B" w:rsidRDefault="00DA633B" w:rsidP="005D3FC9">
      <w:pPr>
        <w:numPr>
          <w:ilvl w:val="0"/>
          <w:numId w:val="36"/>
        </w:numPr>
        <w:tabs>
          <w:tab w:val="clear" w:pos="1440"/>
          <w:tab w:val="num" w:pos="720"/>
        </w:tabs>
        <w:ind w:left="720"/>
        <w:jc w:val="both"/>
        <w:rPr>
          <w:rFonts w:ascii="Calibri" w:hAnsi="Calibri"/>
          <w:sz w:val="22"/>
        </w:rPr>
      </w:pPr>
      <w:r>
        <w:rPr>
          <w:rFonts w:ascii="Calibri" w:hAnsi="Calibri"/>
          <w:sz w:val="22"/>
        </w:rPr>
        <w:t xml:space="preserve">Deferred payment loans, low/no-interest amortizing loans. </w:t>
      </w:r>
    </w:p>
    <w:p w14:paraId="39D0990E" w14:textId="77777777" w:rsidR="00DA633B" w:rsidRDefault="00DA633B" w:rsidP="005D3FC9">
      <w:pPr>
        <w:numPr>
          <w:ilvl w:val="0"/>
          <w:numId w:val="36"/>
        </w:numPr>
        <w:tabs>
          <w:tab w:val="clear" w:pos="1440"/>
          <w:tab w:val="num" w:pos="720"/>
        </w:tabs>
        <w:ind w:left="720"/>
        <w:jc w:val="both"/>
        <w:rPr>
          <w:rFonts w:ascii="Calibri" w:hAnsi="Calibri"/>
          <w:sz w:val="22"/>
        </w:rPr>
      </w:pPr>
      <w:r>
        <w:rPr>
          <w:rFonts w:ascii="Calibri" w:hAnsi="Calibri"/>
          <w:sz w:val="22"/>
        </w:rPr>
        <w:t xml:space="preserve">Down payment and closing cost assistance for first-time homebuyers. </w:t>
      </w:r>
    </w:p>
    <w:p w14:paraId="128C926B" w14:textId="77777777" w:rsidR="00DA633B" w:rsidRDefault="00DA633B" w:rsidP="005D3FC9">
      <w:pPr>
        <w:numPr>
          <w:ilvl w:val="0"/>
          <w:numId w:val="36"/>
        </w:numPr>
        <w:tabs>
          <w:tab w:val="clear" w:pos="1440"/>
          <w:tab w:val="num" w:pos="720"/>
        </w:tabs>
        <w:ind w:left="720"/>
        <w:jc w:val="both"/>
        <w:rPr>
          <w:rFonts w:ascii="Calibri" w:hAnsi="Calibri"/>
          <w:sz w:val="22"/>
        </w:rPr>
      </w:pPr>
      <w:r>
        <w:rPr>
          <w:rFonts w:ascii="Calibri" w:hAnsi="Calibri"/>
          <w:sz w:val="22"/>
        </w:rPr>
        <w:t xml:space="preserve">Credit enhancements and mortgage insurance guarantees. </w:t>
      </w:r>
    </w:p>
    <w:p w14:paraId="35D9CEAA" w14:textId="77777777" w:rsidR="00DA633B" w:rsidRDefault="00DA633B" w:rsidP="005D3FC9">
      <w:pPr>
        <w:numPr>
          <w:ilvl w:val="0"/>
          <w:numId w:val="36"/>
        </w:numPr>
        <w:tabs>
          <w:tab w:val="clear" w:pos="1440"/>
          <w:tab w:val="num" w:pos="720"/>
        </w:tabs>
        <w:ind w:left="720"/>
        <w:jc w:val="both"/>
        <w:rPr>
          <w:rFonts w:ascii="Calibri" w:hAnsi="Calibri"/>
          <w:sz w:val="22"/>
        </w:rPr>
      </w:pPr>
      <w:r>
        <w:rPr>
          <w:rFonts w:ascii="Calibri" w:hAnsi="Calibri"/>
          <w:sz w:val="22"/>
        </w:rPr>
        <w:t>Matching funds for municipalities that sponsor affordable housing projects.</w:t>
      </w:r>
    </w:p>
    <w:p w14:paraId="7FDA27A5" w14:textId="77777777" w:rsidR="00DA633B" w:rsidRDefault="00DA633B" w:rsidP="005D3FC9">
      <w:pPr>
        <w:pStyle w:val="BodyTextIndent"/>
        <w:numPr>
          <w:ilvl w:val="0"/>
          <w:numId w:val="36"/>
        </w:numPr>
        <w:tabs>
          <w:tab w:val="clear" w:pos="1440"/>
          <w:tab w:val="num" w:pos="720"/>
        </w:tabs>
        <w:spacing w:after="0"/>
        <w:ind w:left="720"/>
        <w:jc w:val="both"/>
        <w:rPr>
          <w:rFonts w:ascii="Calibri" w:hAnsi="Calibri"/>
          <w:sz w:val="22"/>
        </w:rPr>
      </w:pPr>
      <w:r>
        <w:rPr>
          <w:rFonts w:ascii="Calibri" w:hAnsi="Calibri"/>
          <w:sz w:val="22"/>
        </w:rPr>
        <w:t xml:space="preserve">Matching funds for employer-based housing and capital grants for public housing. </w:t>
      </w:r>
    </w:p>
    <w:p w14:paraId="6F2FE79D" w14:textId="77777777" w:rsidR="00DA633B" w:rsidRDefault="00DA633B" w:rsidP="00C54FC9">
      <w:pPr>
        <w:pStyle w:val="BodyTextIndent"/>
        <w:spacing w:after="0"/>
        <w:ind w:left="0"/>
        <w:jc w:val="both"/>
        <w:rPr>
          <w:rFonts w:ascii="Calibri" w:hAnsi="Calibri"/>
          <w:sz w:val="22"/>
        </w:rPr>
      </w:pPr>
    </w:p>
    <w:p w14:paraId="1BD569D9" w14:textId="77777777" w:rsidR="00DA633B" w:rsidRDefault="00DA633B" w:rsidP="00C54FC9">
      <w:pPr>
        <w:jc w:val="both"/>
        <w:rPr>
          <w:rFonts w:ascii="Calibri" w:hAnsi="Calibri"/>
          <w:sz w:val="22"/>
        </w:rPr>
      </w:pPr>
      <w:r>
        <w:rPr>
          <w:rFonts w:ascii="Calibri" w:hAnsi="Calibri"/>
          <w:sz w:val="22"/>
        </w:rPr>
        <w:t>Funds can be used to build or renovate new affordable housing, preserve the affordability of subsidized expiring use housing, and renovate public housing. While the fund has the flexibility of serving households with incomes up to 110%, preferences for funding will be directed to projects involving the production of new affordable units for families earning below 80% of median income.  The program also includes a set-aside for projects that serve homeless households or those earning below 30% of median income.  Once again, the One Stop Application is used to apply for funding, typically through the availability of two funding rounds per year.</w:t>
      </w:r>
    </w:p>
    <w:p w14:paraId="654A6E64" w14:textId="77777777" w:rsidR="00DA633B" w:rsidRDefault="00DA633B" w:rsidP="00C54FC9">
      <w:pPr>
        <w:jc w:val="both"/>
        <w:rPr>
          <w:rFonts w:ascii="Calibri" w:hAnsi="Calibri"/>
          <w:sz w:val="22"/>
        </w:rPr>
      </w:pPr>
    </w:p>
    <w:p w14:paraId="7379D3E2" w14:textId="77777777" w:rsidR="00DA633B" w:rsidRDefault="00DA633B" w:rsidP="00C54FC9">
      <w:pPr>
        <w:jc w:val="both"/>
        <w:rPr>
          <w:rFonts w:ascii="Calibri" w:hAnsi="Calibri"/>
          <w:b/>
          <w:bCs/>
          <w:i/>
          <w:iCs/>
          <w:sz w:val="22"/>
        </w:rPr>
      </w:pPr>
      <w:r>
        <w:rPr>
          <w:rFonts w:ascii="Calibri" w:hAnsi="Calibri"/>
          <w:b/>
          <w:bCs/>
          <w:i/>
          <w:iCs/>
          <w:sz w:val="22"/>
        </w:rPr>
        <w:t>6.</w:t>
      </w:r>
      <w:r>
        <w:rPr>
          <w:rFonts w:ascii="Calibri" w:hAnsi="Calibri"/>
          <w:b/>
          <w:bCs/>
          <w:i/>
          <w:iCs/>
          <w:sz w:val="22"/>
        </w:rPr>
        <w:tab/>
        <w:t>Housing Innovations Fund (HIF)</w:t>
      </w:r>
    </w:p>
    <w:p w14:paraId="23C271F9" w14:textId="77777777" w:rsidR="00DA633B" w:rsidRPr="000E71B8" w:rsidRDefault="00DA633B" w:rsidP="00C54FC9">
      <w:pPr>
        <w:pStyle w:val="BodyText2"/>
        <w:spacing w:after="0" w:line="240" w:lineRule="auto"/>
        <w:jc w:val="both"/>
        <w:rPr>
          <w:rFonts w:ascii="Calibri" w:hAnsi="Calibri"/>
          <w:sz w:val="22"/>
          <w:szCs w:val="22"/>
        </w:rPr>
      </w:pPr>
      <w:r w:rsidRPr="000E71B8">
        <w:rPr>
          <w:rFonts w:ascii="Calibri" w:hAnsi="Calibri"/>
          <w:sz w:val="22"/>
          <w:szCs w:val="22"/>
        </w:rPr>
        <w:lastRenderedPageBreak/>
        <w:t>The state also administers the Housing Innovations Fund (HIF) that was created by a 1987 bond bill and expanded under two subsequent bond bills to provide a 5% deferred loan to non-profit organizations for no more than $500,000 per project or up to 30% of the costs associated with developing alternative forms of housing including limited equity coops, mutual housing, single-room occupancy housing, special needs housing, transitional housing, domestic violence shelters and congregate housing.  At least 25% of the units must be reserved for households earning less than 80% of median income and another 25% for those earning within 50% of area median income.   HIF can also be used with other state subsidy programs including HOME, HSF and Low Income Housing Tax Credits.  The Community Economic Development Assistance Corporation (CEDAC) administers this program.  Applicants are required to complete the One-Stop Application.</w:t>
      </w:r>
    </w:p>
    <w:p w14:paraId="759B3472" w14:textId="77777777" w:rsidR="00DA633B" w:rsidRPr="000E71B8" w:rsidRDefault="00DA633B" w:rsidP="00C54FC9">
      <w:pPr>
        <w:pStyle w:val="BodyText2"/>
        <w:spacing w:after="0" w:line="240" w:lineRule="auto"/>
        <w:jc w:val="both"/>
        <w:rPr>
          <w:rFonts w:ascii="Calibri" w:hAnsi="Calibri"/>
          <w:sz w:val="22"/>
          <w:szCs w:val="22"/>
        </w:rPr>
      </w:pPr>
    </w:p>
    <w:p w14:paraId="23C65BB4" w14:textId="77777777" w:rsidR="00DA633B" w:rsidRPr="000E71B8" w:rsidRDefault="00DA633B" w:rsidP="00C54FC9">
      <w:pPr>
        <w:pStyle w:val="BodyText2"/>
        <w:tabs>
          <w:tab w:val="left" w:pos="720"/>
        </w:tabs>
        <w:spacing w:after="0" w:line="240" w:lineRule="auto"/>
        <w:jc w:val="both"/>
        <w:rPr>
          <w:rFonts w:ascii="Calibri" w:hAnsi="Calibri"/>
          <w:b/>
          <w:bCs/>
          <w:i/>
          <w:iCs/>
          <w:sz w:val="22"/>
          <w:szCs w:val="22"/>
        </w:rPr>
      </w:pPr>
      <w:r w:rsidRPr="000E71B8">
        <w:rPr>
          <w:rFonts w:ascii="Calibri" w:hAnsi="Calibri"/>
          <w:b/>
          <w:bCs/>
          <w:i/>
          <w:iCs/>
          <w:sz w:val="22"/>
          <w:szCs w:val="22"/>
        </w:rPr>
        <w:t>7.</w:t>
      </w:r>
      <w:r w:rsidRPr="000E71B8">
        <w:rPr>
          <w:rFonts w:ascii="Calibri" w:hAnsi="Calibri"/>
          <w:b/>
          <w:bCs/>
          <w:i/>
          <w:iCs/>
          <w:sz w:val="22"/>
          <w:szCs w:val="22"/>
        </w:rPr>
        <w:tab/>
        <w:t>Federal Home Loan Bank Board’s Affordable Housing Program (AHP)</w:t>
      </w:r>
    </w:p>
    <w:p w14:paraId="0BB8C862" w14:textId="77777777" w:rsidR="00DA633B" w:rsidRPr="000E71B8" w:rsidRDefault="00DA633B" w:rsidP="00C54FC9">
      <w:pPr>
        <w:jc w:val="both"/>
        <w:rPr>
          <w:rFonts w:ascii="Calibri" w:hAnsi="Calibri"/>
          <w:sz w:val="22"/>
          <w:szCs w:val="22"/>
        </w:rPr>
      </w:pPr>
      <w:r w:rsidRPr="000E71B8">
        <w:rPr>
          <w:rFonts w:ascii="Calibri" w:hAnsi="Calibri"/>
          <w:sz w:val="22"/>
          <w:szCs w:val="22"/>
        </w:rPr>
        <w:t>Another potential source of funding for both homeownership and rental projects is the Federal Home Loan Bank Board’s Affordable Housing Program (AHP)</w:t>
      </w:r>
      <w:r w:rsidRPr="000E71B8">
        <w:rPr>
          <w:rFonts w:ascii="Calibri" w:hAnsi="Calibri"/>
          <w:i/>
          <w:iCs/>
          <w:sz w:val="22"/>
          <w:szCs w:val="22"/>
        </w:rPr>
        <w:t xml:space="preserve"> </w:t>
      </w:r>
      <w:r w:rsidRPr="000E71B8">
        <w:rPr>
          <w:rFonts w:ascii="Calibri" w:hAnsi="Calibri"/>
          <w:sz w:val="22"/>
          <w:szCs w:val="22"/>
        </w:rPr>
        <w:t xml:space="preserve">that provides subsidies to projects targeted to households earning between 50% and 80% of median income, with up to $300,000 available per project.  This funding is directed to filling existing financial gaps in low- and moderate-income affordable housing projects.  There are typically two competitive funding rounds per year for this program.  </w:t>
      </w:r>
    </w:p>
    <w:p w14:paraId="4AEC0FB9" w14:textId="77777777" w:rsidR="00DA633B" w:rsidRPr="000E71B8" w:rsidRDefault="00DA633B" w:rsidP="00C54FC9">
      <w:pPr>
        <w:jc w:val="both"/>
        <w:rPr>
          <w:rFonts w:ascii="Calibri" w:hAnsi="Calibri"/>
          <w:sz w:val="22"/>
          <w:szCs w:val="22"/>
        </w:rPr>
      </w:pPr>
    </w:p>
    <w:p w14:paraId="5D2407EB" w14:textId="77777777" w:rsidR="00DA633B" w:rsidRDefault="00DA633B" w:rsidP="00C54FC9">
      <w:pPr>
        <w:jc w:val="both"/>
        <w:rPr>
          <w:rFonts w:ascii="Calibri" w:hAnsi="Calibri"/>
          <w:b/>
          <w:bCs/>
          <w:i/>
          <w:iCs/>
          <w:sz w:val="22"/>
        </w:rPr>
      </w:pPr>
      <w:r>
        <w:rPr>
          <w:rFonts w:ascii="Calibri" w:hAnsi="Calibri"/>
          <w:b/>
          <w:bCs/>
          <w:i/>
          <w:iCs/>
          <w:sz w:val="22"/>
        </w:rPr>
        <w:t>8.</w:t>
      </w:r>
      <w:r>
        <w:rPr>
          <w:rFonts w:ascii="Calibri" w:hAnsi="Calibri"/>
          <w:b/>
          <w:bCs/>
          <w:i/>
          <w:iCs/>
          <w:sz w:val="22"/>
        </w:rPr>
        <w:tab/>
        <w:t>MHP Permanent Rental Financing Program</w:t>
      </w:r>
    </w:p>
    <w:p w14:paraId="4A50A8CC" w14:textId="77777777" w:rsidR="00DA633B" w:rsidRDefault="00DA633B" w:rsidP="00C54FC9">
      <w:pPr>
        <w:jc w:val="both"/>
        <w:rPr>
          <w:rFonts w:ascii="Calibri" w:hAnsi="Calibri"/>
          <w:sz w:val="22"/>
        </w:rPr>
      </w:pPr>
      <w:r>
        <w:rPr>
          <w:rFonts w:ascii="Calibri" w:hAnsi="Calibri"/>
          <w:sz w:val="22"/>
        </w:rPr>
        <w:t>The state also provides several financing programs for rental projects through the Massachusetts Housing Partnership Fund.  The Permanent Rental Financing Program provides long-term, fixed-rate permanent financing for rental projects of five or more units from $100,000 loans to amounts of $2 million.   At least 20% of the units must be affordable to households earning less than 50% of median income or at least 40% of the units must be affordable to households earning less than 60% of median income or at least 50% of the units must be affordable to households earning less than 80% of median income. MHP also administers the Permanent Plus</w:t>
      </w:r>
      <w:r>
        <w:rPr>
          <w:rFonts w:ascii="Calibri" w:hAnsi="Calibri"/>
          <w:i/>
          <w:iCs/>
          <w:sz w:val="22"/>
        </w:rPr>
        <w:t xml:space="preserve"> </w:t>
      </w:r>
      <w:r>
        <w:rPr>
          <w:rFonts w:ascii="Calibri" w:hAnsi="Calibri"/>
          <w:sz w:val="22"/>
        </w:rPr>
        <w:t>Program targeted to multi-family housing or SRO properties with five or more units where at least 20% of the units are affordable to households earning less than 50% of median income.  The program combines MHP’s permanent financing with a 0% deferred loan of up to $40,000 per affordable unit up to a maximum of $500,000 per project.  No other subsidy funds are allowed in this program.  The Bridge Financing Program offers bridge loans of up to eight years ranging from $250,000 to $5 million to projects involving Low Income Housing Tax Credits.  Applicants should contact MHP directly to obtain additional information on the program and how to apply.</w:t>
      </w:r>
    </w:p>
    <w:p w14:paraId="13687F91" w14:textId="77777777" w:rsidR="00DA633B" w:rsidRDefault="00DA633B" w:rsidP="00C54FC9">
      <w:pPr>
        <w:jc w:val="both"/>
        <w:rPr>
          <w:rFonts w:ascii="Calibri" w:hAnsi="Calibri"/>
          <w:sz w:val="22"/>
        </w:rPr>
      </w:pPr>
    </w:p>
    <w:p w14:paraId="2AF28EE8" w14:textId="77777777" w:rsidR="00DA633B" w:rsidRDefault="00DA633B" w:rsidP="005D3FC9">
      <w:pPr>
        <w:numPr>
          <w:ilvl w:val="1"/>
          <w:numId w:val="29"/>
        </w:numPr>
        <w:tabs>
          <w:tab w:val="clear" w:pos="1080"/>
        </w:tabs>
        <w:ind w:left="0" w:firstLine="0"/>
        <w:jc w:val="both"/>
        <w:rPr>
          <w:rFonts w:ascii="Calibri" w:hAnsi="Calibri"/>
          <w:b/>
          <w:bCs/>
          <w:i/>
          <w:iCs/>
          <w:sz w:val="22"/>
        </w:rPr>
      </w:pPr>
      <w:r>
        <w:rPr>
          <w:rFonts w:ascii="Calibri" w:hAnsi="Calibri"/>
          <w:b/>
          <w:bCs/>
          <w:i/>
          <w:iCs/>
          <w:sz w:val="22"/>
        </w:rPr>
        <w:t>OneSource Program</w:t>
      </w:r>
    </w:p>
    <w:p w14:paraId="36611AB8" w14:textId="77777777" w:rsidR="00DA633B" w:rsidRDefault="00DA633B" w:rsidP="00C54FC9">
      <w:pPr>
        <w:jc w:val="both"/>
        <w:rPr>
          <w:rFonts w:ascii="Calibri" w:hAnsi="Calibri"/>
          <w:sz w:val="22"/>
        </w:rPr>
      </w:pPr>
      <w:r>
        <w:rPr>
          <w:rFonts w:ascii="Calibri" w:hAnsi="Calibri"/>
          <w:sz w:val="22"/>
        </w:rPr>
        <w:t>The Massachusetts Housing Investment Corporation</w:t>
      </w:r>
      <w:r>
        <w:rPr>
          <w:rFonts w:ascii="Calibri" w:hAnsi="Calibri"/>
          <w:i/>
          <w:iCs/>
          <w:sz w:val="22"/>
        </w:rPr>
        <w:t xml:space="preserve"> </w:t>
      </w:r>
      <w:r>
        <w:rPr>
          <w:rFonts w:ascii="Calibri" w:hAnsi="Calibri"/>
          <w:sz w:val="22"/>
        </w:rPr>
        <w:t>(MHIC) is a private, non-profit corporation that since 1991 has provided financing for affordable housing developments and equity for projects that involve the federal Low Income Housing Tax Credit Program.  MHIC raises money from area banks to fund its loan pool and invest in the tax credits.  In order to qualify for MHIC’s OneSource financing, the project must include a significant number of affordable units, such that 20% to 25% of the units are affordable to households earning within 80% of median income.  Interest rates are typically one point over prime and there is a 1% commitment fee.  MHIC loans range from $250,000 to several million, with a minimum project size of six units.  Financing can be used for both rental and homeownership projects, for rehab and new construction, also covering acquisition costs with quick turn-around times for applications of less than a month (an appraisal is required).  The MHIC and MHP work closely together to coordinate MHIC’s construction financing with MHP’s permanent take-out through the OneSource Program, making their forms compatible and utilizing the same attorneys to expedite and reduce costs associated with producing affordable housing.</w:t>
      </w:r>
    </w:p>
    <w:p w14:paraId="6DE26BBB" w14:textId="77777777" w:rsidR="000E71B8" w:rsidRDefault="000E71B8" w:rsidP="00C54FC9">
      <w:pPr>
        <w:jc w:val="both"/>
        <w:rPr>
          <w:rFonts w:ascii="Calibri" w:hAnsi="Calibri"/>
          <w:sz w:val="22"/>
        </w:rPr>
      </w:pPr>
    </w:p>
    <w:p w14:paraId="42842347" w14:textId="66949E88" w:rsidR="00DA633B" w:rsidRDefault="00DA633B" w:rsidP="005D3FC9">
      <w:pPr>
        <w:pStyle w:val="Footer"/>
        <w:numPr>
          <w:ilvl w:val="1"/>
          <w:numId w:val="29"/>
        </w:numPr>
        <w:tabs>
          <w:tab w:val="clear" w:pos="1080"/>
          <w:tab w:val="num" w:pos="720"/>
        </w:tabs>
        <w:ind w:left="720"/>
        <w:jc w:val="both"/>
        <w:rPr>
          <w:rFonts w:ascii="Calibri" w:hAnsi="Calibri"/>
          <w:b/>
          <w:bCs/>
          <w:i/>
          <w:iCs/>
          <w:sz w:val="22"/>
        </w:rPr>
      </w:pPr>
      <w:r>
        <w:rPr>
          <w:rFonts w:ascii="Calibri" w:hAnsi="Calibri"/>
          <w:b/>
          <w:bCs/>
          <w:i/>
          <w:iCs/>
          <w:sz w:val="22"/>
        </w:rPr>
        <w:t>Section 8 Housing Choice Rental Assistance</w:t>
      </w:r>
    </w:p>
    <w:p w14:paraId="624A4377" w14:textId="77777777" w:rsidR="00DA633B" w:rsidRDefault="00DA633B" w:rsidP="00C54FC9">
      <w:pPr>
        <w:pStyle w:val="Footer"/>
        <w:jc w:val="both"/>
        <w:rPr>
          <w:rFonts w:ascii="Calibri" w:hAnsi="Calibri"/>
          <w:sz w:val="22"/>
        </w:rPr>
      </w:pPr>
      <w:r>
        <w:rPr>
          <w:rFonts w:ascii="Calibri" w:hAnsi="Calibri"/>
          <w:sz w:val="22"/>
        </w:rPr>
        <w:t xml:space="preserve">An important low-income housing resource is the Section 8 Program that provides rental assistance to help low- and moderate-income households pay their rent.   In addition to the federal Section 8 Program, the state also provides rental subsidies through the Massachusetts Rental Voucher Program (MRVP) as well as three smaller programs directed to those with special needs and veterans.  These rental subsidy programs are administered by the state or through local housing authorities and regional non-profit housing organizations.  Rent subsidies take two basic forms – either granted directly to tenants or committed to specific projects through special Project-based rental assistance.  Most programs require households to pay a minimum percentage of their adjusted income (typically 30%) for housing (rent and utilities) with the government paying the difference between the household’s contribution and the actual rent.  </w:t>
      </w:r>
    </w:p>
    <w:p w14:paraId="560B22EA" w14:textId="77777777" w:rsidR="00DA633B" w:rsidRDefault="00DA633B" w:rsidP="00C54FC9">
      <w:pPr>
        <w:pStyle w:val="Footer"/>
        <w:jc w:val="both"/>
        <w:rPr>
          <w:rFonts w:ascii="Calibri" w:hAnsi="Calibri"/>
          <w:sz w:val="22"/>
        </w:rPr>
      </w:pPr>
    </w:p>
    <w:p w14:paraId="0447606D" w14:textId="0B97BE34" w:rsidR="00DA633B" w:rsidRDefault="00DA633B" w:rsidP="005D3FC9">
      <w:pPr>
        <w:pStyle w:val="Footer"/>
        <w:numPr>
          <w:ilvl w:val="1"/>
          <w:numId w:val="29"/>
        </w:numPr>
        <w:tabs>
          <w:tab w:val="clear" w:pos="1080"/>
          <w:tab w:val="num" w:pos="720"/>
        </w:tabs>
        <w:ind w:left="630" w:hanging="630"/>
        <w:jc w:val="both"/>
        <w:rPr>
          <w:rFonts w:ascii="Calibri" w:hAnsi="Calibri"/>
          <w:b/>
          <w:bCs/>
          <w:i/>
          <w:iCs/>
          <w:sz w:val="22"/>
        </w:rPr>
      </w:pPr>
      <w:r>
        <w:rPr>
          <w:rFonts w:ascii="Calibri" w:hAnsi="Calibri"/>
          <w:b/>
          <w:bCs/>
          <w:i/>
          <w:iCs/>
          <w:sz w:val="22"/>
        </w:rPr>
        <w:t>Massachusetts Preservation Projects Fund</w:t>
      </w:r>
    </w:p>
    <w:p w14:paraId="414ADAEA" w14:textId="77777777" w:rsidR="00DA633B" w:rsidRDefault="00DA633B" w:rsidP="00C54FC9">
      <w:pPr>
        <w:pStyle w:val="Footer"/>
        <w:jc w:val="both"/>
        <w:rPr>
          <w:rFonts w:ascii="Calibri" w:hAnsi="Calibri"/>
          <w:sz w:val="22"/>
        </w:rPr>
      </w:pPr>
      <w:r>
        <w:rPr>
          <w:rFonts w:ascii="Calibri" w:hAnsi="Calibri"/>
          <w:sz w:val="22"/>
        </w:rPr>
        <w:t>The Massachusetts Preservation Projects Fund (MPPF) is a state-funded 50% reimbursable matching grant program that supports the preservation of properties, landscapes, and sites (cultural resources) listed in the State Register of Historic Places.  Applicants must be municipality or non-profit organization.  Funds can be available for pre-development including feasibility studies, historic structure reports and certain archaeological investigations of up to $30,000.  Funding can also be used for construction activities including stabilization, protection, rehabilitation, and restoration or the acquisition of a state-registered property that are imminently threatened with inappropriate alteration or destruction.  Funding for development and acquisition projects range from $7,500 to $100,000.  Work completed prior to the grant award, routine maintenance items, mechanical system upgrades, renovation of non-historic spaces, moving an historic building, construction of additions or architectural/engineering fees are not eligible for funding or use as the matching share.  A unique feature of the program allows applicants to request up to 75% of construction costs if there is a commitment to establish a historic property maintenance fund by setting aside an additional 25% over their matching share in a restricted endowment fund.  A round of funding was recently held, but future rounds are not authorized at this time.</w:t>
      </w:r>
    </w:p>
    <w:p w14:paraId="6FBD0804" w14:textId="77777777" w:rsidR="00DA633B" w:rsidRDefault="00DA633B" w:rsidP="00C54FC9">
      <w:pPr>
        <w:pStyle w:val="Footer"/>
        <w:jc w:val="both"/>
        <w:rPr>
          <w:rFonts w:ascii="Calibri" w:hAnsi="Calibri"/>
          <w:sz w:val="22"/>
        </w:rPr>
      </w:pPr>
    </w:p>
    <w:p w14:paraId="41E96675" w14:textId="220AC80A" w:rsidR="00DA633B" w:rsidRDefault="00DA633B" w:rsidP="005D3FC9">
      <w:pPr>
        <w:pStyle w:val="Footer"/>
        <w:numPr>
          <w:ilvl w:val="1"/>
          <w:numId w:val="29"/>
        </w:numPr>
        <w:tabs>
          <w:tab w:val="clear" w:pos="1080"/>
          <w:tab w:val="num" w:pos="720"/>
        </w:tabs>
        <w:ind w:left="720"/>
        <w:jc w:val="both"/>
        <w:rPr>
          <w:rFonts w:ascii="Calibri" w:hAnsi="Calibri"/>
          <w:b/>
          <w:bCs/>
          <w:i/>
          <w:iCs/>
          <w:sz w:val="22"/>
        </w:rPr>
      </w:pPr>
      <w:r>
        <w:rPr>
          <w:rFonts w:ascii="Calibri" w:hAnsi="Calibri"/>
          <w:b/>
          <w:bCs/>
          <w:i/>
          <w:iCs/>
          <w:sz w:val="22"/>
        </w:rPr>
        <w:t>District Improvement Financing Program (DIF)</w:t>
      </w:r>
    </w:p>
    <w:p w14:paraId="320C6AA6" w14:textId="77777777" w:rsidR="00DA633B" w:rsidRDefault="00DA633B" w:rsidP="00C54FC9">
      <w:pPr>
        <w:pStyle w:val="Footer"/>
        <w:jc w:val="both"/>
        <w:rPr>
          <w:rFonts w:ascii="Calibri" w:hAnsi="Calibri"/>
          <w:sz w:val="22"/>
        </w:rPr>
      </w:pPr>
      <w:r>
        <w:rPr>
          <w:rFonts w:ascii="Calibri" w:hAnsi="Calibri"/>
          <w:sz w:val="22"/>
        </w:rPr>
        <w:t>The District Improvement Financing Program (DIF) is administered by the state’s Office of Business Development to enable municipalities to finance public works and infrastructure by pledging future incremental taxes resulting from growth within a designated area to service financing obligations.  This Program, in combination with others, can be helpful in developing or redeveloping target areas of a community, including the promotion of mixed-uses and smart growth.  Municipalities submit a standard application and follow a prescribed application process directed by the Office of Business Development in coordination with the Economic Assistance Coordinating Council.</w:t>
      </w:r>
    </w:p>
    <w:p w14:paraId="21643B79" w14:textId="77777777" w:rsidR="00DA633B" w:rsidRPr="00366E13" w:rsidRDefault="00DA633B" w:rsidP="00C54FC9">
      <w:pPr>
        <w:pStyle w:val="Footer"/>
        <w:jc w:val="both"/>
        <w:rPr>
          <w:rFonts w:ascii="Calibri" w:hAnsi="Calibri"/>
          <w:i/>
          <w:iCs/>
          <w:sz w:val="22"/>
        </w:rPr>
      </w:pPr>
    </w:p>
    <w:p w14:paraId="1D4A4A48" w14:textId="7F6F8CC8" w:rsidR="00DA633B" w:rsidRDefault="00DA633B" w:rsidP="005D3FC9">
      <w:pPr>
        <w:pStyle w:val="Footer"/>
        <w:numPr>
          <w:ilvl w:val="1"/>
          <w:numId w:val="29"/>
        </w:numPr>
        <w:tabs>
          <w:tab w:val="clear" w:pos="1080"/>
          <w:tab w:val="num" w:pos="720"/>
        </w:tabs>
        <w:ind w:left="720"/>
        <w:jc w:val="both"/>
        <w:rPr>
          <w:rFonts w:ascii="Calibri" w:hAnsi="Calibri"/>
          <w:i/>
          <w:iCs/>
          <w:sz w:val="22"/>
        </w:rPr>
      </w:pPr>
      <w:r w:rsidRPr="00366E13">
        <w:rPr>
          <w:rFonts w:ascii="Calibri" w:hAnsi="Calibri"/>
          <w:i/>
          <w:iCs/>
          <w:sz w:val="22"/>
        </w:rPr>
        <w:t>U</w:t>
      </w:r>
      <w:r>
        <w:rPr>
          <w:rFonts w:ascii="Calibri" w:hAnsi="Calibri"/>
          <w:b/>
          <w:bCs/>
          <w:i/>
          <w:iCs/>
          <w:sz w:val="22"/>
        </w:rPr>
        <w:t>rban Center Housing Tax Increment Financing Zone (UCH-TIF)</w:t>
      </w:r>
      <w:r>
        <w:rPr>
          <w:rFonts w:ascii="Calibri" w:hAnsi="Calibri"/>
          <w:i/>
          <w:iCs/>
          <w:sz w:val="22"/>
        </w:rPr>
        <w:tab/>
      </w:r>
    </w:p>
    <w:p w14:paraId="7CEF7E7F" w14:textId="36746A18" w:rsidR="00DA633B" w:rsidRDefault="00DA633B" w:rsidP="00C54FC9">
      <w:pPr>
        <w:pStyle w:val="Footer"/>
        <w:jc w:val="both"/>
        <w:rPr>
          <w:rFonts w:ascii="Calibri" w:hAnsi="Calibri"/>
          <w:sz w:val="22"/>
        </w:rPr>
      </w:pPr>
      <w:r>
        <w:rPr>
          <w:rFonts w:ascii="Calibri" w:hAnsi="Calibri"/>
          <w:sz w:val="22"/>
        </w:rPr>
        <w:t xml:space="preserve">The Urban Center Housing Tax Increment Financing Zone Program (UCH-TIF) is a relatively new state initiative designed to give cities and towns the ability to promote residential and commercial development in commercial centers through tax increment financing that provides a real estate tax exemption on all or part of the increased value (the “increment”) of the improved real estate.  The development must be primarily residential and this program can be combined with grants and loans from other local, state and federal development programs.  An important purpose of the program is to increase the amount of affordable housing for households earning at or below 80% of area median income and requires that 25% of new housing to be built in the zone be affordable, although the </w:t>
      </w:r>
      <w:r>
        <w:rPr>
          <w:rFonts w:ascii="Calibri" w:hAnsi="Calibri"/>
          <w:sz w:val="22"/>
        </w:rPr>
        <w:lastRenderedPageBreak/>
        <w:t>Department of Housing and Community Development may approve a lesser percentage where necessary to insure financial feasibility.  In order to take advantage of the program, a municipality needs to adopt a detailed UCH-TIF Plan and submit it to DHCD for approval.</w:t>
      </w:r>
    </w:p>
    <w:p w14:paraId="2B16DB4F" w14:textId="77777777" w:rsidR="00366E13" w:rsidRDefault="00366E13" w:rsidP="00C54FC9">
      <w:pPr>
        <w:pStyle w:val="Footer"/>
        <w:jc w:val="both"/>
        <w:rPr>
          <w:rFonts w:ascii="Calibri" w:hAnsi="Calibri"/>
          <w:sz w:val="22"/>
        </w:rPr>
      </w:pPr>
    </w:p>
    <w:p w14:paraId="0AD4B996" w14:textId="06DD783B" w:rsidR="00DA633B" w:rsidRDefault="00366E13" w:rsidP="005D3FC9">
      <w:pPr>
        <w:pStyle w:val="Footer"/>
        <w:numPr>
          <w:ilvl w:val="1"/>
          <w:numId w:val="29"/>
        </w:numPr>
        <w:tabs>
          <w:tab w:val="clear" w:pos="1080"/>
          <w:tab w:val="left" w:pos="720"/>
          <w:tab w:val="left" w:pos="810"/>
        </w:tabs>
        <w:ind w:left="720"/>
        <w:jc w:val="both"/>
        <w:rPr>
          <w:rFonts w:ascii="Calibri" w:hAnsi="Calibri"/>
          <w:b/>
          <w:bCs/>
          <w:i/>
          <w:iCs/>
          <w:sz w:val="22"/>
        </w:rPr>
      </w:pPr>
      <w:r>
        <w:rPr>
          <w:rFonts w:ascii="Calibri" w:hAnsi="Calibri"/>
          <w:b/>
          <w:bCs/>
          <w:i/>
          <w:iCs/>
          <w:sz w:val="22"/>
        </w:rPr>
        <w:t>C</w:t>
      </w:r>
      <w:r w:rsidR="00DA633B">
        <w:rPr>
          <w:rFonts w:ascii="Calibri" w:hAnsi="Calibri"/>
          <w:b/>
          <w:bCs/>
          <w:i/>
          <w:iCs/>
          <w:sz w:val="22"/>
        </w:rPr>
        <w:t>ommunity Based Housing Program</w:t>
      </w:r>
    </w:p>
    <w:p w14:paraId="1DE07541" w14:textId="77777777" w:rsidR="00DA633B" w:rsidRDefault="00DA633B" w:rsidP="00C54FC9">
      <w:pPr>
        <w:pStyle w:val="Footer"/>
        <w:jc w:val="both"/>
        <w:rPr>
          <w:rFonts w:ascii="Calibri" w:hAnsi="Calibri"/>
          <w:sz w:val="22"/>
        </w:rPr>
      </w:pPr>
      <w:r>
        <w:rPr>
          <w:rFonts w:ascii="Calibri" w:hAnsi="Calibri"/>
          <w:sz w:val="22"/>
        </w:rPr>
        <w:t>The Community Based Housing Program provides loans to nonprofit agencies for the development or redevelopment of integrated housing for people with disabilities in institutions or nursing facilities or at risk of institutionalization.  The Program provides permanent, deferred payment loans for a term of 30 years, and CBH funds may cover up to 50% of a CHA unit’s Total Development Costs up to a maximum of $750,000 per project.</w:t>
      </w:r>
    </w:p>
    <w:p w14:paraId="46FEF636" w14:textId="77777777" w:rsidR="00DA633B" w:rsidRDefault="00DA633B" w:rsidP="00C54FC9">
      <w:pPr>
        <w:pStyle w:val="Footer"/>
        <w:jc w:val="both"/>
        <w:rPr>
          <w:rFonts w:ascii="Calibri" w:hAnsi="Calibri"/>
          <w:sz w:val="22"/>
        </w:rPr>
      </w:pPr>
    </w:p>
    <w:p w14:paraId="3E3846EA" w14:textId="77777777" w:rsidR="00DA633B" w:rsidRDefault="00DA633B" w:rsidP="00C54FC9">
      <w:pPr>
        <w:jc w:val="both"/>
        <w:rPr>
          <w:rFonts w:ascii="Calibri" w:hAnsi="Calibri" w:cs="Lucida Sans Unicode"/>
          <w:b/>
          <w:bCs/>
          <w:i/>
          <w:iCs/>
          <w:sz w:val="22"/>
        </w:rPr>
      </w:pPr>
      <w:r>
        <w:rPr>
          <w:rFonts w:ascii="Calibri" w:hAnsi="Calibri" w:cs="Lucida Sans Unicode"/>
          <w:b/>
          <w:bCs/>
          <w:i/>
          <w:iCs/>
          <w:sz w:val="22"/>
        </w:rPr>
        <w:t>15.</w:t>
      </w:r>
      <w:r>
        <w:rPr>
          <w:rFonts w:ascii="Calibri" w:hAnsi="Calibri" w:cs="Lucida Sans Unicode"/>
          <w:b/>
          <w:bCs/>
          <w:i/>
          <w:iCs/>
          <w:sz w:val="22"/>
        </w:rPr>
        <w:tab/>
        <w:t>Compact Neighborhoods Program</w:t>
      </w:r>
    </w:p>
    <w:p w14:paraId="10055BEC" w14:textId="77777777" w:rsidR="00DA633B" w:rsidRDefault="00DA633B" w:rsidP="00C54FC9">
      <w:pPr>
        <w:pStyle w:val="BodyTextIndent"/>
        <w:spacing w:after="0"/>
        <w:ind w:left="0"/>
        <w:jc w:val="both"/>
        <w:rPr>
          <w:rFonts w:ascii="Calibri" w:hAnsi="Calibri"/>
          <w:sz w:val="22"/>
        </w:rPr>
      </w:pPr>
      <w:r>
        <w:rPr>
          <w:rFonts w:ascii="Calibri" w:hAnsi="Calibri"/>
          <w:sz w:val="22"/>
        </w:rPr>
        <w:t>DHCD recently announced “Compact Neighborhoods” that provides additional incentives to municipalities that adopt zoning districts for working families of all incomes as well as smart growth development.  Similar to 40R, the program requires new zoning that must:</w:t>
      </w:r>
    </w:p>
    <w:p w14:paraId="38A42934" w14:textId="77777777" w:rsidR="00DA633B" w:rsidRDefault="00DA633B" w:rsidP="00C54FC9">
      <w:pPr>
        <w:pStyle w:val="BodyTextIndent"/>
        <w:spacing w:after="0"/>
        <w:ind w:left="0"/>
        <w:jc w:val="both"/>
      </w:pPr>
    </w:p>
    <w:p w14:paraId="0CCD79C6"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cs="Lucida Sans Unicode"/>
          <w:sz w:val="22"/>
        </w:rPr>
      </w:pPr>
      <w:r>
        <w:rPr>
          <w:rFonts w:ascii="Calibri" w:hAnsi="Calibri" w:cs="Lucida Sans Unicode"/>
          <w:sz w:val="22"/>
        </w:rPr>
        <w:t>Allow a minimum number of “future zoned units” in the Compact Neighborhood, which is generally 1% of the year-round housing in the community;</w:t>
      </w:r>
    </w:p>
    <w:p w14:paraId="41C55827"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cs="Lucida Sans Unicode"/>
          <w:sz w:val="22"/>
        </w:rPr>
      </w:pPr>
      <w:r>
        <w:rPr>
          <w:rFonts w:ascii="Calibri" w:hAnsi="Calibri" w:cs="Lucida Sans Unicode"/>
          <w:sz w:val="22"/>
        </w:rPr>
        <w:t>Allow one or more densities as-of-right in the zone of at least eight (8) units per acre on developable land for multi-family housing and at least four (4) units per acre for single-family use;</w:t>
      </w:r>
    </w:p>
    <w:p w14:paraId="4AD3A4FD"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cs="Lucida Sans Unicode"/>
          <w:sz w:val="22"/>
        </w:rPr>
      </w:pPr>
      <w:r>
        <w:rPr>
          <w:rFonts w:ascii="Calibri" w:hAnsi="Calibri" w:cs="Lucida Sans Unicode"/>
          <w:sz w:val="22"/>
        </w:rPr>
        <w:t>Provide not less than 10% of units be affordable within projects of more than 12 units; and</w:t>
      </w:r>
    </w:p>
    <w:p w14:paraId="346D4910"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cs="Lucida Sans Unicode"/>
          <w:sz w:val="22"/>
        </w:rPr>
      </w:pPr>
      <w:r>
        <w:rPr>
          <w:rFonts w:ascii="Calibri" w:hAnsi="Calibri" w:cs="Lucida Sans Unicode"/>
          <w:sz w:val="22"/>
        </w:rPr>
        <w:t>Not impose any restrictions to age or other occupancy limitations within the Compact Neighborhood zone although projects within the zone may be targeted to the elderly, persons with disabilities, etc.</w:t>
      </w:r>
    </w:p>
    <w:p w14:paraId="5F98CBC5" w14:textId="77777777" w:rsidR="00DA633B" w:rsidRDefault="00DA633B" w:rsidP="00C54FC9">
      <w:pPr>
        <w:tabs>
          <w:tab w:val="num" w:pos="1656"/>
        </w:tabs>
        <w:jc w:val="both"/>
        <w:rPr>
          <w:rFonts w:ascii="Calibri" w:hAnsi="Calibri" w:cs="Lucida Sans Unicode"/>
          <w:sz w:val="22"/>
        </w:rPr>
      </w:pPr>
    </w:p>
    <w:p w14:paraId="03CE200F" w14:textId="77777777" w:rsidR="00DA633B" w:rsidRDefault="00DA633B" w:rsidP="00C54FC9">
      <w:pPr>
        <w:tabs>
          <w:tab w:val="num" w:pos="1656"/>
        </w:tabs>
        <w:jc w:val="both"/>
        <w:rPr>
          <w:rFonts w:ascii="Calibri" w:hAnsi="Calibri" w:cs="Lucida Sans Unicode"/>
          <w:sz w:val="22"/>
        </w:rPr>
      </w:pPr>
      <w:r>
        <w:rPr>
          <w:rFonts w:ascii="Calibri" w:hAnsi="Calibri" w:cs="Lucida Sans Unicode"/>
          <w:sz w:val="22"/>
        </w:rPr>
        <w:t>Financial assistance through the Priority Development Fund is available to communities that are adopting Compact Neighborhoods zoning, giving priority to the creation of mixed-use development beyond the bounds of a single project.  The state also promotes projects that meet the definition of smart growth under 40R, encourage housing that is priced to meet the needs of households across a broad range of incomes and needs.</w:t>
      </w:r>
    </w:p>
    <w:p w14:paraId="15B08A9C" w14:textId="77777777" w:rsidR="00DA633B" w:rsidRDefault="00DA633B" w:rsidP="00C54FC9">
      <w:pPr>
        <w:tabs>
          <w:tab w:val="num" w:pos="1656"/>
        </w:tabs>
        <w:jc w:val="both"/>
        <w:rPr>
          <w:rFonts w:ascii="Calibri" w:hAnsi="Calibri" w:cs="Lucida Sans Unicode"/>
          <w:sz w:val="22"/>
        </w:rPr>
      </w:pPr>
    </w:p>
    <w:p w14:paraId="30C24E20" w14:textId="77777777" w:rsidR="00DA633B" w:rsidRDefault="00DA633B" w:rsidP="00C54FC9">
      <w:pPr>
        <w:tabs>
          <w:tab w:val="num" w:pos="1656"/>
        </w:tabs>
        <w:jc w:val="both"/>
        <w:rPr>
          <w:rFonts w:ascii="Calibri" w:hAnsi="Calibri" w:cs="Lucida Sans Unicode"/>
          <w:sz w:val="22"/>
        </w:rPr>
      </w:pPr>
      <w:r>
        <w:rPr>
          <w:rFonts w:ascii="Calibri" w:hAnsi="Calibri" w:cs="Lucida Sans Unicode"/>
          <w:sz w:val="22"/>
        </w:rPr>
        <w:t>The process for implementing a Compact Neighborhoods Zone includes:</w:t>
      </w:r>
    </w:p>
    <w:p w14:paraId="293BF818" w14:textId="77777777" w:rsidR="00DA633B" w:rsidRDefault="00DA633B" w:rsidP="00C54FC9">
      <w:pPr>
        <w:pStyle w:val="BodyText"/>
        <w:tabs>
          <w:tab w:val="num" w:pos="360"/>
        </w:tabs>
        <w:spacing w:after="0"/>
        <w:ind w:left="360"/>
        <w:jc w:val="both"/>
        <w:rPr>
          <w:rFonts w:ascii="Calibri" w:hAnsi="Calibri" w:cs="Lucida Sans Unicode"/>
        </w:rPr>
      </w:pPr>
    </w:p>
    <w:p w14:paraId="7CA97BB8"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sz w:val="22"/>
        </w:rPr>
      </w:pPr>
      <w:r>
        <w:rPr>
          <w:rFonts w:ascii="Calibri" w:hAnsi="Calibri"/>
          <w:sz w:val="22"/>
        </w:rPr>
        <w:t>Identify an “as-of-right” base or overlay district (the Compact Neighborhood);</w:t>
      </w:r>
    </w:p>
    <w:p w14:paraId="0CFC3B3B"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sz w:val="22"/>
        </w:rPr>
      </w:pPr>
      <w:r>
        <w:rPr>
          <w:rFonts w:ascii="Calibri" w:hAnsi="Calibri"/>
          <w:sz w:val="22"/>
        </w:rPr>
        <w:t>Request and receive a Letter of Eligibility from DHCD; and</w:t>
      </w:r>
    </w:p>
    <w:p w14:paraId="437903CD" w14:textId="77777777" w:rsidR="00DA633B" w:rsidRDefault="00DA633B" w:rsidP="005D3FC9">
      <w:pPr>
        <w:numPr>
          <w:ilvl w:val="0"/>
          <w:numId w:val="36"/>
        </w:numPr>
        <w:tabs>
          <w:tab w:val="clear" w:pos="1440"/>
          <w:tab w:val="num" w:pos="720"/>
          <w:tab w:val="num" w:pos="1656"/>
          <w:tab w:val="num" w:pos="1800"/>
        </w:tabs>
        <w:ind w:left="720"/>
        <w:jc w:val="both"/>
        <w:rPr>
          <w:rFonts w:ascii="Calibri" w:hAnsi="Calibri"/>
          <w:sz w:val="22"/>
        </w:rPr>
      </w:pPr>
      <w:r>
        <w:rPr>
          <w:rFonts w:ascii="Calibri" w:hAnsi="Calibri"/>
          <w:sz w:val="22"/>
        </w:rPr>
        <w:t>Adopt the Compact Neighborhood Zoning.</w:t>
      </w:r>
    </w:p>
    <w:p w14:paraId="1493A040" w14:textId="77777777" w:rsidR="00DA633B" w:rsidRDefault="00DA633B" w:rsidP="00C54FC9">
      <w:pPr>
        <w:pStyle w:val="BodyText"/>
        <w:spacing w:after="0"/>
        <w:jc w:val="both"/>
        <w:rPr>
          <w:rFonts w:ascii="Constantia" w:hAnsi="Constantia" w:cs="Lucida Sans Unicode"/>
        </w:rPr>
      </w:pPr>
    </w:p>
    <w:p w14:paraId="7E776361" w14:textId="77777777" w:rsidR="00DA633B" w:rsidRPr="00285716" w:rsidRDefault="00DA633B" w:rsidP="00C54FC9">
      <w:pPr>
        <w:pStyle w:val="BodyText"/>
        <w:spacing w:after="0"/>
        <w:rPr>
          <w:rFonts w:ascii="Calibri" w:hAnsi="Calibri" w:cs="Lucida Sans Unicode"/>
          <w:b/>
          <w:i/>
          <w:sz w:val="22"/>
          <w:szCs w:val="22"/>
        </w:rPr>
      </w:pPr>
      <w:r w:rsidRPr="00285716">
        <w:rPr>
          <w:rFonts w:ascii="Calibri" w:hAnsi="Calibri" w:cs="Lucida Sans Unicode"/>
          <w:b/>
          <w:i/>
          <w:sz w:val="22"/>
          <w:szCs w:val="22"/>
        </w:rPr>
        <w:t>1</w:t>
      </w:r>
      <w:r>
        <w:rPr>
          <w:rFonts w:ascii="Calibri" w:hAnsi="Calibri" w:cs="Lucida Sans Unicode"/>
          <w:b/>
          <w:i/>
          <w:sz w:val="22"/>
          <w:szCs w:val="22"/>
        </w:rPr>
        <w:t>6</w:t>
      </w:r>
      <w:r w:rsidRPr="00285716">
        <w:rPr>
          <w:rFonts w:ascii="Calibri" w:hAnsi="Calibri" w:cs="Lucida Sans Unicode"/>
          <w:b/>
          <w:i/>
          <w:sz w:val="22"/>
          <w:szCs w:val="22"/>
        </w:rPr>
        <w:t>.</w:t>
      </w:r>
      <w:r w:rsidRPr="00285716">
        <w:rPr>
          <w:rFonts w:ascii="Calibri" w:hAnsi="Calibri" w:cs="Lucida Sans Unicode"/>
          <w:b/>
          <w:i/>
          <w:sz w:val="22"/>
          <w:szCs w:val="22"/>
        </w:rPr>
        <w:tab/>
        <w:t>DHCD Project-Based Homeownership Program</w:t>
      </w:r>
    </w:p>
    <w:p w14:paraId="452C7FEB" w14:textId="77777777" w:rsidR="00DA633B" w:rsidRPr="00285716" w:rsidRDefault="00DA633B" w:rsidP="00C54FC9">
      <w:pPr>
        <w:pStyle w:val="BodyText"/>
        <w:spacing w:after="0"/>
        <w:rPr>
          <w:rFonts w:ascii="Calibri" w:hAnsi="Calibri" w:cs="Lucida Sans Unicode"/>
          <w:sz w:val="22"/>
          <w:szCs w:val="22"/>
        </w:rPr>
      </w:pPr>
      <w:r w:rsidRPr="00285716">
        <w:rPr>
          <w:rFonts w:ascii="Calibri" w:hAnsi="Calibri" w:cs="Lucida Sans Unicode"/>
          <w:sz w:val="22"/>
          <w:szCs w:val="22"/>
        </w:rPr>
        <w:t xml:space="preserve">DHCD </w:t>
      </w:r>
      <w:r>
        <w:rPr>
          <w:rFonts w:ascii="Calibri" w:hAnsi="Calibri" w:cs="Lucida Sans Unicode"/>
          <w:sz w:val="22"/>
          <w:szCs w:val="22"/>
        </w:rPr>
        <w:t>funds a</w:t>
      </w:r>
      <w:r w:rsidRPr="00285716">
        <w:rPr>
          <w:rFonts w:ascii="Calibri" w:hAnsi="Calibri" w:cs="Lucida Sans Unicode"/>
          <w:sz w:val="22"/>
          <w:szCs w:val="22"/>
        </w:rPr>
        <w:t xml:space="preserve"> Project-Based Homeownership Program with two (2) funding categories:</w:t>
      </w:r>
    </w:p>
    <w:p w14:paraId="573421A0" w14:textId="77777777" w:rsidR="00DA633B" w:rsidRPr="00285716" w:rsidRDefault="00DA633B" w:rsidP="00C54FC9">
      <w:pPr>
        <w:pStyle w:val="BodyText"/>
        <w:spacing w:after="0"/>
        <w:rPr>
          <w:rFonts w:ascii="Calibri" w:hAnsi="Calibri" w:cs="Lucida Sans Unicode"/>
          <w:sz w:val="22"/>
          <w:szCs w:val="22"/>
        </w:rPr>
      </w:pPr>
    </w:p>
    <w:p w14:paraId="05FAED5E" w14:textId="77777777" w:rsidR="00DA633B" w:rsidRPr="00285716" w:rsidRDefault="00DA633B" w:rsidP="005D3FC9">
      <w:pPr>
        <w:pStyle w:val="BodyText"/>
        <w:numPr>
          <w:ilvl w:val="0"/>
          <w:numId w:val="41"/>
        </w:numPr>
        <w:spacing w:after="0"/>
        <w:jc w:val="both"/>
        <w:rPr>
          <w:rFonts w:ascii="Calibri" w:hAnsi="Calibri" w:cs="Lucida Sans Unicode"/>
          <w:i/>
          <w:sz w:val="22"/>
          <w:szCs w:val="22"/>
        </w:rPr>
      </w:pPr>
      <w:r w:rsidRPr="00285716">
        <w:rPr>
          <w:rFonts w:ascii="Calibri" w:hAnsi="Calibri" w:cs="Lucida Sans Unicode"/>
          <w:i/>
          <w:sz w:val="22"/>
          <w:szCs w:val="22"/>
        </w:rPr>
        <w:t>Areas of Opportunity</w:t>
      </w:r>
    </w:p>
    <w:p w14:paraId="0670D464" w14:textId="77777777" w:rsidR="00DA633B" w:rsidRPr="00285716" w:rsidRDefault="00DA633B" w:rsidP="00366E13">
      <w:pPr>
        <w:pStyle w:val="BodyText"/>
        <w:spacing w:after="0"/>
        <w:ind w:left="720"/>
        <w:jc w:val="both"/>
        <w:rPr>
          <w:rFonts w:ascii="Calibri" w:hAnsi="Calibri" w:cs="Lucida Sans Unicode"/>
          <w:sz w:val="22"/>
          <w:szCs w:val="22"/>
        </w:rPr>
      </w:pPr>
      <w:r w:rsidRPr="00285716">
        <w:rPr>
          <w:rFonts w:ascii="Calibri" w:hAnsi="Calibri" w:cs="Lucida Sans Unicode"/>
          <w:sz w:val="22"/>
          <w:szCs w:val="22"/>
        </w:rPr>
        <w:t xml:space="preserve">Funds are being awarded for new construction of family housing projects for first-time homebuyers in neighborhoods or communities that provide access to opportunities that include but are not limited to jobs, transportation, education, and public amenities.  The minimum project size is ten (10 units) for up to $500,000 in funding for a single project and no more than $75,000 per affordable unit.  The maximum total development cost for affordable units is </w:t>
      </w:r>
      <w:r w:rsidRPr="00285716">
        <w:rPr>
          <w:rFonts w:ascii="Calibri" w:hAnsi="Calibri" w:cs="Lucida Sans Unicode"/>
          <w:sz w:val="22"/>
          <w:szCs w:val="22"/>
        </w:rPr>
        <w:lastRenderedPageBreak/>
        <w:t>$300,000 and the maximum developer overhead and fee is 15% of total development costs.  Localities must provide matching funds at least equal to the amount of the DHCD subsidy request.</w:t>
      </w:r>
    </w:p>
    <w:p w14:paraId="3190BE5F" w14:textId="77777777" w:rsidR="00DA633B" w:rsidRPr="00285716" w:rsidRDefault="00DA633B" w:rsidP="00366E13">
      <w:pPr>
        <w:pStyle w:val="BodyText"/>
        <w:spacing w:after="0"/>
        <w:ind w:left="720"/>
        <w:jc w:val="both"/>
        <w:rPr>
          <w:rFonts w:ascii="Calibri" w:hAnsi="Calibri" w:cs="Lucida Sans Unicode"/>
          <w:sz w:val="22"/>
          <w:szCs w:val="22"/>
        </w:rPr>
      </w:pPr>
      <w:r w:rsidRPr="00285716">
        <w:rPr>
          <w:rFonts w:ascii="Calibri" w:hAnsi="Calibri" w:cs="Lucida Sans Unicode"/>
          <w:sz w:val="22"/>
          <w:szCs w:val="22"/>
        </w:rPr>
        <w:t xml:space="preserve"> </w:t>
      </w:r>
    </w:p>
    <w:p w14:paraId="18E40547" w14:textId="77777777" w:rsidR="00DA633B" w:rsidRPr="00285716" w:rsidRDefault="00DA633B" w:rsidP="005D3FC9">
      <w:pPr>
        <w:pStyle w:val="BodyText"/>
        <w:numPr>
          <w:ilvl w:val="0"/>
          <w:numId w:val="41"/>
        </w:numPr>
        <w:spacing w:after="0"/>
        <w:jc w:val="both"/>
        <w:rPr>
          <w:rFonts w:ascii="Calibri" w:hAnsi="Calibri" w:cs="Lucida Sans Unicode"/>
          <w:i/>
          <w:sz w:val="22"/>
          <w:szCs w:val="22"/>
        </w:rPr>
      </w:pPr>
      <w:r w:rsidRPr="00285716">
        <w:rPr>
          <w:rFonts w:ascii="Calibri" w:hAnsi="Calibri" w:cs="Lucida Sans Unicode"/>
          <w:i/>
          <w:sz w:val="22"/>
          <w:szCs w:val="22"/>
        </w:rPr>
        <w:t>Gateway Cities</w:t>
      </w:r>
    </w:p>
    <w:p w14:paraId="7EAB2232" w14:textId="29BDDEA0" w:rsidR="00DA633B" w:rsidRPr="00285716" w:rsidRDefault="00DA633B" w:rsidP="00366E13">
      <w:pPr>
        <w:pStyle w:val="BodyText"/>
        <w:spacing w:after="0"/>
        <w:ind w:left="720"/>
        <w:jc w:val="both"/>
        <w:rPr>
          <w:rFonts w:ascii="Calibri" w:hAnsi="Calibri" w:cs="Lucida Sans Unicode"/>
          <w:sz w:val="22"/>
          <w:szCs w:val="22"/>
        </w:rPr>
      </w:pPr>
      <w:r w:rsidRPr="00285716">
        <w:rPr>
          <w:rFonts w:ascii="Calibri" w:hAnsi="Calibri" w:cs="Lucida Sans Unicode"/>
          <w:sz w:val="22"/>
          <w:szCs w:val="22"/>
        </w:rPr>
        <w:t>A limited amount of funding will be made available to Gateway Cities or other smaller communities with well-defined Neighborhood Redevelopment Plans for the acquisition and rehabilitation or new construction of single-family or duplex units or triple</w:t>
      </w:r>
      <w:r w:rsidR="00DA339C">
        <w:rPr>
          <w:rFonts w:ascii="Calibri" w:hAnsi="Calibri" w:cs="Lucida Sans Unicode"/>
          <w:sz w:val="22"/>
          <w:szCs w:val="22"/>
        </w:rPr>
        <w:t>-</w:t>
      </w:r>
      <w:r w:rsidRPr="00285716">
        <w:rPr>
          <w:rFonts w:ascii="Calibri" w:hAnsi="Calibri" w:cs="Lucida Sans Unicode"/>
          <w:sz w:val="22"/>
          <w:szCs w:val="22"/>
        </w:rPr>
        <w:t>deckers (rehab only).  The development of single sites is preferred but scattered-site projects are permissible. The minimum project size is six (6 units) for up to $500,000 in funding for a single project and no more than $75,000 per affordable unit.  The maximum total development cost for affordable units is $250,000 and the maximum developer overhead and fee is 15% of total development costs.  Localities must provide matching funds at least equal to one-half the amount of the DHCD subsidy request.</w:t>
      </w:r>
    </w:p>
    <w:p w14:paraId="064BDB38" w14:textId="77777777" w:rsidR="00DA633B" w:rsidRPr="00285716" w:rsidRDefault="00DA633B" w:rsidP="00366E13">
      <w:pPr>
        <w:pStyle w:val="BodyText"/>
        <w:spacing w:after="0"/>
        <w:ind w:left="720"/>
        <w:jc w:val="both"/>
        <w:rPr>
          <w:rFonts w:ascii="Calibri" w:hAnsi="Calibri" w:cs="Lucida Sans Unicode"/>
          <w:sz w:val="22"/>
          <w:szCs w:val="22"/>
        </w:rPr>
      </w:pPr>
    </w:p>
    <w:p w14:paraId="27259AFC" w14:textId="77777777" w:rsidR="00DA633B" w:rsidRPr="00285716" w:rsidRDefault="00DA633B" w:rsidP="00366E13">
      <w:pPr>
        <w:pStyle w:val="BodyText"/>
        <w:spacing w:after="0"/>
        <w:jc w:val="both"/>
        <w:rPr>
          <w:rFonts w:ascii="Calibri" w:hAnsi="Calibri" w:cs="Lucida Sans Unicode"/>
          <w:sz w:val="22"/>
          <w:szCs w:val="22"/>
        </w:rPr>
      </w:pPr>
      <w:r w:rsidRPr="00285716">
        <w:rPr>
          <w:rFonts w:ascii="Calibri" w:hAnsi="Calibri" w:cs="Lucida Sans Unicode"/>
          <w:sz w:val="22"/>
          <w:szCs w:val="22"/>
        </w:rPr>
        <w:t xml:space="preserve">Sponsors/developers must have hard letters of interest from construction lenders and mortgage loan originators, follow prescribed design/scope guidelines, submit sound market data at the time of pre-application, and have zoning approvals in place.  Interested sponsors/developers must submit a pre-application for funding and following its review, DHCD review will invite certain sponsor/developers to submit full applications.  </w:t>
      </w:r>
    </w:p>
    <w:p w14:paraId="68B76C64" w14:textId="77777777" w:rsidR="00DA633B" w:rsidRDefault="00DA633B" w:rsidP="00366E13">
      <w:pPr>
        <w:pStyle w:val="BodyText"/>
        <w:spacing w:after="0"/>
        <w:jc w:val="both"/>
        <w:rPr>
          <w:rFonts w:ascii="Calibri" w:hAnsi="Calibri" w:cs="Lucida Sans Unicode"/>
          <w:b/>
        </w:rPr>
      </w:pPr>
    </w:p>
    <w:p w14:paraId="5FC63708" w14:textId="77777777" w:rsidR="00DA633B" w:rsidRPr="00E07074" w:rsidRDefault="00DA633B" w:rsidP="00366E13">
      <w:pPr>
        <w:pStyle w:val="BodyText"/>
        <w:spacing w:after="0"/>
        <w:jc w:val="both"/>
        <w:rPr>
          <w:rFonts w:ascii="Calibri" w:hAnsi="Calibri" w:cs="Calibri"/>
          <w:b/>
          <w:i/>
          <w:sz w:val="22"/>
          <w:szCs w:val="22"/>
        </w:rPr>
      </w:pPr>
      <w:r w:rsidRPr="00E07074">
        <w:rPr>
          <w:rFonts w:ascii="Calibri" w:hAnsi="Calibri" w:cs="Calibri"/>
          <w:b/>
          <w:i/>
          <w:sz w:val="22"/>
          <w:szCs w:val="22"/>
        </w:rPr>
        <w:t>17.</w:t>
      </w:r>
      <w:r w:rsidRPr="00E07074">
        <w:rPr>
          <w:rFonts w:ascii="Calibri" w:hAnsi="Calibri" w:cs="Calibri"/>
          <w:b/>
          <w:i/>
          <w:sz w:val="22"/>
          <w:szCs w:val="22"/>
        </w:rPr>
        <w:tab/>
        <w:t>National Housing Trust Fund (NHTF)</w:t>
      </w:r>
    </w:p>
    <w:p w14:paraId="523A0DAA" w14:textId="77777777" w:rsidR="00DA633B" w:rsidRPr="00E07074" w:rsidRDefault="00DA633B" w:rsidP="00366E13">
      <w:pPr>
        <w:pStyle w:val="BodyText"/>
        <w:spacing w:after="0"/>
        <w:jc w:val="both"/>
        <w:rPr>
          <w:rFonts w:ascii="Calibri" w:hAnsi="Calibri" w:cs="Calibri"/>
          <w:sz w:val="22"/>
          <w:szCs w:val="22"/>
        </w:rPr>
      </w:pPr>
      <w:r w:rsidRPr="00E07074">
        <w:rPr>
          <w:rFonts w:ascii="Calibri" w:hAnsi="Calibri" w:cs="Calibri"/>
          <w:sz w:val="22"/>
          <w:szCs w:val="22"/>
        </w:rPr>
        <w:t>The state has allocated $3.4 million in Housing Trust Funds and 100 Massachusetts Rental Vouchers to help create supportive housing for vulnerable populations including homeless families and individuals, unaccompanied homeless youth, frail seniors with service needs, and individuals in recovery from substance abuse.  This program is intended to provide supplemental support to the federal National Housing Trust Fund, a newly authorized affordable housing program.</w:t>
      </w:r>
    </w:p>
    <w:p w14:paraId="182B11D8" w14:textId="77777777" w:rsidR="00DA633B" w:rsidRPr="00E07074" w:rsidRDefault="00DA633B" w:rsidP="00366E13">
      <w:pPr>
        <w:pStyle w:val="BodyText"/>
        <w:spacing w:after="0"/>
        <w:jc w:val="both"/>
        <w:rPr>
          <w:rFonts w:ascii="Calibri" w:hAnsi="Calibri" w:cs="Calibri"/>
          <w:sz w:val="22"/>
          <w:szCs w:val="22"/>
        </w:rPr>
      </w:pPr>
    </w:p>
    <w:p w14:paraId="47585233" w14:textId="77777777" w:rsidR="00DA633B" w:rsidRPr="00E07074" w:rsidRDefault="00DA633B" w:rsidP="00366E13">
      <w:pPr>
        <w:pStyle w:val="BodyText"/>
        <w:spacing w:after="0"/>
        <w:jc w:val="both"/>
        <w:rPr>
          <w:rFonts w:ascii="Calibri" w:hAnsi="Calibri" w:cs="Calibri"/>
          <w:b/>
          <w:i/>
          <w:sz w:val="22"/>
          <w:szCs w:val="22"/>
        </w:rPr>
      </w:pPr>
      <w:r w:rsidRPr="00E07074">
        <w:rPr>
          <w:rFonts w:ascii="Calibri" w:hAnsi="Calibri" w:cs="Calibri"/>
          <w:b/>
          <w:i/>
          <w:sz w:val="22"/>
          <w:szCs w:val="22"/>
        </w:rPr>
        <w:t>18.</w:t>
      </w:r>
      <w:r w:rsidRPr="00E07074">
        <w:rPr>
          <w:rFonts w:ascii="Calibri" w:hAnsi="Calibri" w:cs="Calibri"/>
          <w:b/>
          <w:i/>
          <w:sz w:val="22"/>
          <w:szCs w:val="22"/>
        </w:rPr>
        <w:tab/>
        <w:t>Community Scale Housing Initiatives (CSHI)</w:t>
      </w:r>
    </w:p>
    <w:p w14:paraId="22565A5A" w14:textId="77777777" w:rsidR="00DA633B" w:rsidRPr="00E07074" w:rsidRDefault="00DA633B" w:rsidP="00366E13">
      <w:pPr>
        <w:pStyle w:val="BodyText"/>
        <w:spacing w:after="0"/>
        <w:jc w:val="both"/>
        <w:rPr>
          <w:rFonts w:ascii="Calibri" w:hAnsi="Calibri" w:cs="Calibri"/>
          <w:sz w:val="22"/>
          <w:szCs w:val="22"/>
        </w:rPr>
      </w:pPr>
      <w:r w:rsidRPr="00E07074">
        <w:rPr>
          <w:rFonts w:ascii="Calibri" w:hAnsi="Calibri" w:cs="Calibri"/>
          <w:sz w:val="22"/>
          <w:szCs w:val="22"/>
        </w:rPr>
        <w:t>The state has introduced a new program to address the need for smaller scale affordable housing projects that are sized to fit well within the host community.  The new initiative will provide funding for these projects based on the following eligibility criteria:</w:t>
      </w:r>
    </w:p>
    <w:p w14:paraId="65D4F0C8" w14:textId="77777777" w:rsidR="00DA633B" w:rsidRPr="00E07074" w:rsidRDefault="00DA633B" w:rsidP="00366E13">
      <w:pPr>
        <w:pStyle w:val="BodyText"/>
        <w:spacing w:after="0"/>
        <w:jc w:val="both"/>
        <w:rPr>
          <w:rFonts w:ascii="Calibri" w:hAnsi="Calibri" w:cs="Calibri"/>
          <w:sz w:val="22"/>
          <w:szCs w:val="22"/>
        </w:rPr>
      </w:pPr>
    </w:p>
    <w:p w14:paraId="35260A70"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Community must have a population not to exceed 200,000</w:t>
      </w:r>
    </w:p>
    <w:p w14:paraId="0F6B461A"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Program sponsors can be both non-profit and for-profit entities with a demonstrated ability to undertake the project</w:t>
      </w:r>
    </w:p>
    <w:p w14:paraId="216D1E00"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The proposed project must include at least five rental units but no more than 20 rental units</w:t>
      </w:r>
    </w:p>
    <w:p w14:paraId="7224B592"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Project must involve new construction or adaptive reuse</w:t>
      </w:r>
    </w:p>
    <w:p w14:paraId="05569E80"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A minimum of 20% of the units must be affordable but it is anticipated that most proposed projects will have a minimum of 50% affordable units</w:t>
      </w:r>
    </w:p>
    <w:p w14:paraId="670B3CBC"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The host community must provide a financial commitment in support of the project</w:t>
      </w:r>
    </w:p>
    <w:p w14:paraId="3525E6E4"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The CSHI subsidy may not exceed $200,000 per unit unless the developer intends to seek DHCD project-based rental assistance in which case the subsidy may not exceed $150,000 per CSHI unit</w:t>
      </w:r>
    </w:p>
    <w:p w14:paraId="0A179691"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The total development cost per unit may not exceed $350,000</w:t>
      </w:r>
    </w:p>
    <w:p w14:paraId="45F7F511"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Projects will receive no more than is necessary to make the project feasible</w:t>
      </w:r>
    </w:p>
    <w:p w14:paraId="54817673"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t>Projects must be financially feasible without state or federal low income housing tax credits</w:t>
      </w:r>
    </w:p>
    <w:p w14:paraId="05A9FB7D" w14:textId="77777777" w:rsidR="00DA633B" w:rsidRPr="00E07074" w:rsidRDefault="00DA633B" w:rsidP="005D3FC9">
      <w:pPr>
        <w:pStyle w:val="BodyText"/>
        <w:numPr>
          <w:ilvl w:val="0"/>
          <w:numId w:val="41"/>
        </w:numPr>
        <w:spacing w:after="0"/>
        <w:jc w:val="both"/>
        <w:rPr>
          <w:rFonts w:ascii="Calibri" w:hAnsi="Calibri" w:cs="Calibri"/>
          <w:sz w:val="22"/>
          <w:szCs w:val="22"/>
        </w:rPr>
      </w:pPr>
      <w:r w:rsidRPr="00E07074">
        <w:rPr>
          <w:rFonts w:ascii="Calibri" w:hAnsi="Calibri" w:cs="Calibri"/>
          <w:sz w:val="22"/>
          <w:szCs w:val="22"/>
        </w:rPr>
        <w:lastRenderedPageBreak/>
        <w:t>Projects are expected to close and proceed to construction within 12 months of the date of the award letter</w:t>
      </w:r>
    </w:p>
    <w:p w14:paraId="6521987D" w14:textId="77777777" w:rsidR="00DA633B" w:rsidRPr="00E07074" w:rsidRDefault="00DA633B" w:rsidP="00366E13">
      <w:pPr>
        <w:pStyle w:val="ListParagraph"/>
        <w:ind w:left="360"/>
        <w:jc w:val="both"/>
        <w:rPr>
          <w:rFonts w:ascii="Calibri" w:hAnsi="Calibri" w:cs="Calibri"/>
          <w:sz w:val="22"/>
          <w:szCs w:val="22"/>
        </w:rPr>
      </w:pPr>
    </w:p>
    <w:p w14:paraId="54E3E872" w14:textId="77777777" w:rsidR="00DA633B" w:rsidRPr="00E07074" w:rsidRDefault="00DA633B" w:rsidP="00366E13">
      <w:pPr>
        <w:pStyle w:val="ListParagraph"/>
        <w:ind w:left="0"/>
        <w:jc w:val="both"/>
        <w:rPr>
          <w:rFonts w:ascii="Calibri" w:hAnsi="Calibri" w:cs="Calibri"/>
          <w:sz w:val="22"/>
          <w:szCs w:val="22"/>
        </w:rPr>
      </w:pPr>
      <w:r w:rsidRPr="00E07074">
        <w:rPr>
          <w:rFonts w:ascii="Calibri" w:hAnsi="Calibri" w:cs="Calibri"/>
          <w:sz w:val="22"/>
          <w:szCs w:val="22"/>
        </w:rPr>
        <w:t>The 40 River Street project was awarded funding under this program.</w:t>
      </w:r>
    </w:p>
    <w:p w14:paraId="465952FA" w14:textId="77777777" w:rsidR="00DA633B" w:rsidRPr="00E07074" w:rsidRDefault="00DA633B" w:rsidP="00366E13">
      <w:pPr>
        <w:pStyle w:val="ListParagraph"/>
        <w:ind w:left="0"/>
        <w:jc w:val="both"/>
        <w:rPr>
          <w:rFonts w:ascii="Calibri" w:hAnsi="Calibri" w:cs="Calibri"/>
          <w:sz w:val="22"/>
          <w:szCs w:val="22"/>
        </w:rPr>
      </w:pPr>
    </w:p>
    <w:p w14:paraId="6BD11A6F" w14:textId="77777777" w:rsidR="00DA633B" w:rsidRPr="00E07074" w:rsidRDefault="00DA633B" w:rsidP="00366E13">
      <w:pPr>
        <w:pStyle w:val="ListParagraph"/>
        <w:ind w:left="360" w:hanging="360"/>
        <w:jc w:val="both"/>
        <w:rPr>
          <w:rFonts w:ascii="Calibri" w:hAnsi="Calibri" w:cs="Calibri"/>
          <w:b/>
          <w:i/>
          <w:sz w:val="22"/>
          <w:szCs w:val="22"/>
        </w:rPr>
      </w:pPr>
      <w:r w:rsidRPr="00E07074">
        <w:rPr>
          <w:rFonts w:ascii="Calibri" w:hAnsi="Calibri" w:cs="Calibri"/>
          <w:b/>
          <w:i/>
          <w:sz w:val="22"/>
          <w:szCs w:val="22"/>
        </w:rPr>
        <w:t>19.</w:t>
      </w:r>
      <w:r w:rsidRPr="00E07074">
        <w:rPr>
          <w:rFonts w:ascii="Calibri" w:hAnsi="Calibri" w:cs="Calibri"/>
          <w:b/>
          <w:i/>
          <w:sz w:val="22"/>
          <w:szCs w:val="22"/>
        </w:rPr>
        <w:tab/>
      </w:r>
      <w:r w:rsidRPr="00E07074">
        <w:rPr>
          <w:rFonts w:ascii="Calibri" w:hAnsi="Calibri" w:cs="Calibri"/>
          <w:b/>
          <w:i/>
          <w:sz w:val="22"/>
          <w:szCs w:val="22"/>
        </w:rPr>
        <w:tab/>
        <w:t>Starter Home Program</w:t>
      </w:r>
    </w:p>
    <w:p w14:paraId="4FEFF774" w14:textId="77777777" w:rsidR="00DA633B" w:rsidRPr="00E07074" w:rsidRDefault="00DA633B" w:rsidP="00366E13">
      <w:pPr>
        <w:jc w:val="both"/>
        <w:rPr>
          <w:rFonts w:ascii="Calibri" w:hAnsi="Calibri" w:cs="Calibri"/>
          <w:sz w:val="22"/>
          <w:szCs w:val="22"/>
        </w:rPr>
      </w:pPr>
      <w:r w:rsidRPr="00E07074">
        <w:rPr>
          <w:rFonts w:ascii="Calibri" w:hAnsi="Calibri" w:cs="Calibri"/>
          <w:sz w:val="22"/>
          <w:szCs w:val="22"/>
        </w:rPr>
        <w:t xml:space="preserve">State legislation was recently enacted to implement a Starter Home Program as part of the Governor’s Economic Development Bill. This was accomplished by modifying the existing Smart Growth Zoning and Housing Production law of Chapter 40R to include $25 million in new funding over five years for cities and towns that create new starter home zoning districts. The new districts will be a minimum of three acres, restrict primary dwelling size to 1,850 square feet of heated living area, require that 50% of the primary dwelling units contain three bedrooms, allow a minimum of four units per acre by right, and provide 20% affordability up to 100% AMI.  </w:t>
      </w:r>
    </w:p>
    <w:p w14:paraId="43F502F8" w14:textId="77777777" w:rsidR="00DA633B" w:rsidRPr="00E07074" w:rsidRDefault="00DA633B" w:rsidP="00366E13">
      <w:pPr>
        <w:pStyle w:val="BodyText"/>
        <w:spacing w:after="0"/>
        <w:ind w:left="720"/>
        <w:jc w:val="both"/>
        <w:rPr>
          <w:rFonts w:ascii="Calibri" w:hAnsi="Calibri" w:cs="Calibri"/>
          <w:sz w:val="22"/>
          <w:szCs w:val="22"/>
        </w:rPr>
      </w:pPr>
    </w:p>
    <w:p w14:paraId="297FB82A" w14:textId="77777777" w:rsidR="00DA633B" w:rsidRPr="00E07074" w:rsidRDefault="00DA633B" w:rsidP="00366E13">
      <w:pPr>
        <w:tabs>
          <w:tab w:val="left" w:pos="0"/>
        </w:tabs>
        <w:jc w:val="both"/>
        <w:rPr>
          <w:rFonts w:ascii="Calibri" w:hAnsi="Calibri" w:cs="Calibri"/>
          <w:b/>
          <w:sz w:val="22"/>
          <w:szCs w:val="22"/>
        </w:rPr>
      </w:pPr>
      <w:r w:rsidRPr="00E07074">
        <w:rPr>
          <w:rFonts w:ascii="Calibri" w:hAnsi="Calibri" w:cs="Calibri"/>
          <w:b/>
          <w:i/>
          <w:sz w:val="22"/>
          <w:szCs w:val="22"/>
        </w:rPr>
        <w:t>20.</w:t>
      </w:r>
      <w:r w:rsidRPr="00E07074">
        <w:rPr>
          <w:rFonts w:ascii="Calibri" w:hAnsi="Calibri" w:cs="Calibri"/>
          <w:b/>
          <w:i/>
          <w:sz w:val="22"/>
          <w:szCs w:val="22"/>
        </w:rPr>
        <w:tab/>
        <w:t>Workforce Housing Fund</w:t>
      </w:r>
    </w:p>
    <w:p w14:paraId="23C8F575" w14:textId="77777777" w:rsidR="00DA633B" w:rsidRPr="00E07074" w:rsidRDefault="00DA633B" w:rsidP="00366E13">
      <w:pPr>
        <w:tabs>
          <w:tab w:val="left" w:pos="0"/>
        </w:tabs>
        <w:jc w:val="both"/>
        <w:rPr>
          <w:rFonts w:ascii="Calibri" w:hAnsi="Calibri" w:cs="Calibri"/>
          <w:sz w:val="22"/>
          <w:szCs w:val="22"/>
        </w:rPr>
      </w:pPr>
      <w:r w:rsidRPr="00E07074">
        <w:rPr>
          <w:rFonts w:ascii="Calibri" w:hAnsi="Calibri" w:cs="Calibri"/>
          <w:sz w:val="22"/>
          <w:szCs w:val="22"/>
        </w:rPr>
        <w:t xml:space="preserve">The state is investing in a Workforce Housing Fund to provide rental housing for those households </w:t>
      </w:r>
      <w:r w:rsidRPr="00E07074">
        <w:rPr>
          <w:rFonts w:ascii="Calibri" w:hAnsi="Calibri" w:cs="Calibri"/>
          <w:bCs/>
          <w:iCs/>
          <w:sz w:val="22"/>
          <w:szCs w:val="22"/>
        </w:rPr>
        <w:t>earning 61% to 120% AMI</w:t>
      </w:r>
      <w:r w:rsidRPr="00E07074">
        <w:rPr>
          <w:rFonts w:ascii="Calibri" w:hAnsi="Calibri" w:cs="Calibri"/>
          <w:sz w:val="22"/>
          <w:szCs w:val="22"/>
        </w:rPr>
        <w:t xml:space="preserve">.  In his announcement, Governor Baker said, “Making more affordable housing options available to working Massachusetts families deterred by rising rent expenses is essential to economic growth and development in communities throughout the Commonwealth.  These working middle-income families are the foundation of our economy and talented workforce, and the creation of this $100 million fund by MassHousing will advance opportunities for them to thrive and prosper.”  </w:t>
      </w:r>
    </w:p>
    <w:p w14:paraId="6F7D46F1" w14:textId="77777777" w:rsidR="00DA633B" w:rsidRPr="00E07074" w:rsidRDefault="00DA633B" w:rsidP="00366E13">
      <w:pPr>
        <w:pStyle w:val="NormalWeb"/>
        <w:spacing w:after="0"/>
        <w:jc w:val="both"/>
        <w:rPr>
          <w:rFonts w:ascii="Calibri" w:hAnsi="Calibri" w:cs="Calibri"/>
          <w:sz w:val="22"/>
          <w:szCs w:val="22"/>
        </w:rPr>
      </w:pPr>
      <w:r w:rsidRPr="00E07074">
        <w:rPr>
          <w:rFonts w:ascii="Calibri" w:hAnsi="Calibri" w:cs="Calibri"/>
          <w:sz w:val="22"/>
          <w:szCs w:val="22"/>
        </w:rPr>
        <w:t>The Workforce Housing Initiative was created to do the following:</w:t>
      </w:r>
    </w:p>
    <w:p w14:paraId="341789A8" w14:textId="77777777" w:rsidR="00DA633B" w:rsidRPr="00E07074" w:rsidRDefault="00DA633B" w:rsidP="005D3FC9">
      <w:pPr>
        <w:numPr>
          <w:ilvl w:val="0"/>
          <w:numId w:val="42"/>
        </w:numPr>
        <w:jc w:val="both"/>
        <w:rPr>
          <w:rFonts w:ascii="Calibri" w:hAnsi="Calibri" w:cs="Calibri"/>
          <w:sz w:val="22"/>
          <w:szCs w:val="22"/>
        </w:rPr>
      </w:pPr>
      <w:r w:rsidRPr="00E07074">
        <w:rPr>
          <w:rFonts w:ascii="Calibri" w:hAnsi="Calibri" w:cs="Calibri"/>
          <w:sz w:val="22"/>
          <w:szCs w:val="22"/>
        </w:rPr>
        <w:t>Target individuals and families with incomes of 61% to 120% of Area Median Income (AMI)</w:t>
      </w:r>
    </w:p>
    <w:p w14:paraId="0608C07C" w14:textId="77777777" w:rsidR="00DA633B" w:rsidRPr="00E07074" w:rsidRDefault="00DA633B" w:rsidP="005D3FC9">
      <w:pPr>
        <w:numPr>
          <w:ilvl w:val="0"/>
          <w:numId w:val="42"/>
        </w:numPr>
        <w:jc w:val="both"/>
        <w:rPr>
          <w:rFonts w:ascii="Calibri" w:hAnsi="Calibri" w:cs="Calibri"/>
          <w:sz w:val="22"/>
          <w:szCs w:val="22"/>
        </w:rPr>
      </w:pPr>
      <w:r w:rsidRPr="00E07074">
        <w:rPr>
          <w:rFonts w:ascii="Calibri" w:hAnsi="Calibri" w:cs="Calibri"/>
          <w:sz w:val="22"/>
          <w:szCs w:val="22"/>
        </w:rPr>
        <w:t>Provide up to $100,000 of subsidy per workforce housing unit to create 1,000 new units of workforce housing statewide</w:t>
      </w:r>
    </w:p>
    <w:p w14:paraId="18CD0F58" w14:textId="77777777" w:rsidR="00DA633B" w:rsidRPr="00E07074" w:rsidRDefault="00DA633B" w:rsidP="005D3FC9">
      <w:pPr>
        <w:numPr>
          <w:ilvl w:val="0"/>
          <w:numId w:val="42"/>
        </w:numPr>
        <w:jc w:val="both"/>
        <w:rPr>
          <w:rFonts w:ascii="Calibri" w:hAnsi="Calibri" w:cs="Calibri"/>
          <w:sz w:val="22"/>
          <w:szCs w:val="22"/>
        </w:rPr>
      </w:pPr>
      <w:r w:rsidRPr="00E07074">
        <w:rPr>
          <w:rFonts w:ascii="Calibri" w:hAnsi="Calibri" w:cs="Calibri"/>
          <w:sz w:val="22"/>
          <w:szCs w:val="22"/>
        </w:rPr>
        <w:t>Leverage strategic opportunities to use state-owned land</w:t>
      </w:r>
    </w:p>
    <w:p w14:paraId="0DD26296" w14:textId="77777777" w:rsidR="00DA633B" w:rsidRPr="00E07074" w:rsidRDefault="00DA633B" w:rsidP="005D3FC9">
      <w:pPr>
        <w:numPr>
          <w:ilvl w:val="0"/>
          <w:numId w:val="42"/>
        </w:numPr>
        <w:jc w:val="both"/>
        <w:rPr>
          <w:rFonts w:ascii="Calibri" w:hAnsi="Calibri" w:cs="Calibri"/>
          <w:sz w:val="22"/>
          <w:szCs w:val="22"/>
        </w:rPr>
      </w:pPr>
      <w:r w:rsidRPr="00E07074">
        <w:rPr>
          <w:rFonts w:ascii="Calibri" w:hAnsi="Calibri" w:cs="Calibri"/>
          <w:sz w:val="22"/>
          <w:szCs w:val="22"/>
        </w:rPr>
        <w:t>Complement, does not replace, traditional MassHousing development financing</w:t>
      </w:r>
    </w:p>
    <w:p w14:paraId="5B1CD022" w14:textId="77777777" w:rsidR="00DA633B" w:rsidRPr="00E07074" w:rsidRDefault="00DA633B" w:rsidP="005D3FC9">
      <w:pPr>
        <w:numPr>
          <w:ilvl w:val="0"/>
          <w:numId w:val="42"/>
        </w:numPr>
        <w:jc w:val="both"/>
        <w:rPr>
          <w:rFonts w:ascii="Calibri" w:hAnsi="Calibri" w:cs="Calibri"/>
          <w:sz w:val="22"/>
          <w:szCs w:val="22"/>
        </w:rPr>
      </w:pPr>
      <w:r w:rsidRPr="00E07074">
        <w:rPr>
          <w:rFonts w:ascii="Calibri" w:hAnsi="Calibri" w:cs="Calibri"/>
          <w:sz w:val="22"/>
          <w:szCs w:val="22"/>
        </w:rPr>
        <w:t>Ensure workforce housing units are deed restricted as affordable for at least 30 years</w:t>
      </w:r>
    </w:p>
    <w:p w14:paraId="1F1EA5D6" w14:textId="77777777" w:rsidR="00920BC9" w:rsidRDefault="00920BC9" w:rsidP="00366E13">
      <w:pPr>
        <w:jc w:val="both"/>
        <w:rPr>
          <w:rFonts w:ascii="Calibri" w:hAnsi="Calibri" w:cs="Calibri"/>
          <w:sz w:val="22"/>
          <w:szCs w:val="22"/>
        </w:rPr>
      </w:pPr>
    </w:p>
    <w:p w14:paraId="7B6998AA" w14:textId="12D8B82F" w:rsidR="00DA633B" w:rsidRPr="00E07074" w:rsidRDefault="00DA633B" w:rsidP="00366E13">
      <w:pPr>
        <w:jc w:val="both"/>
        <w:rPr>
          <w:rFonts w:ascii="Calibri" w:hAnsi="Calibri" w:cs="Calibri"/>
          <w:sz w:val="22"/>
          <w:szCs w:val="22"/>
        </w:rPr>
      </w:pPr>
      <w:r w:rsidRPr="00E07074">
        <w:rPr>
          <w:rFonts w:ascii="Calibri" w:hAnsi="Calibri" w:cs="Calibri"/>
          <w:sz w:val="22"/>
          <w:szCs w:val="22"/>
        </w:rPr>
        <w:t>Eligible projects include:</w:t>
      </w:r>
    </w:p>
    <w:p w14:paraId="1D12BCAD" w14:textId="77777777" w:rsidR="00DA633B" w:rsidRPr="00E07074" w:rsidRDefault="00DA633B" w:rsidP="005D3FC9">
      <w:pPr>
        <w:numPr>
          <w:ilvl w:val="0"/>
          <w:numId w:val="43"/>
        </w:numPr>
        <w:jc w:val="both"/>
        <w:rPr>
          <w:rFonts w:ascii="Calibri" w:hAnsi="Calibri" w:cs="Calibri"/>
          <w:sz w:val="22"/>
          <w:szCs w:val="22"/>
        </w:rPr>
      </w:pPr>
      <w:r w:rsidRPr="00E07074">
        <w:rPr>
          <w:rFonts w:ascii="Calibri" w:hAnsi="Calibri" w:cs="Calibri"/>
          <w:sz w:val="22"/>
          <w:szCs w:val="22"/>
        </w:rPr>
        <w:t>Preference is for new units; existing projects where unrestricted units become restricted will be considered</w:t>
      </w:r>
    </w:p>
    <w:p w14:paraId="72DD09B1" w14:textId="77777777" w:rsidR="00DA633B" w:rsidRPr="00E07074" w:rsidRDefault="00DA633B" w:rsidP="005D3FC9">
      <w:pPr>
        <w:numPr>
          <w:ilvl w:val="0"/>
          <w:numId w:val="43"/>
        </w:numPr>
        <w:jc w:val="both"/>
        <w:rPr>
          <w:rFonts w:ascii="Calibri" w:hAnsi="Calibri" w:cs="Calibri"/>
          <w:sz w:val="22"/>
          <w:szCs w:val="22"/>
        </w:rPr>
      </w:pPr>
      <w:r w:rsidRPr="00E07074">
        <w:rPr>
          <w:rFonts w:ascii="Calibri" w:hAnsi="Calibri" w:cs="Calibri"/>
          <w:sz w:val="22"/>
          <w:szCs w:val="22"/>
        </w:rPr>
        <w:t>Workforce housing units are intended for working age household and may not be not be elderly restricted or occupied by full-time students</w:t>
      </w:r>
    </w:p>
    <w:p w14:paraId="24C9CB21" w14:textId="77777777" w:rsidR="00DA633B" w:rsidRPr="006727F8" w:rsidRDefault="00DA633B" w:rsidP="005D3FC9">
      <w:pPr>
        <w:numPr>
          <w:ilvl w:val="0"/>
          <w:numId w:val="43"/>
        </w:numPr>
        <w:jc w:val="both"/>
        <w:rPr>
          <w:rFonts w:ascii="Calibri" w:hAnsi="Calibri" w:cs="Calibri"/>
          <w:sz w:val="22"/>
          <w:szCs w:val="22"/>
        </w:rPr>
      </w:pPr>
      <w:r w:rsidRPr="006727F8">
        <w:rPr>
          <w:rFonts w:ascii="Calibri" w:hAnsi="Calibri" w:cs="Calibri"/>
          <w:sz w:val="22"/>
          <w:szCs w:val="22"/>
        </w:rPr>
        <w:t>20% of units at the development must be affordable for households earning at or below 80% of AMI</w:t>
      </w:r>
    </w:p>
    <w:p w14:paraId="1B741EE5" w14:textId="77777777" w:rsidR="00366E13" w:rsidRDefault="00366E13" w:rsidP="00366E13">
      <w:pPr>
        <w:jc w:val="both"/>
        <w:rPr>
          <w:rFonts w:ascii="Calibri" w:hAnsi="Calibri" w:cs="Calibri"/>
          <w:b/>
          <w:bCs/>
          <w:i/>
          <w:iCs/>
          <w:sz w:val="22"/>
          <w:szCs w:val="22"/>
        </w:rPr>
      </w:pPr>
    </w:p>
    <w:p w14:paraId="6C828654" w14:textId="2E3DFF33" w:rsidR="00DA633B" w:rsidRPr="00E07074" w:rsidRDefault="00DA633B" w:rsidP="00366E13">
      <w:pPr>
        <w:jc w:val="both"/>
        <w:rPr>
          <w:rFonts w:ascii="Calibri" w:hAnsi="Calibri" w:cs="Calibri"/>
          <w:b/>
          <w:bCs/>
          <w:i/>
          <w:iCs/>
          <w:sz w:val="22"/>
          <w:szCs w:val="22"/>
        </w:rPr>
      </w:pPr>
      <w:r w:rsidRPr="00E07074">
        <w:rPr>
          <w:rFonts w:ascii="Calibri" w:hAnsi="Calibri" w:cs="Calibri"/>
          <w:b/>
          <w:bCs/>
          <w:i/>
          <w:iCs/>
          <w:sz w:val="22"/>
          <w:szCs w:val="22"/>
        </w:rPr>
        <w:t>21.</w:t>
      </w:r>
      <w:r w:rsidRPr="00E07074">
        <w:rPr>
          <w:rFonts w:ascii="Calibri" w:hAnsi="Calibri" w:cs="Calibri"/>
          <w:b/>
          <w:bCs/>
          <w:i/>
          <w:iCs/>
          <w:sz w:val="22"/>
          <w:szCs w:val="22"/>
        </w:rPr>
        <w:tab/>
        <w:t>Housing Choice Initiative</w:t>
      </w:r>
    </w:p>
    <w:p w14:paraId="24B37F4A" w14:textId="77777777" w:rsidR="00366E13" w:rsidRDefault="00DA633B" w:rsidP="00366E13">
      <w:pPr>
        <w:jc w:val="both"/>
        <w:rPr>
          <w:rFonts w:ascii="Calibri" w:hAnsi="Calibri" w:cs="Calibri"/>
          <w:sz w:val="22"/>
          <w:szCs w:val="22"/>
        </w:rPr>
      </w:pPr>
      <w:r w:rsidRPr="00E07074">
        <w:rPr>
          <w:rFonts w:ascii="Calibri" w:hAnsi="Calibri" w:cs="Calibri"/>
          <w:sz w:val="22"/>
          <w:szCs w:val="22"/>
        </w:rPr>
        <w:t xml:space="preserve">The state has stated its commitment to producing 135,000 new housing units statewide by 2025 or by about 17,000 units per year, an ambitious task.   To help accomplish this, it has created the Housing Choice Initiative that has three basic components that includes Capital Grant Funding.  Communities that qualify for designation under this Initiative can receive exclusive admission to new Housing Choice Capital Grants as well as priority access to existing grant and capital funding programs such as MassWorks, Complete Streets, MassDOT projects, and LAND and PARC grants.  </w:t>
      </w:r>
    </w:p>
    <w:p w14:paraId="13949B44" w14:textId="77777777" w:rsidR="00366E13" w:rsidRDefault="00366E13" w:rsidP="00366E13">
      <w:pPr>
        <w:jc w:val="both"/>
        <w:rPr>
          <w:rFonts w:ascii="Calibri" w:hAnsi="Calibri" w:cs="Calibri"/>
          <w:sz w:val="22"/>
          <w:szCs w:val="22"/>
        </w:rPr>
      </w:pPr>
    </w:p>
    <w:p w14:paraId="66684072" w14:textId="1526FBBF" w:rsidR="00DA633B" w:rsidRPr="00E07074" w:rsidRDefault="00DA633B" w:rsidP="00366E13">
      <w:pPr>
        <w:jc w:val="both"/>
        <w:rPr>
          <w:rFonts w:ascii="Calibri" w:hAnsi="Calibri" w:cs="Calibri"/>
          <w:sz w:val="22"/>
          <w:szCs w:val="22"/>
        </w:rPr>
      </w:pPr>
      <w:r w:rsidRPr="00E07074">
        <w:rPr>
          <w:rFonts w:ascii="Calibri" w:hAnsi="Calibri" w:cs="Calibri"/>
          <w:sz w:val="22"/>
          <w:szCs w:val="22"/>
        </w:rPr>
        <w:t xml:space="preserve">To obtain this designation, the community must submit an application that documents the increase in the total year-round housing stock from the 2010 census and the cumulative net increase in year-round units </w:t>
      </w:r>
      <w:r>
        <w:rPr>
          <w:rFonts w:ascii="Calibri" w:hAnsi="Calibri" w:cs="Calibri"/>
          <w:sz w:val="22"/>
          <w:szCs w:val="22"/>
        </w:rPr>
        <w:t xml:space="preserve">of at least 5% or 500+ units in the last five years or 3% and 300+ units when best practices have </w:t>
      </w:r>
      <w:r>
        <w:rPr>
          <w:rFonts w:ascii="Calibri" w:hAnsi="Calibri" w:cs="Calibri"/>
          <w:sz w:val="22"/>
          <w:szCs w:val="22"/>
        </w:rPr>
        <w:lastRenderedPageBreak/>
        <w:t>been applied to promote housing (e.g., zoning for multi-family housing, Chapter 40R, ADUs, cluster zoning, etc.). Designation lasts for two years.</w:t>
      </w:r>
      <w:r w:rsidRPr="00E07074">
        <w:rPr>
          <w:rFonts w:ascii="Calibri" w:hAnsi="Calibri" w:cs="Calibri"/>
          <w:sz w:val="22"/>
          <w:szCs w:val="22"/>
        </w:rPr>
        <w:t xml:space="preserve">  </w:t>
      </w:r>
    </w:p>
    <w:p w14:paraId="487D4009" w14:textId="77777777" w:rsidR="00DA633B" w:rsidRPr="00E07074" w:rsidRDefault="00DA633B" w:rsidP="00366E13">
      <w:pPr>
        <w:pStyle w:val="BodyText"/>
        <w:spacing w:after="0"/>
        <w:jc w:val="both"/>
        <w:rPr>
          <w:rFonts w:ascii="Calibri" w:hAnsi="Calibri" w:cs="Calibri"/>
          <w:b/>
          <w:sz w:val="22"/>
          <w:szCs w:val="22"/>
        </w:rPr>
      </w:pPr>
    </w:p>
    <w:p w14:paraId="080E8552" w14:textId="77777777" w:rsidR="00DA633B" w:rsidRPr="00366E13" w:rsidRDefault="00DA633B" w:rsidP="00366E13">
      <w:pPr>
        <w:pStyle w:val="Heading4"/>
        <w:spacing w:before="0"/>
        <w:jc w:val="both"/>
        <w:rPr>
          <w:rFonts w:ascii="Calibri" w:hAnsi="Calibri"/>
          <w:i w:val="0"/>
          <w:color w:val="auto"/>
        </w:rPr>
      </w:pPr>
      <w:r w:rsidRPr="00366E13">
        <w:rPr>
          <w:rFonts w:ascii="Calibri" w:hAnsi="Calibri"/>
          <w:i w:val="0"/>
          <w:color w:val="auto"/>
        </w:rPr>
        <w:t>C.</w:t>
      </w:r>
      <w:r w:rsidRPr="00366E13">
        <w:rPr>
          <w:rFonts w:ascii="Calibri" w:hAnsi="Calibri"/>
          <w:i w:val="0"/>
          <w:color w:val="auto"/>
        </w:rPr>
        <w:tab/>
      </w:r>
      <w:r w:rsidRPr="00232905">
        <w:rPr>
          <w:rFonts w:ascii="Calibri" w:hAnsi="Calibri"/>
          <w:i w:val="0"/>
          <w:color w:val="auto"/>
          <w:u w:val="single"/>
        </w:rPr>
        <w:t>Homebuyer Financing and Counseling</w:t>
      </w:r>
    </w:p>
    <w:p w14:paraId="301D4B6B" w14:textId="77777777" w:rsidR="00DA633B" w:rsidRDefault="00DA633B" w:rsidP="00C54FC9">
      <w:pPr>
        <w:jc w:val="both"/>
        <w:rPr>
          <w:rFonts w:ascii="Calibri" w:hAnsi="Calibri" w:cs="Lucida Sans Unicode"/>
          <w:b/>
          <w:bCs/>
          <w:i/>
          <w:iCs/>
          <w:sz w:val="22"/>
        </w:rPr>
      </w:pPr>
      <w:r>
        <w:rPr>
          <w:rFonts w:ascii="Calibri" w:hAnsi="Calibri" w:cs="Lucida Sans Unicode"/>
          <w:b/>
          <w:bCs/>
          <w:i/>
          <w:iCs/>
          <w:sz w:val="22"/>
        </w:rPr>
        <w:t>1.</w:t>
      </w:r>
      <w:r>
        <w:rPr>
          <w:rFonts w:ascii="Calibri" w:hAnsi="Calibri" w:cs="Lucida Sans Unicode"/>
          <w:b/>
          <w:bCs/>
          <w:i/>
          <w:iCs/>
          <w:sz w:val="22"/>
        </w:rPr>
        <w:tab/>
        <w:t>ONE Mortgage Program</w:t>
      </w:r>
    </w:p>
    <w:p w14:paraId="6EE31D49" w14:textId="77777777" w:rsidR="00DA633B" w:rsidRDefault="00DA633B" w:rsidP="00C54FC9">
      <w:pPr>
        <w:jc w:val="both"/>
        <w:rPr>
          <w:rFonts w:ascii="Calibri" w:hAnsi="Calibri" w:cs="Lucida Sans Unicode"/>
          <w:sz w:val="22"/>
        </w:rPr>
      </w:pPr>
      <w:r>
        <w:rPr>
          <w:rFonts w:ascii="Calibri" w:hAnsi="Calibri" w:cs="Lucida Sans Unicode"/>
          <w:sz w:val="22"/>
        </w:rPr>
        <w:t xml:space="preserve">The Massachusetts Housing Partnership Fund, in coordination with the state’s Department of Housing and Community Development, administers the ONE Mortgage Program which replaced the highly successful Soft Second Loan Program that operated between 1991 and 2013 and helped over 17,000 families purchase their first home.  The ONE Mortgage Program is a new simplified version of the Soft Second Program providing low, fixed-rate financing and a state-backed reserve that relieves homebuyers from the costs associated with private mortgage insurance.  Additionally, some participating lenders and communities offer grants to support closing costs and down payments and slightly reduced interest rates on the first mortgage.  </w:t>
      </w:r>
    </w:p>
    <w:p w14:paraId="19E77C6C" w14:textId="77777777" w:rsidR="00DA633B" w:rsidRDefault="00DA633B" w:rsidP="00C54FC9">
      <w:pPr>
        <w:jc w:val="both"/>
        <w:rPr>
          <w:rFonts w:ascii="Calibri" w:hAnsi="Calibri"/>
          <w:sz w:val="22"/>
        </w:rPr>
      </w:pPr>
    </w:p>
    <w:p w14:paraId="609CFB4C" w14:textId="77777777" w:rsidR="00DA633B" w:rsidRDefault="00DA633B" w:rsidP="00C54FC9">
      <w:pPr>
        <w:jc w:val="both"/>
        <w:rPr>
          <w:rFonts w:ascii="Calibri" w:hAnsi="Calibri"/>
          <w:b/>
          <w:bCs/>
          <w:i/>
          <w:iCs/>
          <w:sz w:val="22"/>
        </w:rPr>
      </w:pPr>
      <w:r>
        <w:rPr>
          <w:rFonts w:ascii="Calibri" w:hAnsi="Calibri"/>
          <w:b/>
          <w:bCs/>
          <w:i/>
          <w:iCs/>
          <w:sz w:val="22"/>
        </w:rPr>
        <w:t>2.</w:t>
      </w:r>
      <w:r>
        <w:rPr>
          <w:rFonts w:ascii="Calibri" w:hAnsi="Calibri"/>
          <w:b/>
          <w:bCs/>
          <w:i/>
          <w:iCs/>
          <w:sz w:val="22"/>
        </w:rPr>
        <w:tab/>
        <w:t>Homebuyer Counseling</w:t>
      </w:r>
    </w:p>
    <w:p w14:paraId="01617811" w14:textId="5AF17622" w:rsidR="00DA633B" w:rsidRPr="00366E13" w:rsidRDefault="00DA633B" w:rsidP="00C54FC9">
      <w:pPr>
        <w:pStyle w:val="BodyText2"/>
        <w:spacing w:after="0" w:line="240" w:lineRule="auto"/>
        <w:jc w:val="both"/>
        <w:rPr>
          <w:rFonts w:ascii="Calibri" w:hAnsi="Calibri"/>
          <w:sz w:val="22"/>
          <w:szCs w:val="22"/>
        </w:rPr>
      </w:pPr>
      <w:r w:rsidRPr="00366E13">
        <w:rPr>
          <w:rFonts w:ascii="Calibri" w:hAnsi="Calibri"/>
          <w:sz w:val="22"/>
          <w:szCs w:val="22"/>
        </w:rPr>
        <w:t xml:space="preserve">There are a number of programs, including the Soft Second Loan Program and MassHousing’s Home Improvement Loan Program, as well as Chapter 40B homeownership projects, that require purchasers to attend homebuyer workshops sponsored by organizations that are approved by the state, Citizens Housing and Planning Association (CHAPA) and/or HUD as a condition of occupancy.  These sessions provide first-time homebuyers with a wide range of important information on homeownership finance and requirements.  The organization that offers these workshops in closest proximity to </w:t>
      </w:r>
      <w:r w:rsidR="00366E13">
        <w:rPr>
          <w:rFonts w:ascii="Calibri" w:hAnsi="Calibri"/>
          <w:sz w:val="22"/>
          <w:szCs w:val="22"/>
        </w:rPr>
        <w:t>Needham</w:t>
      </w:r>
      <w:r w:rsidRPr="00366E13">
        <w:rPr>
          <w:rFonts w:ascii="Calibri" w:hAnsi="Calibri"/>
          <w:sz w:val="22"/>
          <w:szCs w:val="22"/>
        </w:rPr>
        <w:t xml:space="preserve"> is </w:t>
      </w:r>
      <w:r w:rsidR="00366E13">
        <w:rPr>
          <w:rFonts w:ascii="Calibri" w:hAnsi="Calibri"/>
          <w:sz w:val="22"/>
          <w:szCs w:val="22"/>
        </w:rPr>
        <w:t>Metro West Collaborative Development</w:t>
      </w:r>
      <w:r w:rsidRPr="00366E13">
        <w:rPr>
          <w:rFonts w:ascii="Calibri" w:hAnsi="Calibri"/>
          <w:sz w:val="22"/>
          <w:szCs w:val="22"/>
        </w:rPr>
        <w:t>.</w:t>
      </w:r>
    </w:p>
    <w:p w14:paraId="1347D568" w14:textId="77777777" w:rsidR="00DA633B" w:rsidRDefault="00DA633B" w:rsidP="00C54FC9">
      <w:pPr>
        <w:jc w:val="both"/>
        <w:rPr>
          <w:rFonts w:ascii="Calibri" w:hAnsi="Calibri"/>
          <w:sz w:val="22"/>
        </w:rPr>
      </w:pPr>
    </w:p>
    <w:p w14:paraId="45D2B739" w14:textId="77777777" w:rsidR="00DA633B" w:rsidRDefault="00DA633B" w:rsidP="00C54FC9">
      <w:pPr>
        <w:jc w:val="both"/>
        <w:rPr>
          <w:rFonts w:ascii="Calibri" w:hAnsi="Calibri"/>
          <w:b/>
          <w:bCs/>
          <w:i/>
          <w:iCs/>
          <w:sz w:val="22"/>
        </w:rPr>
      </w:pPr>
      <w:r>
        <w:rPr>
          <w:rFonts w:ascii="Calibri" w:hAnsi="Calibri"/>
          <w:b/>
          <w:bCs/>
          <w:i/>
          <w:iCs/>
          <w:sz w:val="22"/>
        </w:rPr>
        <w:t>3.</w:t>
      </w:r>
      <w:r>
        <w:rPr>
          <w:rFonts w:ascii="Calibri" w:hAnsi="Calibri"/>
          <w:b/>
          <w:bCs/>
          <w:i/>
          <w:iCs/>
          <w:sz w:val="22"/>
        </w:rPr>
        <w:tab/>
        <w:t xml:space="preserve">Self-Help Housing. </w:t>
      </w:r>
    </w:p>
    <w:p w14:paraId="3FCBCCC7" w14:textId="77777777" w:rsidR="00DA633B" w:rsidRDefault="00DA633B" w:rsidP="00C54FC9">
      <w:pPr>
        <w:jc w:val="both"/>
        <w:rPr>
          <w:rFonts w:ascii="Calibri" w:hAnsi="Calibri"/>
          <w:sz w:val="22"/>
        </w:rPr>
      </w:pPr>
      <w:r>
        <w:rPr>
          <w:rFonts w:ascii="Calibri" w:hAnsi="Calibri"/>
          <w:sz w:val="22"/>
        </w:rPr>
        <w:t>Self-Help programs involve sweat-equity by the homebuyer and volunteer labor of others to reduce construction costs. Some communities have donated building lots to Habitat for Humanity to construct affordable single housing units. Under the Habitat for Humanity program, homebuyers contribute between 300 and 500 hours of sweat equity while working with volunteers from the community to construct the home. The homeowner finances the home with a 20-year loan at 0% interest. As funds are paid back to Habitat for Humanity, they are used to fund future projects.</w:t>
      </w:r>
    </w:p>
    <w:p w14:paraId="087BBFF8" w14:textId="77777777" w:rsidR="00DA633B" w:rsidRDefault="00DA633B" w:rsidP="00C54FC9">
      <w:pPr>
        <w:jc w:val="both"/>
        <w:rPr>
          <w:rFonts w:ascii="Calibri" w:hAnsi="Calibri"/>
          <w:b/>
          <w:bCs/>
          <w:sz w:val="22"/>
        </w:rPr>
      </w:pPr>
    </w:p>
    <w:p w14:paraId="0E804020" w14:textId="77777777" w:rsidR="00DA633B" w:rsidRPr="00366E13" w:rsidRDefault="00DA633B" w:rsidP="00C54FC9">
      <w:pPr>
        <w:jc w:val="both"/>
        <w:rPr>
          <w:rFonts w:ascii="Calibri" w:hAnsi="Calibri"/>
          <w:b/>
          <w:bCs/>
        </w:rPr>
      </w:pPr>
      <w:r w:rsidRPr="00366E13">
        <w:rPr>
          <w:rFonts w:ascii="Calibri" w:hAnsi="Calibri"/>
          <w:b/>
          <w:bCs/>
        </w:rPr>
        <w:t>D.</w:t>
      </w:r>
      <w:r w:rsidRPr="00366E13">
        <w:rPr>
          <w:rFonts w:ascii="Calibri" w:hAnsi="Calibri"/>
          <w:b/>
          <w:bCs/>
        </w:rPr>
        <w:tab/>
      </w:r>
      <w:r w:rsidRPr="00366E13">
        <w:rPr>
          <w:rFonts w:ascii="Calibri" w:hAnsi="Calibri"/>
          <w:b/>
          <w:bCs/>
          <w:u w:val="single"/>
        </w:rPr>
        <w:t>Home Improvement Financing</w:t>
      </w:r>
    </w:p>
    <w:p w14:paraId="6928B37C" w14:textId="77777777" w:rsidR="00DA633B" w:rsidRDefault="00DA633B" w:rsidP="00C54FC9">
      <w:pPr>
        <w:pStyle w:val="BodyTextIndent3"/>
        <w:tabs>
          <w:tab w:val="left" w:pos="1620"/>
        </w:tabs>
        <w:spacing w:after="0"/>
        <w:ind w:left="0"/>
        <w:jc w:val="both"/>
        <w:rPr>
          <w:rFonts w:ascii="Calibri" w:hAnsi="Calibri"/>
          <w:b/>
          <w:bCs/>
          <w:i/>
          <w:iCs/>
          <w:sz w:val="22"/>
        </w:rPr>
      </w:pPr>
      <w:r>
        <w:rPr>
          <w:rFonts w:ascii="Calibri" w:hAnsi="Calibri"/>
          <w:b/>
          <w:bCs/>
          <w:i/>
          <w:iCs/>
          <w:sz w:val="22"/>
        </w:rPr>
        <w:t>1.          MassHousing Home Improvement Loan Program (HLP)</w:t>
      </w:r>
    </w:p>
    <w:p w14:paraId="597A8E29" w14:textId="77777777" w:rsidR="00DA633B" w:rsidRDefault="00DA633B" w:rsidP="00C54FC9">
      <w:pPr>
        <w:pStyle w:val="BodyTextIndent3"/>
        <w:spacing w:after="0"/>
        <w:ind w:left="0"/>
        <w:jc w:val="both"/>
        <w:rPr>
          <w:rFonts w:ascii="Calibri" w:hAnsi="Calibri"/>
          <w:sz w:val="22"/>
        </w:rPr>
      </w:pPr>
      <w:r>
        <w:rPr>
          <w:rFonts w:ascii="Calibri" w:hAnsi="Calibri"/>
          <w:sz w:val="22"/>
        </w:rPr>
        <w:t>The MHFA Home Improvement Loan Program (HILP) is targeted to one- to four-unit, owner-occupied properties, including condominiums, with a minimum loan amount of $10,000 up to a maximum of $50,000.   Loan terms range from five to 20 years based on the amount of the loan and the borrower’s income and debt.  MassHousing services the loans.  Income limits are $92,000 for households of one or two persons and $104,000 for families of three or more persons.  To apply for a loan, applicants must contact a participating lender.</w:t>
      </w:r>
    </w:p>
    <w:p w14:paraId="4DACAD3C" w14:textId="77777777" w:rsidR="00DA633B" w:rsidRDefault="00DA633B" w:rsidP="00C54FC9">
      <w:pPr>
        <w:pStyle w:val="BodyTextIndent3"/>
        <w:tabs>
          <w:tab w:val="num" w:pos="720"/>
          <w:tab w:val="left" w:pos="1620"/>
        </w:tabs>
        <w:spacing w:after="0"/>
        <w:ind w:left="0"/>
        <w:jc w:val="both"/>
        <w:rPr>
          <w:rFonts w:ascii="Calibri" w:hAnsi="Calibri"/>
          <w:i/>
          <w:iCs/>
          <w:sz w:val="22"/>
        </w:rPr>
      </w:pPr>
    </w:p>
    <w:p w14:paraId="747EB7AD" w14:textId="77777777" w:rsidR="00DA633B" w:rsidRDefault="00DA633B" w:rsidP="00C54FC9">
      <w:pPr>
        <w:pStyle w:val="BodyTextIndent3"/>
        <w:tabs>
          <w:tab w:val="num" w:pos="720"/>
          <w:tab w:val="left" w:pos="1620"/>
        </w:tabs>
        <w:spacing w:after="0"/>
        <w:ind w:left="0"/>
        <w:jc w:val="both"/>
        <w:rPr>
          <w:rFonts w:ascii="Calibri" w:hAnsi="Calibri" w:cs="Lucida Sans Unicode"/>
          <w:b/>
          <w:bCs/>
          <w:i/>
          <w:iCs/>
          <w:sz w:val="22"/>
        </w:rPr>
      </w:pPr>
      <w:r>
        <w:rPr>
          <w:rFonts w:ascii="Calibri" w:hAnsi="Calibri" w:cs="Lucida Sans Unicode"/>
          <w:b/>
          <w:bCs/>
          <w:i/>
          <w:iCs/>
          <w:sz w:val="22"/>
        </w:rPr>
        <w:t>2.</w:t>
      </w:r>
      <w:r>
        <w:rPr>
          <w:rFonts w:ascii="Calibri" w:hAnsi="Calibri" w:cs="Lucida Sans Unicode"/>
          <w:b/>
          <w:bCs/>
          <w:i/>
          <w:iCs/>
          <w:sz w:val="22"/>
        </w:rPr>
        <w:tab/>
        <w:t>Get the Lead Out Program</w:t>
      </w:r>
    </w:p>
    <w:p w14:paraId="3C5962BB" w14:textId="77777777" w:rsidR="00DA633B" w:rsidRDefault="00DA633B" w:rsidP="00C54FC9">
      <w:pPr>
        <w:pStyle w:val="BodyTextIndent3"/>
        <w:tabs>
          <w:tab w:val="left" w:pos="1440"/>
        </w:tabs>
        <w:spacing w:after="0"/>
        <w:ind w:left="0"/>
        <w:jc w:val="both"/>
        <w:rPr>
          <w:rFonts w:ascii="Calibri" w:hAnsi="Calibri" w:cs="Lucida Sans Unicode"/>
          <w:sz w:val="22"/>
        </w:rPr>
      </w:pPr>
      <w:r>
        <w:rPr>
          <w:rFonts w:ascii="Calibri" w:hAnsi="Calibri" w:cs="Lucida Sans Unicode"/>
          <w:sz w:val="22"/>
        </w:rPr>
        <w:t>MassHousing’s Get the Lead Out Program has been</w:t>
      </w:r>
      <w:r>
        <w:rPr>
          <w:rFonts w:ascii="Calibri" w:hAnsi="Calibri" w:cs="Lucida Sans Unicode"/>
          <w:i/>
          <w:iCs/>
          <w:sz w:val="22"/>
        </w:rPr>
        <w:t xml:space="preserve"> </w:t>
      </w:r>
      <w:r>
        <w:rPr>
          <w:rFonts w:ascii="Calibri" w:hAnsi="Calibri" w:cs="Lucida Sans Unicode"/>
          <w:sz w:val="22"/>
        </w:rPr>
        <w:t xml:space="preserve">offering financing for lead paint removal on excellent terms.  Based on uncertain future legislative appropriations, some changes in program requirements were made to insure that eligible homeowners with lead poisoned children would have funding available for a longer period.  All income eligible families who are under court order to delead or who have a child under case management with the Commonwealth’s Lead Paint Prevention Program, will continue to receive 0% deferred loans.  Owners wanting to delead their homes for preventive purposes must qualify for an amortizing loan with a 3% interest rate if earning within 80% of area </w:t>
      </w:r>
      <w:r>
        <w:rPr>
          <w:rFonts w:ascii="Calibri" w:hAnsi="Calibri" w:cs="Lucida Sans Unicode"/>
          <w:sz w:val="22"/>
        </w:rPr>
        <w:lastRenderedPageBreak/>
        <w:t>median income, 5% interest if earning over 80% AMI and up to the program maximum.   Applicants must contact a local rehabilitation agency to apply for the loan.</w:t>
      </w:r>
    </w:p>
    <w:p w14:paraId="4C2D7594" w14:textId="77777777" w:rsidR="00DA633B" w:rsidRDefault="00DA633B" w:rsidP="00C54FC9">
      <w:pPr>
        <w:pStyle w:val="BodyTextIndent3"/>
        <w:spacing w:after="0"/>
        <w:ind w:left="0"/>
        <w:jc w:val="both"/>
        <w:rPr>
          <w:rFonts w:ascii="Calibri" w:hAnsi="Calibri" w:cs="Lucida Sans Unicode"/>
          <w:sz w:val="22"/>
        </w:rPr>
      </w:pPr>
    </w:p>
    <w:p w14:paraId="070479D9" w14:textId="77777777" w:rsidR="00DA633B" w:rsidRDefault="00DA633B" w:rsidP="00C54FC9">
      <w:pPr>
        <w:pStyle w:val="BodyTextIndent3"/>
        <w:spacing w:after="0"/>
        <w:ind w:left="0"/>
        <w:jc w:val="both"/>
        <w:rPr>
          <w:rFonts w:ascii="Calibri" w:hAnsi="Calibri"/>
          <w:b/>
          <w:bCs/>
          <w:i/>
          <w:iCs/>
          <w:sz w:val="22"/>
        </w:rPr>
      </w:pPr>
      <w:r>
        <w:rPr>
          <w:rFonts w:ascii="Calibri" w:hAnsi="Calibri"/>
          <w:b/>
          <w:bCs/>
          <w:i/>
          <w:iCs/>
          <w:sz w:val="22"/>
        </w:rPr>
        <w:t>3.</w:t>
      </w:r>
      <w:r>
        <w:rPr>
          <w:rFonts w:ascii="Calibri" w:hAnsi="Calibri"/>
          <w:b/>
          <w:bCs/>
          <w:i/>
          <w:iCs/>
          <w:sz w:val="22"/>
        </w:rPr>
        <w:tab/>
        <w:t>Septic Repair Program</w:t>
      </w:r>
    </w:p>
    <w:p w14:paraId="51C32D75" w14:textId="77777777" w:rsidR="00DA633B" w:rsidRDefault="00DA633B" w:rsidP="00C54FC9">
      <w:pPr>
        <w:pStyle w:val="BodyTextIndent3"/>
        <w:spacing w:after="0"/>
        <w:ind w:left="0"/>
        <w:jc w:val="both"/>
        <w:rPr>
          <w:rFonts w:ascii="Calibri" w:hAnsi="Calibri"/>
          <w:sz w:val="22"/>
        </w:rPr>
      </w:pPr>
      <w:r>
        <w:rPr>
          <w:rFonts w:ascii="Calibri" w:hAnsi="Calibri"/>
          <w:sz w:val="22"/>
        </w:rPr>
        <w:t>Through a partnership with the Massachusetts Department of Environmental Protection and Revenue, MassHousing offers loans to repair or replace failed or inadequate septic systems for qualifying applicants.  The interest rates vary according to the borrower’s income with 0% loans available to one and two-person households earning up to $23,000 and three or more person households earning up to $26,000 annually.  There are 3% loans available for those one or two person households earning up to $46,000 and three or more persons earning up to $52,000. Additionally, one to four-family dwellings and condominiums are eligible for loan amounts of up to $25,000 and can be repaid in as little as three years or over a longer period of up to 20 years.  To apply for a loan, applicants must contact a participating lender.</w:t>
      </w:r>
    </w:p>
    <w:p w14:paraId="47B3C11D" w14:textId="77777777" w:rsidR="00DA633B" w:rsidRDefault="00DA633B" w:rsidP="00C54FC9">
      <w:pPr>
        <w:jc w:val="both"/>
        <w:rPr>
          <w:rFonts w:ascii="Calibri" w:hAnsi="Calibri"/>
          <w:b/>
          <w:sz w:val="22"/>
        </w:rPr>
      </w:pPr>
    </w:p>
    <w:p w14:paraId="560446AE" w14:textId="77777777" w:rsidR="00DA633B" w:rsidRDefault="00DA633B" w:rsidP="00C54FC9">
      <w:pPr>
        <w:jc w:val="both"/>
        <w:rPr>
          <w:rFonts w:ascii="Calibri" w:hAnsi="Calibri" w:cs="Lucida Sans Unicode"/>
          <w:b/>
          <w:i/>
          <w:iCs/>
          <w:sz w:val="22"/>
        </w:rPr>
      </w:pPr>
      <w:r>
        <w:rPr>
          <w:rFonts w:ascii="Calibri" w:hAnsi="Calibri" w:cs="Lucida Sans Unicode"/>
          <w:b/>
          <w:i/>
          <w:iCs/>
          <w:sz w:val="22"/>
        </w:rPr>
        <w:t>4.</w:t>
      </w:r>
      <w:r>
        <w:rPr>
          <w:rFonts w:ascii="Calibri" w:hAnsi="Calibri" w:cs="Lucida Sans Unicode"/>
          <w:b/>
          <w:i/>
          <w:iCs/>
          <w:sz w:val="22"/>
        </w:rPr>
        <w:tab/>
        <w:t>Home Modification Program</w:t>
      </w:r>
    </w:p>
    <w:p w14:paraId="7D18768C" w14:textId="77777777" w:rsidR="00DA633B" w:rsidRDefault="00DA633B" w:rsidP="00C54FC9">
      <w:pPr>
        <w:jc w:val="both"/>
        <w:rPr>
          <w:rFonts w:ascii="Calibri" w:hAnsi="Calibri" w:cs="Lucida Sans Unicode"/>
          <w:bCs/>
          <w:sz w:val="22"/>
        </w:rPr>
      </w:pPr>
      <w:r>
        <w:rPr>
          <w:rFonts w:ascii="Calibri" w:hAnsi="Calibri" w:cs="Lucida Sans Unicode"/>
          <w:bCs/>
          <w:sz w:val="22"/>
        </w:rPr>
        <w:t xml:space="preserve">This state-funded program provides financial and technical assistance to those who require modifications to their homes to make them handicapped accessible.  The area’s regional non-profit organization, South Shore Housing Development Corporation, administers these funds for the state.  </w:t>
      </w:r>
    </w:p>
    <w:p w14:paraId="2E88C3EF" w14:textId="77777777" w:rsidR="00DA633B" w:rsidRDefault="00DA633B" w:rsidP="00C54FC9">
      <w:pPr>
        <w:jc w:val="both"/>
        <w:rPr>
          <w:rFonts w:ascii="Calibri" w:hAnsi="Calibri"/>
          <w:b/>
          <w:sz w:val="22"/>
        </w:rPr>
      </w:pPr>
    </w:p>
    <w:p w14:paraId="4FD17107" w14:textId="77777777" w:rsidR="00DA633B" w:rsidRDefault="00DA633B" w:rsidP="00C54FC9">
      <w:pPr>
        <w:jc w:val="both"/>
        <w:rPr>
          <w:rFonts w:ascii="Calibri" w:hAnsi="Calibri"/>
          <w:b/>
          <w:sz w:val="22"/>
        </w:rPr>
      </w:pPr>
    </w:p>
    <w:p w14:paraId="30EA0524" w14:textId="77777777" w:rsidR="00DA633B" w:rsidRDefault="00DA633B" w:rsidP="00C54FC9">
      <w:pPr>
        <w:jc w:val="both"/>
        <w:rPr>
          <w:rFonts w:ascii="Calibri" w:hAnsi="Calibri"/>
          <w:b/>
          <w:sz w:val="22"/>
        </w:rPr>
      </w:pPr>
    </w:p>
    <w:p w14:paraId="1CD409A0" w14:textId="77777777" w:rsidR="00DA633B" w:rsidRDefault="00DA633B" w:rsidP="00C54FC9">
      <w:pPr>
        <w:jc w:val="both"/>
        <w:rPr>
          <w:rFonts w:ascii="Calibri" w:hAnsi="Calibri"/>
          <w:b/>
          <w:sz w:val="22"/>
        </w:rPr>
      </w:pPr>
    </w:p>
    <w:p w14:paraId="4E49F979" w14:textId="004E49E3" w:rsidR="00010FF4" w:rsidRDefault="00010FF4" w:rsidP="008772FC">
      <w:pPr>
        <w:pStyle w:val="Header"/>
        <w:ind w:left="720" w:hanging="720"/>
        <w:jc w:val="center"/>
        <w:rPr>
          <w:rFonts w:ascii="Calibri" w:hAnsi="Calibri"/>
          <w:b/>
          <w:color w:val="002060"/>
          <w:sz w:val="28"/>
          <w:szCs w:val="28"/>
        </w:rPr>
      </w:pPr>
      <w:r>
        <w:rPr>
          <w:rFonts w:ascii="Calibri" w:hAnsi="Calibri"/>
          <w:b/>
          <w:color w:val="002060"/>
          <w:sz w:val="28"/>
          <w:szCs w:val="28"/>
        </w:rPr>
        <w:t xml:space="preserve">Appendix </w:t>
      </w:r>
      <w:r w:rsidR="00920BC9">
        <w:rPr>
          <w:rFonts w:ascii="Calibri" w:hAnsi="Calibri"/>
          <w:b/>
          <w:color w:val="002060"/>
          <w:sz w:val="28"/>
          <w:szCs w:val="28"/>
        </w:rPr>
        <w:t>4</w:t>
      </w:r>
    </w:p>
    <w:p w14:paraId="14D8A189" w14:textId="4EE4F1D6" w:rsidR="00010FF4" w:rsidRPr="00010FF4" w:rsidRDefault="00010FF4" w:rsidP="008772FC">
      <w:pPr>
        <w:pStyle w:val="Header"/>
        <w:ind w:left="720" w:hanging="720"/>
        <w:jc w:val="center"/>
        <w:rPr>
          <w:rFonts w:ascii="Calibri" w:hAnsi="Calibri"/>
          <w:b/>
          <w:color w:val="002060"/>
          <w:sz w:val="28"/>
          <w:szCs w:val="28"/>
        </w:rPr>
      </w:pPr>
      <w:r>
        <w:rPr>
          <w:rFonts w:ascii="Calibri" w:hAnsi="Calibri"/>
          <w:b/>
          <w:color w:val="002060"/>
          <w:sz w:val="28"/>
          <w:szCs w:val="28"/>
        </w:rPr>
        <w:t>Map of Multi-family Housing Units</w:t>
      </w:r>
    </w:p>
    <w:p w14:paraId="50BA3F39" w14:textId="77777777" w:rsidR="008772FC" w:rsidRDefault="008772FC" w:rsidP="008772FC">
      <w:pPr>
        <w:pStyle w:val="Header"/>
        <w:ind w:left="720" w:hanging="720"/>
        <w:jc w:val="center"/>
        <w:rPr>
          <w:rFonts w:ascii="Calibri" w:hAnsi="Calibri"/>
          <w:b/>
          <w:color w:val="FF0000"/>
          <w:sz w:val="22"/>
          <w:szCs w:val="22"/>
        </w:rPr>
      </w:pPr>
    </w:p>
    <w:p w14:paraId="14183D95" w14:textId="77777777" w:rsidR="008772FC" w:rsidRDefault="008772FC" w:rsidP="008772FC">
      <w:pPr>
        <w:pStyle w:val="Header"/>
        <w:ind w:left="720" w:hanging="720"/>
        <w:jc w:val="center"/>
        <w:rPr>
          <w:rFonts w:ascii="Calibri" w:hAnsi="Calibri"/>
          <w:b/>
          <w:color w:val="FF0000"/>
          <w:sz w:val="22"/>
          <w:szCs w:val="22"/>
        </w:rPr>
      </w:pPr>
    </w:p>
    <w:p w14:paraId="00FF48BC" w14:textId="77777777" w:rsidR="008772FC" w:rsidRDefault="008772FC" w:rsidP="008772FC">
      <w:pPr>
        <w:pStyle w:val="Header"/>
        <w:ind w:left="720" w:hanging="720"/>
        <w:jc w:val="center"/>
        <w:rPr>
          <w:rFonts w:ascii="Calibri" w:hAnsi="Calibri"/>
          <w:b/>
          <w:color w:val="FF0000"/>
          <w:sz w:val="22"/>
          <w:szCs w:val="22"/>
        </w:rPr>
      </w:pPr>
    </w:p>
    <w:p w14:paraId="5C961256" w14:textId="77777777" w:rsidR="008772FC" w:rsidRDefault="008772FC" w:rsidP="008772FC">
      <w:pPr>
        <w:pStyle w:val="Header"/>
        <w:ind w:left="720" w:hanging="720"/>
        <w:jc w:val="center"/>
        <w:rPr>
          <w:rFonts w:ascii="Calibri" w:hAnsi="Calibri"/>
          <w:b/>
          <w:color w:val="FF0000"/>
          <w:sz w:val="22"/>
          <w:szCs w:val="22"/>
        </w:rPr>
      </w:pPr>
    </w:p>
    <w:p w14:paraId="044A565F" w14:textId="5D41FA06" w:rsidR="00B33DB0" w:rsidRPr="00710A80" w:rsidRDefault="00010FF4" w:rsidP="00C152A8">
      <w:pPr>
        <w:pStyle w:val="Header"/>
        <w:rPr>
          <w:rFonts w:asciiTheme="minorHAnsi" w:hAnsiTheme="minorHAnsi" w:cstheme="minorHAnsi"/>
        </w:rPr>
      </w:pPr>
      <w:r>
        <w:rPr>
          <w:rFonts w:asciiTheme="minorHAnsi" w:hAnsiTheme="minorHAnsi" w:cstheme="minorHAnsi"/>
          <w:noProof/>
        </w:rPr>
        <w:lastRenderedPageBreak/>
        <w:drawing>
          <wp:inline distT="0" distB="0" distL="0" distR="0" wp14:anchorId="74FF2D17" wp14:editId="52CCC16F">
            <wp:extent cx="6218555" cy="4632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4185" cy="4636257"/>
                    </a:xfrm>
                    <a:prstGeom prst="rect">
                      <a:avLst/>
                    </a:prstGeom>
                    <a:noFill/>
                  </pic:spPr>
                </pic:pic>
              </a:graphicData>
            </a:graphic>
          </wp:inline>
        </w:drawing>
      </w:r>
    </w:p>
    <w:sectPr w:rsidR="00B33DB0" w:rsidRPr="00710A80" w:rsidSect="00AC3B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2F6F6" w14:textId="77777777" w:rsidR="00D759BF" w:rsidRDefault="00D759BF" w:rsidP="008772FC">
      <w:r>
        <w:separator/>
      </w:r>
    </w:p>
  </w:endnote>
  <w:endnote w:type="continuationSeparator" w:id="0">
    <w:p w14:paraId="0FC740B2" w14:textId="77777777" w:rsidR="00D759BF" w:rsidRDefault="00D759BF" w:rsidP="0087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Antiqua">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F6D0" w14:textId="77777777" w:rsidR="005A7763" w:rsidRDefault="005A77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A86A73" w14:textId="77777777" w:rsidR="005A7763" w:rsidRDefault="005A77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429373"/>
      <w:docPartObj>
        <w:docPartGallery w:val="Page Numbers (Bottom of Page)"/>
        <w:docPartUnique/>
      </w:docPartObj>
    </w:sdtPr>
    <w:sdtEndPr>
      <w:rPr>
        <w:noProof/>
      </w:rPr>
    </w:sdtEndPr>
    <w:sdtContent>
      <w:p w14:paraId="057065CF" w14:textId="12F7DA36" w:rsidR="00E75F6C" w:rsidRDefault="00E75F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0A17AC" w14:textId="1104F985" w:rsidR="005A7763" w:rsidRDefault="005A7763">
    <w:pPr>
      <w:pStyle w:val="Footer"/>
      <w:ind w:right="360"/>
      <w:rPr>
        <w:rFonts w:ascii="Calibri" w:hAnsi="Calibri"/>
        <w:color w:val="0000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99D6" w14:textId="74A3BD16" w:rsidR="00325262" w:rsidRPr="00303F30" w:rsidRDefault="00325262">
    <w:pPr>
      <w:pStyle w:val="Footer"/>
      <w:pBdr>
        <w:top w:val="thinThickSmallGap" w:sz="24" w:space="1" w:color="622423" w:themeColor="accent2" w:themeShade="7F"/>
      </w:pBdr>
      <w:rPr>
        <w:rFonts w:asciiTheme="minorHAnsi" w:eastAsiaTheme="majorEastAsia" w:hAnsiTheme="minorHAnsi" w:cstheme="majorBidi"/>
        <w:b/>
        <w:color w:val="1F497D" w:themeColor="text2"/>
      </w:rPr>
    </w:pPr>
    <w:r w:rsidRPr="00303F30">
      <w:rPr>
        <w:rFonts w:asciiTheme="minorHAnsi" w:eastAsiaTheme="majorEastAsia" w:hAnsiTheme="minorHAnsi" w:cstheme="majorBidi"/>
        <w:b/>
        <w:color w:val="1F497D" w:themeColor="text2"/>
      </w:rPr>
      <w:t>Needham Housing P</w:t>
    </w:r>
    <w:r w:rsidR="00710A80">
      <w:rPr>
        <w:rFonts w:asciiTheme="minorHAnsi" w:eastAsiaTheme="majorEastAsia" w:hAnsiTheme="minorHAnsi" w:cstheme="majorBidi"/>
        <w:b/>
        <w:color w:val="1F497D" w:themeColor="text2"/>
      </w:rPr>
      <w:t>lan</w:t>
    </w:r>
    <w:r w:rsidRPr="00303F30">
      <w:rPr>
        <w:rFonts w:asciiTheme="minorHAnsi" w:eastAsiaTheme="majorEastAsia" w:hAnsiTheme="minorHAnsi" w:cstheme="majorBidi"/>
        <w:b/>
        <w:color w:val="1F497D" w:themeColor="text2"/>
      </w:rPr>
      <w:ptab w:relativeTo="margin" w:alignment="right" w:leader="none"/>
    </w:r>
    <w:r w:rsidRPr="00303F30">
      <w:rPr>
        <w:rFonts w:asciiTheme="minorHAnsi" w:eastAsiaTheme="majorEastAsia" w:hAnsiTheme="minorHAnsi" w:cstheme="majorBidi"/>
        <w:b/>
        <w:color w:val="1F497D" w:themeColor="text2"/>
      </w:rPr>
      <w:t xml:space="preserve">Page </w:t>
    </w:r>
    <w:r w:rsidRPr="00303F30">
      <w:rPr>
        <w:rFonts w:asciiTheme="minorHAnsi" w:eastAsiaTheme="minorEastAsia" w:hAnsiTheme="minorHAnsi" w:cstheme="minorBidi"/>
        <w:b/>
        <w:color w:val="1F497D" w:themeColor="text2"/>
      </w:rPr>
      <w:fldChar w:fldCharType="begin"/>
    </w:r>
    <w:r w:rsidRPr="00303F30">
      <w:rPr>
        <w:rFonts w:asciiTheme="minorHAnsi" w:hAnsiTheme="minorHAnsi"/>
        <w:b/>
        <w:color w:val="1F497D" w:themeColor="text2"/>
      </w:rPr>
      <w:instrText xml:space="preserve"> PAGE   \* MERGEFORMAT </w:instrText>
    </w:r>
    <w:r w:rsidRPr="00303F30">
      <w:rPr>
        <w:rFonts w:asciiTheme="minorHAnsi" w:eastAsiaTheme="minorEastAsia" w:hAnsiTheme="minorHAnsi" w:cstheme="minorBidi"/>
        <w:b/>
        <w:color w:val="1F497D" w:themeColor="text2"/>
      </w:rPr>
      <w:fldChar w:fldCharType="separate"/>
    </w:r>
    <w:r w:rsidR="00570B66" w:rsidRPr="00570B66">
      <w:rPr>
        <w:rFonts w:asciiTheme="minorHAnsi" w:eastAsiaTheme="majorEastAsia" w:hAnsiTheme="minorHAnsi" w:cstheme="majorBidi"/>
        <w:b/>
        <w:noProof/>
        <w:color w:val="1F497D" w:themeColor="text2"/>
      </w:rPr>
      <w:t>50</w:t>
    </w:r>
    <w:r w:rsidRPr="00303F30">
      <w:rPr>
        <w:rFonts w:asciiTheme="minorHAnsi" w:eastAsiaTheme="majorEastAsia" w:hAnsiTheme="minorHAnsi" w:cstheme="majorBidi"/>
        <w:b/>
        <w:noProof/>
        <w:color w:val="1F497D" w:themeColor="text2"/>
      </w:rPr>
      <w:fldChar w:fldCharType="end"/>
    </w:r>
  </w:p>
  <w:p w14:paraId="3A135DBE" w14:textId="77777777" w:rsidR="00325262" w:rsidRPr="00303F30" w:rsidRDefault="00325262">
    <w:pPr>
      <w:pStyle w:val="Footer"/>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C420" w14:textId="77777777" w:rsidR="00D759BF" w:rsidRDefault="00D759BF" w:rsidP="008772FC">
      <w:r>
        <w:separator/>
      </w:r>
    </w:p>
  </w:footnote>
  <w:footnote w:type="continuationSeparator" w:id="0">
    <w:p w14:paraId="2237E389" w14:textId="77777777" w:rsidR="00D759BF" w:rsidRDefault="00D759BF" w:rsidP="008772FC">
      <w:r>
        <w:continuationSeparator/>
      </w:r>
    </w:p>
  </w:footnote>
  <w:footnote w:id="1">
    <w:p w14:paraId="0398EAB1" w14:textId="65768881" w:rsidR="0042546C" w:rsidRPr="000C7CDE" w:rsidRDefault="0042546C" w:rsidP="0042546C">
      <w:pPr>
        <w:pStyle w:val="FootnoteText"/>
        <w:jc w:val="both"/>
        <w:rPr>
          <w:rFonts w:asciiTheme="minorHAnsi" w:hAnsiTheme="minorHAnsi" w:cstheme="minorHAnsi"/>
        </w:rPr>
      </w:pPr>
      <w:r w:rsidRPr="0042546C">
        <w:rPr>
          <w:rStyle w:val="FootnoteReference"/>
          <w:rFonts w:asciiTheme="minorHAnsi" w:hAnsiTheme="minorHAnsi" w:cstheme="minorHAnsi"/>
        </w:rPr>
        <w:footnoteRef/>
      </w:r>
      <w:r w:rsidR="0015294E">
        <w:rPr>
          <w:rFonts w:asciiTheme="minorHAnsi" w:hAnsiTheme="minorHAnsi" w:cstheme="minorHAnsi"/>
        </w:rPr>
        <w:t xml:space="preserve"> </w:t>
      </w:r>
      <w:r w:rsidR="0015294E" w:rsidRPr="0042546C">
        <w:rPr>
          <w:rFonts w:asciiTheme="minorHAnsi" w:hAnsiTheme="minorHAnsi" w:cstheme="minorHAnsi"/>
        </w:rPr>
        <w:t xml:space="preserve">A total of 894 units were added to the </w:t>
      </w:r>
      <w:r w:rsidR="0015294E">
        <w:rPr>
          <w:rFonts w:asciiTheme="minorHAnsi" w:hAnsiTheme="minorHAnsi" w:cstheme="minorHAnsi"/>
        </w:rPr>
        <w:t xml:space="preserve">Massachusetts Department of Housing and Community Development (“DHCD”) </w:t>
      </w:r>
      <w:r w:rsidR="0015294E" w:rsidRPr="0042546C">
        <w:rPr>
          <w:rFonts w:asciiTheme="minorHAnsi" w:hAnsiTheme="minorHAnsi" w:cstheme="minorHAnsi"/>
        </w:rPr>
        <w:t xml:space="preserve">Subsidized Housing Inventory (SHI) </w:t>
      </w:r>
      <w:r w:rsidR="0015294E">
        <w:rPr>
          <w:rFonts w:asciiTheme="minorHAnsi" w:hAnsiTheme="minorHAnsi" w:cstheme="minorHAnsi"/>
        </w:rPr>
        <w:t xml:space="preserve">maintained under MGL Chapter 40B, </w:t>
      </w:r>
      <w:r w:rsidR="0015294E" w:rsidRPr="0042546C">
        <w:rPr>
          <w:rFonts w:asciiTheme="minorHAnsi" w:hAnsiTheme="minorHAnsi" w:cstheme="minorHAnsi"/>
        </w:rPr>
        <w:t>although 238 were actually affordable to those with incomes at or below 80% of area median income</w:t>
      </w:r>
      <w:r w:rsidR="0015294E">
        <w:rPr>
          <w:rFonts w:asciiTheme="minorHAnsi" w:hAnsiTheme="minorHAnsi" w:cstheme="minorHAnsi"/>
        </w:rPr>
        <w:t xml:space="preserve"> and 656 were market-rate rental units</w:t>
      </w:r>
      <w:r w:rsidR="0015294E" w:rsidRPr="0042546C">
        <w:rPr>
          <w:rFonts w:asciiTheme="minorHAnsi" w:hAnsiTheme="minorHAnsi" w:cstheme="minorHAnsi"/>
        </w:rPr>
        <w:t xml:space="preserve">. </w:t>
      </w:r>
    </w:p>
  </w:footnote>
  <w:footnote w:id="2">
    <w:p w14:paraId="6E984B0A" w14:textId="04F09F39" w:rsidR="00757B6A" w:rsidRDefault="00757B6A" w:rsidP="00757B6A">
      <w:pPr>
        <w:pStyle w:val="BodyText"/>
        <w:spacing w:after="0"/>
        <w:jc w:val="both"/>
      </w:pPr>
      <w:r w:rsidRPr="00757B6A">
        <w:rPr>
          <w:rStyle w:val="FootnoteReference"/>
          <w:rFonts w:asciiTheme="minorHAnsi" w:hAnsiTheme="minorHAnsi" w:cstheme="minorHAnsi"/>
        </w:rPr>
        <w:footnoteRef/>
      </w:r>
      <w:r w:rsidRPr="00757B6A">
        <w:rPr>
          <w:rFonts w:asciiTheme="minorHAnsi" w:hAnsiTheme="minorHAnsi" w:cstheme="minorHAnsi"/>
        </w:rPr>
        <w:t xml:space="preserve"> </w:t>
      </w:r>
      <w:r w:rsidRPr="00757B6A">
        <w:rPr>
          <w:rFonts w:asciiTheme="minorHAnsi" w:hAnsiTheme="minorHAnsi" w:cstheme="minorHAnsi"/>
          <w:sz w:val="20"/>
          <w:szCs w:val="20"/>
        </w:rPr>
        <w:t xml:space="preserve">As the U.S. census decennial data is limited, </w:t>
      </w:r>
      <w:r>
        <w:rPr>
          <w:rFonts w:asciiTheme="minorHAnsi" w:hAnsiTheme="minorHAnsi" w:cstheme="minorHAnsi"/>
          <w:sz w:val="20"/>
          <w:szCs w:val="20"/>
        </w:rPr>
        <w:t>m</w:t>
      </w:r>
      <w:r w:rsidRPr="00757B6A">
        <w:rPr>
          <w:rFonts w:asciiTheme="minorHAnsi" w:hAnsiTheme="minorHAnsi" w:cstheme="minorHAnsi"/>
          <w:sz w:val="20"/>
          <w:szCs w:val="20"/>
        </w:rPr>
        <w:t>uch of the analysi</w:t>
      </w:r>
      <w:r>
        <w:rPr>
          <w:rFonts w:asciiTheme="minorHAnsi" w:hAnsiTheme="minorHAnsi" w:cstheme="minorHAnsi"/>
          <w:sz w:val="20"/>
          <w:szCs w:val="20"/>
        </w:rPr>
        <w:t>s</w:t>
      </w:r>
      <w:r w:rsidRPr="00757B6A">
        <w:rPr>
          <w:rFonts w:asciiTheme="minorHAnsi" w:hAnsiTheme="minorHAnsi" w:cstheme="minorHAnsi"/>
          <w:sz w:val="20"/>
          <w:szCs w:val="20"/>
        </w:rPr>
        <w:t xml:space="preserve"> of </w:t>
      </w:r>
      <w:r>
        <w:rPr>
          <w:rFonts w:asciiTheme="minorHAnsi" w:hAnsiTheme="minorHAnsi" w:cstheme="minorHAnsi"/>
          <w:sz w:val="20"/>
          <w:szCs w:val="20"/>
        </w:rPr>
        <w:t xml:space="preserve">demographic, economic and </w:t>
      </w:r>
      <w:r w:rsidRPr="00757B6A">
        <w:rPr>
          <w:rFonts w:asciiTheme="minorHAnsi" w:hAnsiTheme="minorHAnsi" w:cstheme="minorHAnsi"/>
          <w:sz w:val="20"/>
          <w:szCs w:val="20"/>
        </w:rPr>
        <w:t xml:space="preserve">housing characteristics and trends </w:t>
      </w:r>
      <w:r>
        <w:rPr>
          <w:rFonts w:asciiTheme="minorHAnsi" w:hAnsiTheme="minorHAnsi" w:cstheme="minorHAnsi"/>
          <w:sz w:val="20"/>
          <w:szCs w:val="20"/>
        </w:rPr>
        <w:t xml:space="preserve">sourced in the census as part of </w:t>
      </w:r>
      <w:r w:rsidRPr="00757B6A">
        <w:rPr>
          <w:rFonts w:asciiTheme="minorHAnsi" w:hAnsiTheme="minorHAnsi" w:cstheme="minorHAnsi"/>
          <w:sz w:val="20"/>
          <w:szCs w:val="20"/>
        </w:rPr>
        <w:t>this Housing Plan will necess</w:t>
      </w:r>
      <w:r>
        <w:rPr>
          <w:rFonts w:asciiTheme="minorHAnsi" w:hAnsiTheme="minorHAnsi" w:cstheme="minorHAnsi"/>
          <w:sz w:val="20"/>
          <w:szCs w:val="20"/>
        </w:rPr>
        <w:t>a</w:t>
      </w:r>
      <w:r w:rsidRPr="00757B6A">
        <w:rPr>
          <w:rFonts w:asciiTheme="minorHAnsi" w:hAnsiTheme="minorHAnsi" w:cstheme="minorHAnsi"/>
          <w:sz w:val="20"/>
          <w:szCs w:val="20"/>
        </w:rPr>
        <w:t xml:space="preserve">rily </w:t>
      </w:r>
      <w:r>
        <w:rPr>
          <w:rFonts w:asciiTheme="minorHAnsi" w:hAnsiTheme="minorHAnsi" w:cstheme="minorHAnsi"/>
          <w:sz w:val="20"/>
          <w:szCs w:val="20"/>
        </w:rPr>
        <w:t xml:space="preserve">be </w:t>
      </w:r>
      <w:r w:rsidRPr="00757B6A">
        <w:rPr>
          <w:rFonts w:asciiTheme="minorHAnsi" w:hAnsiTheme="minorHAnsi" w:cstheme="minorHAnsi"/>
          <w:sz w:val="20"/>
          <w:szCs w:val="20"/>
        </w:rPr>
        <w:t xml:space="preserve">based on the census estimates </w:t>
      </w:r>
      <w:r>
        <w:rPr>
          <w:rFonts w:asciiTheme="minorHAnsi" w:hAnsiTheme="minorHAnsi" w:cstheme="minorHAnsi"/>
          <w:sz w:val="20"/>
          <w:szCs w:val="20"/>
        </w:rPr>
        <w:t>in the American Community Survey (ACS)</w:t>
      </w:r>
      <w:r w:rsidRPr="00757B6A">
        <w:rPr>
          <w:rFonts w:ascii="Calibri" w:hAnsi="Calibri"/>
          <w:sz w:val="20"/>
          <w:szCs w:val="20"/>
        </w:rPr>
        <w:t>.</w:t>
      </w:r>
    </w:p>
  </w:footnote>
  <w:footnote w:id="3">
    <w:p w14:paraId="725E3C8F" w14:textId="77777777" w:rsidR="008B0E91" w:rsidRPr="00FF3640" w:rsidRDefault="008B0E91" w:rsidP="008B0E91">
      <w:pPr>
        <w:pStyle w:val="FootnoteText"/>
        <w:jc w:val="both"/>
        <w:rPr>
          <w:rFonts w:asciiTheme="minorHAnsi" w:hAnsiTheme="minorHAnsi"/>
        </w:rPr>
      </w:pPr>
      <w:r w:rsidRPr="00FF3640">
        <w:rPr>
          <w:rStyle w:val="FootnoteReference"/>
          <w:rFonts w:asciiTheme="minorHAnsi" w:hAnsiTheme="minorHAnsi"/>
        </w:rPr>
        <w:footnoteRef/>
      </w:r>
      <w:r w:rsidRPr="00FF3640">
        <w:rPr>
          <w:rFonts w:asciiTheme="minorHAnsi" w:hAnsiTheme="minorHAnsi"/>
        </w:rPr>
        <w:t xml:space="preserve"> McKibbin Demographic Associates, Enrollment Projections for FY 2019/2020 to 2033/34 to the Needham Public Schools, January 2, 2019.</w:t>
      </w:r>
    </w:p>
  </w:footnote>
  <w:footnote w:id="4">
    <w:p w14:paraId="67C81A31" w14:textId="1E0C5285" w:rsidR="00DE7559" w:rsidRDefault="00DE7559" w:rsidP="00DE7559">
      <w:pPr>
        <w:pStyle w:val="FootnoteText"/>
        <w:jc w:val="both"/>
      </w:pPr>
      <w:r>
        <w:rPr>
          <w:rStyle w:val="FootnoteReference"/>
        </w:rPr>
        <w:footnoteRef/>
      </w:r>
      <w:r>
        <w:t xml:space="preserve"> </w:t>
      </w:r>
      <w:r w:rsidRPr="004E50E7">
        <w:rPr>
          <w:rFonts w:ascii="Calibri" w:hAnsi="Calibri"/>
        </w:rPr>
        <w:t xml:space="preserve">Figures based on interest rate of </w:t>
      </w:r>
      <w:r>
        <w:rPr>
          <w:rFonts w:ascii="Calibri" w:hAnsi="Calibri"/>
        </w:rPr>
        <w:t>4.0</w:t>
      </w:r>
      <w:r w:rsidRPr="004E50E7">
        <w:rPr>
          <w:rFonts w:ascii="Calibri" w:hAnsi="Calibri"/>
        </w:rPr>
        <w:t>%, 30-year term, annual property tax rate of $</w:t>
      </w:r>
      <w:r>
        <w:rPr>
          <w:rFonts w:ascii="Calibri" w:hAnsi="Calibri"/>
        </w:rPr>
        <w:t>13.03</w:t>
      </w:r>
      <w:r w:rsidRPr="004E50E7">
        <w:rPr>
          <w:rFonts w:ascii="Calibri" w:hAnsi="Calibri"/>
        </w:rPr>
        <w:t xml:space="preserve"> per thousand, insurance costs of </w:t>
      </w:r>
      <w:r>
        <w:rPr>
          <w:rFonts w:ascii="Calibri" w:hAnsi="Calibri"/>
        </w:rPr>
        <w:t>$6 per thousand for single and two-family homes and $4 per thousand for condo</w:t>
      </w:r>
      <w:r w:rsidR="00AF0081">
        <w:rPr>
          <w:rFonts w:ascii="Calibri" w:hAnsi="Calibri"/>
        </w:rPr>
        <w:t>minium unit</w:t>
      </w:r>
      <w:r>
        <w:rPr>
          <w:rFonts w:ascii="Calibri" w:hAnsi="Calibri"/>
        </w:rPr>
        <w:t>s</w:t>
      </w:r>
      <w:r w:rsidRPr="004E50E7">
        <w:rPr>
          <w:rFonts w:ascii="Calibri" w:hAnsi="Calibri"/>
        </w:rPr>
        <w:t xml:space="preserve">, and private mortgage insurance (PMI) estimated at 0.3125% of loan amount for 95% financing, </w:t>
      </w:r>
      <w:r>
        <w:rPr>
          <w:rFonts w:ascii="Calibri" w:hAnsi="Calibri"/>
        </w:rPr>
        <w:t xml:space="preserve">and </w:t>
      </w:r>
      <w:r w:rsidRPr="004E50E7">
        <w:rPr>
          <w:rFonts w:ascii="Calibri" w:hAnsi="Calibri"/>
        </w:rPr>
        <w:t>estimated monthly condo fees of $300</w:t>
      </w:r>
      <w:r>
        <w:rPr>
          <w:rFonts w:ascii="Calibri" w:hAnsi="Calibri"/>
        </w:rPr>
        <w:t>.</w:t>
      </w:r>
      <w:r w:rsidRPr="004E50E7">
        <w:rPr>
          <w:rFonts w:ascii="Calibri" w:hAnsi="Calibri"/>
        </w:rPr>
        <w:t xml:space="preserve"> Figures do not include underwriting for PMI in calculations with a 20% down payment</w:t>
      </w:r>
      <w:r>
        <w:rPr>
          <w:rFonts w:ascii="Calibri" w:hAnsi="Calibri"/>
        </w:rPr>
        <w:t xml:space="preserve"> and for the 80% AMI level at 95% financing that would assume that the purchaser qualified for the ONE Mortgage Program, MassHousing, or other government mortgage offerings for example</w:t>
      </w:r>
      <w:r w:rsidRPr="004E50E7">
        <w:rPr>
          <w:rFonts w:ascii="Calibri" w:hAnsi="Calibri"/>
        </w:rPr>
        <w:t>.</w:t>
      </w:r>
      <w:r>
        <w:rPr>
          <w:rFonts w:ascii="Calibri" w:hAnsi="Calibri"/>
        </w:rPr>
        <w:t xml:space="preserve">  Assumptions also include the purchaser spending no more than 30% of income on housing costs.</w:t>
      </w:r>
    </w:p>
  </w:footnote>
  <w:footnote w:id="5">
    <w:p w14:paraId="3B1EF079" w14:textId="77777777" w:rsidR="00AD4C32" w:rsidRPr="008C6A04" w:rsidRDefault="00AD4C32" w:rsidP="00AD4C32">
      <w:pPr>
        <w:pStyle w:val="FootnoteText"/>
        <w:ind w:right="-720"/>
        <w:rPr>
          <w:rFonts w:ascii="Calibri" w:hAnsi="Calibri" w:cs="Calibri"/>
        </w:rPr>
      </w:pPr>
      <w:r w:rsidRPr="008C6A04">
        <w:rPr>
          <w:rStyle w:val="FootnoteReference"/>
          <w:rFonts w:ascii="Calibri" w:hAnsi="Calibri" w:cs="Calibri"/>
        </w:rPr>
        <w:footnoteRef/>
      </w:r>
      <w:r w:rsidRPr="008C6A04">
        <w:rPr>
          <w:rFonts w:ascii="Calibri" w:hAnsi="Calibri" w:cs="Calibri"/>
        </w:rPr>
        <w:t xml:space="preserve"> HUD uses Median Family Income (MFI) in this report which is the equivalent of Area Median Income (AMI).</w:t>
      </w:r>
    </w:p>
  </w:footnote>
  <w:footnote w:id="6">
    <w:p w14:paraId="697372C3" w14:textId="2EAFC8C5" w:rsidR="00050FB6" w:rsidRPr="00B11277" w:rsidRDefault="00050FB6" w:rsidP="007A6CF8">
      <w:pPr>
        <w:pStyle w:val="FootnoteText"/>
        <w:jc w:val="both"/>
        <w:rPr>
          <w:rFonts w:asciiTheme="minorHAnsi" w:hAnsiTheme="minorHAnsi" w:cstheme="minorHAnsi"/>
        </w:rPr>
      </w:pPr>
      <w:r w:rsidRPr="00B11277">
        <w:rPr>
          <w:rStyle w:val="FootnoteReference"/>
        </w:rPr>
        <w:footnoteRef/>
      </w:r>
      <w:r w:rsidRPr="00B11277">
        <w:t xml:space="preserve"> </w:t>
      </w:r>
      <w:r w:rsidRPr="00B11277">
        <w:rPr>
          <w:rFonts w:asciiTheme="minorHAnsi" w:hAnsiTheme="minorHAnsi" w:cstheme="minorHAnsi"/>
        </w:rPr>
        <w:t xml:space="preserve">State asset limits are $75,000 plus a maximum of $200,000 in net equity from a former home for those purchasing a unit in age-restricted housing, a maximum of $75,000 for all other households. </w:t>
      </w:r>
    </w:p>
  </w:footnote>
  <w:footnote w:id="7">
    <w:p w14:paraId="61655210" w14:textId="77777777" w:rsidR="00AA41EC" w:rsidRPr="00514DF3" w:rsidRDefault="00AA41EC" w:rsidP="00AA41EC">
      <w:pPr>
        <w:pStyle w:val="FootnoteText"/>
        <w:jc w:val="both"/>
        <w:rPr>
          <w:rFonts w:ascii="Calibri" w:hAnsi="Calibri"/>
        </w:rPr>
      </w:pPr>
      <w:r w:rsidRPr="00514DF3">
        <w:rPr>
          <w:rStyle w:val="FootnoteReference"/>
        </w:rPr>
        <w:footnoteRef/>
      </w:r>
      <w:r w:rsidRPr="00514DF3">
        <w:rPr>
          <w:rFonts w:ascii="Calibri" w:hAnsi="Calibri"/>
        </w:rPr>
        <w:t xml:space="preserve"> The U.S. Census defines disability as a long-term physical, mental, or emotional condition that can make it difficult to do basic activities such as walking, climbing stairs, dressing, bathing, learning, or remembering.  Many residents with one or more disabilities face housing challenges due to a lack of housing that is affordable and physically accessible.  </w:t>
      </w:r>
    </w:p>
  </w:footnote>
  <w:footnote w:id="8">
    <w:p w14:paraId="4BE2BD4A" w14:textId="5AF1E3E6" w:rsidR="006F38A9" w:rsidRPr="006F38A9" w:rsidRDefault="006F38A9">
      <w:pPr>
        <w:pStyle w:val="FootnoteText"/>
        <w:rPr>
          <w:rFonts w:asciiTheme="minorHAnsi" w:hAnsiTheme="minorHAnsi" w:cstheme="minorHAnsi"/>
        </w:rPr>
      </w:pPr>
      <w:r w:rsidRPr="006F38A9">
        <w:rPr>
          <w:rStyle w:val="FootnoteReference"/>
          <w:rFonts w:asciiTheme="minorHAnsi" w:hAnsiTheme="minorHAnsi" w:cstheme="minorHAnsi"/>
        </w:rPr>
        <w:footnoteRef/>
      </w:r>
      <w:r w:rsidRPr="006F38A9">
        <w:rPr>
          <w:rFonts w:asciiTheme="minorHAnsi" w:hAnsiTheme="minorHAnsi" w:cstheme="minorHAnsi"/>
        </w:rPr>
        <w:t xml:space="preserve"> Such plans are required by HUD for receipt of HOME Program funding and updated every five years.</w:t>
      </w:r>
    </w:p>
  </w:footnote>
  <w:footnote w:id="9">
    <w:p w14:paraId="0F3E6ACA" w14:textId="73B89C41" w:rsidR="00BC4528" w:rsidRPr="00BC4528" w:rsidRDefault="00BC4528">
      <w:pPr>
        <w:pStyle w:val="FootnoteText"/>
        <w:rPr>
          <w:rFonts w:asciiTheme="minorHAnsi" w:hAnsiTheme="minorHAnsi" w:cstheme="minorHAnsi"/>
        </w:rPr>
      </w:pPr>
      <w:r w:rsidRPr="00BC4528">
        <w:rPr>
          <w:rStyle w:val="FootnoteReference"/>
          <w:rFonts w:asciiTheme="minorHAnsi" w:hAnsiTheme="minorHAnsi" w:cstheme="minorHAnsi"/>
        </w:rPr>
        <w:footnoteRef/>
      </w:r>
      <w:r w:rsidRPr="00BC4528">
        <w:rPr>
          <w:rFonts w:asciiTheme="minorHAnsi" w:hAnsiTheme="minorHAnsi" w:cstheme="minorHAnsi"/>
        </w:rPr>
        <w:t xml:space="preserve"> A more detailed report of zoning and housing production accomplishments is included as Appendix 1.</w:t>
      </w:r>
    </w:p>
  </w:footnote>
  <w:footnote w:id="10">
    <w:p w14:paraId="281A679B" w14:textId="2322A6EA" w:rsidR="002224D1" w:rsidRPr="00416BDE" w:rsidRDefault="002224D1" w:rsidP="002224D1">
      <w:pPr>
        <w:pStyle w:val="FootnoteText"/>
        <w:rPr>
          <w:rFonts w:ascii="Calibri" w:hAnsi="Calibri"/>
        </w:rPr>
      </w:pPr>
      <w:r w:rsidRPr="00416BDE">
        <w:rPr>
          <w:rStyle w:val="FootnoteReference"/>
          <w:rFonts w:ascii="Calibri" w:eastAsiaTheme="majorEastAsia" w:hAnsi="Calibri"/>
        </w:rPr>
        <w:footnoteRef/>
      </w:r>
      <w:r w:rsidRPr="00416BDE">
        <w:rPr>
          <w:rFonts w:ascii="Calibri" w:hAnsi="Calibri"/>
        </w:rPr>
        <w:t xml:space="preserve"> Definitions of other terms are included in a Glossary of Terms in Appendix </w:t>
      </w:r>
      <w:r w:rsidR="004E611A">
        <w:rPr>
          <w:rFonts w:ascii="Calibri" w:hAnsi="Calibri"/>
        </w:rPr>
        <w:t>2</w:t>
      </w:r>
      <w:r w:rsidRPr="00416BDE">
        <w:rPr>
          <w:rFonts w:ascii="Calibri" w:hAnsi="Calibri"/>
        </w:rPr>
        <w:t>.</w:t>
      </w:r>
    </w:p>
  </w:footnote>
  <w:footnote w:id="11">
    <w:p w14:paraId="2E34783A" w14:textId="77777777" w:rsidR="00325262" w:rsidRPr="00610DAC" w:rsidRDefault="00325262" w:rsidP="008772FC">
      <w:pPr>
        <w:pStyle w:val="FootnoteText"/>
        <w:rPr>
          <w:rFonts w:asciiTheme="minorHAnsi" w:hAnsiTheme="minorHAnsi"/>
        </w:rPr>
      </w:pPr>
      <w:r w:rsidRPr="00610DAC">
        <w:rPr>
          <w:rStyle w:val="FootnoteReference"/>
          <w:rFonts w:asciiTheme="minorHAnsi" w:hAnsiTheme="minorHAnsi"/>
        </w:rPr>
        <w:footnoteRef/>
      </w:r>
      <w:r w:rsidRPr="00610DAC">
        <w:rPr>
          <w:rFonts w:asciiTheme="minorHAnsi" w:hAnsiTheme="minorHAnsi"/>
        </w:rPr>
        <w:t xml:space="preserve"> There is some overlap of </w:t>
      </w:r>
      <w:r>
        <w:rPr>
          <w:rFonts w:asciiTheme="minorHAnsi" w:hAnsiTheme="minorHAnsi"/>
        </w:rPr>
        <w:t>race identification between these minority groups.</w:t>
      </w:r>
    </w:p>
  </w:footnote>
  <w:footnote w:id="12">
    <w:p w14:paraId="710414EE" w14:textId="65F9215B" w:rsidR="004A6AA9" w:rsidRDefault="004A6AA9" w:rsidP="009D597E">
      <w:pPr>
        <w:pStyle w:val="BodyTextIndent"/>
        <w:tabs>
          <w:tab w:val="left" w:pos="0"/>
        </w:tabs>
        <w:spacing w:after="0"/>
        <w:ind w:left="0"/>
        <w:jc w:val="both"/>
      </w:pPr>
      <w:r w:rsidRPr="004A6AA9">
        <w:rPr>
          <w:rStyle w:val="FootnoteReference"/>
          <w:sz w:val="20"/>
          <w:szCs w:val="20"/>
        </w:rPr>
        <w:footnoteRef/>
      </w:r>
      <w:r w:rsidRPr="004A6AA9">
        <w:rPr>
          <w:sz w:val="20"/>
          <w:szCs w:val="20"/>
        </w:rPr>
        <w:t xml:space="preserve"> </w:t>
      </w:r>
      <w:r w:rsidRPr="004A6AA9">
        <w:rPr>
          <w:rFonts w:ascii="Calibri" w:hAnsi="Calibri"/>
          <w:sz w:val="20"/>
          <w:szCs w:val="20"/>
        </w:rPr>
        <w:t>Decennial census data is limited and consequently much of the analysis is this Housing Plan must necessarily rely on census estimates from the American Community Survey 5-Year Estimates</w:t>
      </w:r>
      <w:r w:rsidR="009D597E">
        <w:rPr>
          <w:rFonts w:ascii="Calibri" w:hAnsi="Calibri"/>
          <w:sz w:val="20"/>
          <w:szCs w:val="20"/>
        </w:rPr>
        <w:t xml:space="preserve"> which involves sample data</w:t>
      </w:r>
      <w:r w:rsidRPr="004A6AA9">
        <w:rPr>
          <w:rFonts w:ascii="Calibri" w:hAnsi="Calibri"/>
          <w:sz w:val="20"/>
          <w:szCs w:val="20"/>
        </w:rPr>
        <w:t>.</w:t>
      </w:r>
    </w:p>
  </w:footnote>
  <w:footnote w:id="13">
    <w:p w14:paraId="676A8732" w14:textId="4724AA99" w:rsidR="007313FD" w:rsidRPr="007313FD" w:rsidRDefault="007313FD" w:rsidP="007313FD">
      <w:pPr>
        <w:pStyle w:val="FootnoteText"/>
        <w:jc w:val="both"/>
        <w:rPr>
          <w:rFonts w:asciiTheme="minorHAnsi" w:hAnsiTheme="minorHAnsi" w:cstheme="minorHAnsi"/>
        </w:rPr>
      </w:pPr>
      <w:r w:rsidRPr="007313FD">
        <w:rPr>
          <w:rStyle w:val="FootnoteReference"/>
          <w:rFonts w:asciiTheme="minorHAnsi" w:hAnsiTheme="minorHAnsi" w:cstheme="minorHAnsi"/>
        </w:rPr>
        <w:footnoteRef/>
      </w:r>
      <w:r w:rsidRPr="007313FD">
        <w:rPr>
          <w:rFonts w:asciiTheme="minorHAnsi" w:hAnsiTheme="minorHAnsi" w:cstheme="minorHAnsi"/>
        </w:rPr>
        <w:t xml:space="preserve"> The federal census counts </w:t>
      </w:r>
      <w:r>
        <w:rPr>
          <w:rFonts w:asciiTheme="minorHAnsi" w:hAnsiTheme="minorHAnsi" w:cstheme="minorHAnsi"/>
        </w:rPr>
        <w:t>students attending colleges and universities, or other boarding institutions,</w:t>
      </w:r>
      <w:r w:rsidRPr="007313FD">
        <w:rPr>
          <w:rFonts w:asciiTheme="minorHAnsi" w:hAnsiTheme="minorHAnsi" w:cstheme="minorHAnsi"/>
        </w:rPr>
        <w:t xml:space="preserve"> as residing in their school</w:t>
      </w:r>
      <w:r w:rsidR="00731CFE">
        <w:rPr>
          <w:rFonts w:asciiTheme="minorHAnsi" w:hAnsiTheme="minorHAnsi" w:cstheme="minorHAnsi"/>
        </w:rPr>
        <w:t xml:space="preserve"> community</w:t>
      </w:r>
      <w:r w:rsidRPr="007313FD">
        <w:rPr>
          <w:rFonts w:asciiTheme="minorHAnsi" w:hAnsiTheme="minorHAnsi" w:cstheme="minorHAnsi"/>
        </w:rPr>
        <w:t>.  Those living in dormitories are reported separately as living in group quarters.</w:t>
      </w:r>
    </w:p>
  </w:footnote>
  <w:footnote w:id="14">
    <w:p w14:paraId="718142A6" w14:textId="77777777" w:rsidR="00BA2057" w:rsidRDefault="00BA2057" w:rsidP="00BA2057">
      <w:pPr>
        <w:pStyle w:val="Heading3"/>
        <w:spacing w:before="0"/>
        <w:jc w:val="both"/>
        <w:rPr>
          <w:rFonts w:asciiTheme="minorHAnsi" w:hAnsiTheme="minorHAnsi" w:cs="Lucida Sans Unicode"/>
          <w:b w:val="0"/>
          <w:color w:val="auto"/>
          <w:sz w:val="20"/>
          <w:szCs w:val="20"/>
        </w:rPr>
      </w:pPr>
      <w:r>
        <w:rPr>
          <w:rStyle w:val="FootnoteReference"/>
        </w:rPr>
        <w:footnoteRef/>
      </w:r>
      <w:r>
        <w:t xml:space="preserve"> </w:t>
      </w:r>
      <w:bookmarkStart w:id="4" w:name="_Toc2252328"/>
      <w:r w:rsidRPr="0026017E">
        <w:rPr>
          <w:rFonts w:cs="Lucida Sans Unicode"/>
          <w:b w:val="0"/>
          <w:sz w:val="20"/>
          <w:szCs w:val="20"/>
        </w:rPr>
        <w:t>S</w:t>
      </w:r>
      <w:r w:rsidRPr="00445E74">
        <w:rPr>
          <w:rFonts w:asciiTheme="minorHAnsi" w:hAnsiTheme="minorHAnsi" w:cs="Lucida Sans Unicode"/>
          <w:b w:val="0"/>
          <w:color w:val="auto"/>
          <w:sz w:val="20"/>
          <w:szCs w:val="20"/>
        </w:rPr>
        <w:t>ource:  Metropolitan Area Planning Council, Metro Boston 2030 Population and Housing Demand Projections.  TRIC (Three Rivers Interlocal Council) is the MAPC subregion that includes Needham as well as Canton, Dedham, Dover, Foxborough, Medfield, Milton, Norwood, Randolph, Sharon, Stoughton, Walpole and Westwood.</w:t>
      </w:r>
      <w:bookmarkEnd w:id="4"/>
    </w:p>
    <w:p w14:paraId="3CAFC2A0" w14:textId="06E6D1F8" w:rsidR="00BA2057" w:rsidRDefault="00BA2057">
      <w:pPr>
        <w:pStyle w:val="FootnoteText"/>
      </w:pPr>
    </w:p>
  </w:footnote>
  <w:footnote w:id="15">
    <w:p w14:paraId="266B94A6" w14:textId="5353E037" w:rsidR="009B525B" w:rsidRPr="00420362" w:rsidRDefault="009B525B" w:rsidP="001B322C">
      <w:pPr>
        <w:pStyle w:val="FootnoteText"/>
        <w:rPr>
          <w:rFonts w:asciiTheme="minorHAnsi" w:hAnsiTheme="minorHAnsi" w:cstheme="minorHAnsi"/>
        </w:rPr>
      </w:pPr>
      <w:r w:rsidRPr="00420362">
        <w:rPr>
          <w:rStyle w:val="FootnoteReference"/>
          <w:rFonts w:asciiTheme="minorHAnsi" w:hAnsiTheme="minorHAnsi" w:cstheme="minorHAnsi"/>
        </w:rPr>
        <w:footnoteRef/>
      </w:r>
      <w:r w:rsidRPr="00420362">
        <w:rPr>
          <w:rFonts w:asciiTheme="minorHAnsi" w:hAnsiTheme="minorHAnsi" w:cstheme="minorHAnsi"/>
        </w:rPr>
        <w:t xml:space="preserve"> McKibben Demographics, Needham Public Schools, MA Demographic Study, </w:t>
      </w:r>
      <w:r w:rsidR="00420362" w:rsidRPr="00420362">
        <w:rPr>
          <w:rFonts w:asciiTheme="minorHAnsi" w:hAnsiTheme="minorHAnsi" w:cstheme="minorHAnsi"/>
        </w:rPr>
        <w:t>January 2, 2019.  These figures reflect the forecaster’s “Best Scenario” with all currently platted and approved housing developments built ou</w:t>
      </w:r>
      <w:r w:rsidR="00420362">
        <w:rPr>
          <w:rFonts w:asciiTheme="minorHAnsi" w:hAnsiTheme="minorHAnsi" w:cstheme="minorHAnsi"/>
        </w:rPr>
        <w:t>t</w:t>
      </w:r>
      <w:r w:rsidR="00420362" w:rsidRPr="00420362">
        <w:rPr>
          <w:rFonts w:asciiTheme="minorHAnsi" w:hAnsiTheme="minorHAnsi" w:cstheme="minorHAnsi"/>
        </w:rPr>
        <w:t xml:space="preserve"> and completed by 2032</w:t>
      </w:r>
      <w:r w:rsidR="00420362" w:rsidRPr="00420362">
        <w:rPr>
          <w:rStyle w:val="fontstyle01"/>
          <w:rFonts w:eastAsiaTheme="majorEastAsia"/>
          <w:sz w:val="20"/>
          <w:szCs w:val="20"/>
        </w:rPr>
        <w:t xml:space="preserve"> and occupied by 2033.</w:t>
      </w:r>
      <w:r w:rsidR="00420362" w:rsidRPr="00420362">
        <w:rPr>
          <w:rFonts w:ascii="BookAntiqua" w:hAnsi="BookAntiqua"/>
          <w:color w:val="000000"/>
        </w:rPr>
        <w:br/>
      </w:r>
    </w:p>
  </w:footnote>
  <w:footnote w:id="16">
    <w:p w14:paraId="2DF508C3" w14:textId="77777777" w:rsidR="00325262" w:rsidRPr="006201EA" w:rsidRDefault="00325262" w:rsidP="00F037F1">
      <w:pPr>
        <w:pStyle w:val="FootnoteText"/>
        <w:jc w:val="both"/>
        <w:rPr>
          <w:rFonts w:asciiTheme="minorHAnsi" w:hAnsiTheme="minorHAnsi"/>
        </w:rPr>
      </w:pPr>
      <w:r>
        <w:rPr>
          <w:rStyle w:val="FootnoteReference"/>
        </w:rPr>
        <w:footnoteRef/>
      </w:r>
      <w:r>
        <w:t xml:space="preserve"> </w:t>
      </w:r>
      <w:r>
        <w:rPr>
          <w:rFonts w:asciiTheme="minorHAnsi" w:hAnsiTheme="minorHAnsi"/>
        </w:rPr>
        <w:t xml:space="preserve">The U.S. Census Bureau’s definition of “family” includes married couples, with or without children, or single heads of households with children. </w:t>
      </w:r>
    </w:p>
  </w:footnote>
  <w:footnote w:id="17">
    <w:p w14:paraId="2C5DE374" w14:textId="5D020C4E" w:rsidR="00325262" w:rsidRPr="007359F4" w:rsidRDefault="00325262" w:rsidP="007359F4">
      <w:pPr>
        <w:pStyle w:val="FootnoteText"/>
        <w:ind w:right="-720"/>
        <w:rPr>
          <w:rFonts w:ascii="Calibri" w:hAnsi="Calibri" w:cs="Calibri"/>
        </w:rPr>
      </w:pPr>
      <w:r>
        <w:rPr>
          <w:rStyle w:val="FootnoteReference"/>
          <w:sz w:val="18"/>
        </w:rPr>
        <w:footnoteRef/>
      </w:r>
      <w:r>
        <w:rPr>
          <w:rFonts w:ascii="Calibri" w:hAnsi="Calibri"/>
          <w:sz w:val="18"/>
        </w:rPr>
        <w:t xml:space="preserve"> </w:t>
      </w:r>
      <w:r w:rsidR="007359F4" w:rsidRPr="00C456CC">
        <w:rPr>
          <w:rFonts w:ascii="Calibri" w:hAnsi="Calibri" w:cs="Calibri"/>
        </w:rPr>
        <w:t>The federal poverty l</w:t>
      </w:r>
      <w:r w:rsidR="007359F4">
        <w:rPr>
          <w:rFonts w:ascii="Calibri" w:hAnsi="Calibri" w:cs="Calibri"/>
        </w:rPr>
        <w:t>imits</w:t>
      </w:r>
      <w:r w:rsidR="007359F4" w:rsidRPr="00C456CC">
        <w:rPr>
          <w:rFonts w:ascii="Calibri" w:hAnsi="Calibri" w:cs="Calibri"/>
        </w:rPr>
        <w:t xml:space="preserve"> for 2021 were $12,880 for a single individual and $21,960 for a family of three (3).</w:t>
      </w:r>
    </w:p>
  </w:footnote>
  <w:footnote w:id="18">
    <w:p w14:paraId="723E9B62" w14:textId="77777777" w:rsidR="00325262" w:rsidRPr="00FF3640" w:rsidRDefault="00325262" w:rsidP="007E0B91">
      <w:pPr>
        <w:pStyle w:val="FootnoteText"/>
        <w:jc w:val="both"/>
        <w:rPr>
          <w:rFonts w:asciiTheme="minorHAnsi" w:hAnsiTheme="minorHAnsi"/>
        </w:rPr>
      </w:pPr>
      <w:r w:rsidRPr="00FF3640">
        <w:rPr>
          <w:rStyle w:val="FootnoteReference"/>
          <w:rFonts w:asciiTheme="minorHAnsi" w:hAnsiTheme="minorHAnsi"/>
        </w:rPr>
        <w:footnoteRef/>
      </w:r>
      <w:r w:rsidRPr="00FF3640">
        <w:rPr>
          <w:rFonts w:asciiTheme="minorHAnsi" w:hAnsiTheme="minorHAnsi"/>
        </w:rPr>
        <w:t xml:space="preserve"> McKibbin Demographic Associates, Enrollment Projections for FY 2019/2020 to 2033/34 to the Needham Public Schools, January 2, 2019.</w:t>
      </w:r>
    </w:p>
  </w:footnote>
  <w:footnote w:id="19">
    <w:p w14:paraId="66DBF224" w14:textId="77777777" w:rsidR="00325262" w:rsidRPr="00514DF3" w:rsidRDefault="00325262" w:rsidP="00796936">
      <w:pPr>
        <w:pStyle w:val="FootnoteText"/>
        <w:jc w:val="both"/>
        <w:rPr>
          <w:rFonts w:ascii="Calibri" w:hAnsi="Calibri"/>
        </w:rPr>
      </w:pPr>
      <w:r w:rsidRPr="00514DF3">
        <w:rPr>
          <w:rStyle w:val="FootnoteReference"/>
        </w:rPr>
        <w:footnoteRef/>
      </w:r>
      <w:r w:rsidRPr="00514DF3">
        <w:rPr>
          <w:rFonts w:ascii="Calibri" w:hAnsi="Calibri"/>
        </w:rPr>
        <w:t xml:space="preserve"> The U.S. Census defines disability as a long-term physical, mental, or emotional condition that can make it difficult to do basic activities such as walking, climbing stairs, dressing, bathing, learning, or remembering.  Many residents with one or more disabilities face housing challenges due to a lack of housing that is affordable and physically accessible.  </w:t>
      </w:r>
    </w:p>
  </w:footnote>
  <w:footnote w:id="20">
    <w:p w14:paraId="1EE52C84" w14:textId="176048CB" w:rsidR="00325262" w:rsidRPr="000223FC" w:rsidRDefault="00325262" w:rsidP="00456374">
      <w:pPr>
        <w:pStyle w:val="FootnoteText"/>
        <w:jc w:val="both"/>
        <w:rPr>
          <w:rFonts w:asciiTheme="minorHAnsi" w:hAnsiTheme="minorHAnsi"/>
        </w:rPr>
      </w:pPr>
      <w:r w:rsidRPr="000223FC">
        <w:rPr>
          <w:rStyle w:val="FootnoteReference"/>
          <w:rFonts w:asciiTheme="minorHAnsi" w:hAnsiTheme="minorHAnsi"/>
        </w:rPr>
        <w:footnoteRef/>
      </w:r>
      <w:r w:rsidRPr="000223FC">
        <w:rPr>
          <w:rFonts w:asciiTheme="minorHAnsi" w:hAnsiTheme="minorHAnsi"/>
        </w:rPr>
        <w:t xml:space="preserve"> The year-round</w:t>
      </w:r>
      <w:r w:rsidR="00DF2330">
        <w:rPr>
          <w:rFonts w:asciiTheme="minorHAnsi" w:hAnsiTheme="minorHAnsi"/>
        </w:rPr>
        <w:t xml:space="preserve"> housing</w:t>
      </w:r>
      <w:r w:rsidRPr="000223FC">
        <w:rPr>
          <w:rFonts w:asciiTheme="minorHAnsi" w:hAnsiTheme="minorHAnsi"/>
        </w:rPr>
        <w:t xml:space="preserve"> figure is the one used under Chapter 40B for determining the 10% affordability goal</w:t>
      </w:r>
      <w:r w:rsidR="00D0367A">
        <w:rPr>
          <w:rFonts w:asciiTheme="minorHAnsi" w:hAnsiTheme="minorHAnsi"/>
        </w:rPr>
        <w:t>, calculated by</w:t>
      </w:r>
      <w:r w:rsidRPr="000223FC">
        <w:rPr>
          <w:rFonts w:asciiTheme="minorHAnsi" w:hAnsiTheme="minorHAnsi"/>
        </w:rPr>
        <w:t xml:space="preserve"> subtracting seasonal units (</w:t>
      </w:r>
      <w:r w:rsidR="00EF2AE0">
        <w:rPr>
          <w:rFonts w:asciiTheme="minorHAnsi" w:hAnsiTheme="minorHAnsi"/>
        </w:rPr>
        <w:t>zero based on 2020 census estimates</w:t>
      </w:r>
      <w:r w:rsidRPr="000223FC">
        <w:rPr>
          <w:rFonts w:asciiTheme="minorHAnsi" w:hAnsiTheme="minorHAnsi"/>
        </w:rPr>
        <w:t>) from total units (</w:t>
      </w:r>
      <w:r w:rsidR="00EF2AE0">
        <w:rPr>
          <w:rFonts w:asciiTheme="minorHAnsi" w:hAnsiTheme="minorHAnsi"/>
        </w:rPr>
        <w:t>11,891</w:t>
      </w:r>
      <w:r w:rsidRPr="000223FC">
        <w:rPr>
          <w:rFonts w:asciiTheme="minorHAnsi" w:hAnsiTheme="minorHAnsi"/>
        </w:rPr>
        <w:t>)</w:t>
      </w:r>
      <w:r w:rsidR="000A489E">
        <w:rPr>
          <w:rFonts w:asciiTheme="minorHAnsi" w:hAnsiTheme="minorHAnsi"/>
        </w:rPr>
        <w:t xml:space="preserve">.  </w:t>
      </w:r>
    </w:p>
  </w:footnote>
  <w:footnote w:id="21">
    <w:p w14:paraId="1A7CF144" w14:textId="3BCA2297" w:rsidR="00F2124C" w:rsidRPr="00C92CE8" w:rsidRDefault="00F2124C" w:rsidP="00C92CE8">
      <w:pPr>
        <w:pStyle w:val="FootnoteText"/>
        <w:jc w:val="both"/>
        <w:rPr>
          <w:rFonts w:asciiTheme="minorHAnsi" w:hAnsiTheme="minorHAnsi" w:cstheme="minorHAnsi"/>
        </w:rPr>
      </w:pPr>
      <w:r w:rsidRPr="00C92CE8">
        <w:rPr>
          <w:rStyle w:val="FootnoteReference"/>
          <w:rFonts w:asciiTheme="minorHAnsi" w:hAnsiTheme="minorHAnsi" w:cstheme="minorHAnsi"/>
        </w:rPr>
        <w:footnoteRef/>
      </w:r>
      <w:r w:rsidRPr="00C92CE8">
        <w:rPr>
          <w:rFonts w:asciiTheme="minorHAnsi" w:hAnsiTheme="minorHAnsi" w:cstheme="minorHAnsi"/>
        </w:rPr>
        <w:t xml:space="preserve"> Vacant units include those offered for rent or sale, </w:t>
      </w:r>
      <w:r w:rsidR="00C92CE8">
        <w:rPr>
          <w:rFonts w:asciiTheme="minorHAnsi" w:hAnsiTheme="minorHAnsi" w:cstheme="minorHAnsi"/>
        </w:rPr>
        <w:t xml:space="preserve">units that are rented or sold but unoccupied, </w:t>
      </w:r>
      <w:r w:rsidRPr="00C92CE8">
        <w:rPr>
          <w:rFonts w:asciiTheme="minorHAnsi" w:hAnsiTheme="minorHAnsi" w:cstheme="minorHAnsi"/>
        </w:rPr>
        <w:t>seasonal or occasional units, and a</w:t>
      </w:r>
      <w:r w:rsidR="00C92CE8">
        <w:rPr>
          <w:rFonts w:asciiTheme="minorHAnsi" w:hAnsiTheme="minorHAnsi" w:cstheme="minorHAnsi"/>
        </w:rPr>
        <w:t>n “other” category.</w:t>
      </w:r>
      <w:r w:rsidRPr="00C92CE8">
        <w:rPr>
          <w:rFonts w:asciiTheme="minorHAnsi" w:hAnsiTheme="minorHAnsi" w:cstheme="minorHAnsi"/>
        </w:rPr>
        <w:t xml:space="preserve"> </w:t>
      </w:r>
    </w:p>
  </w:footnote>
  <w:footnote w:id="22">
    <w:p w14:paraId="4138BEE6" w14:textId="5F915688" w:rsidR="004E1F11" w:rsidRPr="004E1F11" w:rsidRDefault="004E1F11" w:rsidP="004E1F11">
      <w:pPr>
        <w:pStyle w:val="FootnoteText"/>
        <w:jc w:val="both"/>
        <w:rPr>
          <w:rFonts w:asciiTheme="minorHAnsi" w:hAnsiTheme="minorHAnsi" w:cstheme="minorHAnsi"/>
        </w:rPr>
      </w:pPr>
      <w:r w:rsidRPr="004E1F11">
        <w:rPr>
          <w:rStyle w:val="FootnoteReference"/>
          <w:rFonts w:asciiTheme="minorHAnsi" w:hAnsiTheme="minorHAnsi" w:cstheme="minorHAnsi"/>
        </w:rPr>
        <w:footnoteRef/>
      </w:r>
      <w:r w:rsidRPr="004E1F11">
        <w:rPr>
          <w:rFonts w:asciiTheme="minorHAnsi" w:hAnsiTheme="minorHAnsi" w:cstheme="minorHAnsi"/>
        </w:rPr>
        <w:t xml:space="preserve"> Dougherty, Conor and Smialek, Jeanna, “Hot Market for Housing Beginning to Cool Off”</w:t>
      </w:r>
      <w:r w:rsidR="00203DB1">
        <w:rPr>
          <w:rFonts w:asciiTheme="minorHAnsi" w:hAnsiTheme="minorHAnsi" w:cstheme="minorHAnsi"/>
        </w:rPr>
        <w:t xml:space="preserve">, </w:t>
      </w:r>
      <w:r w:rsidR="00203DB1" w:rsidRPr="004E1F11">
        <w:rPr>
          <w:rFonts w:asciiTheme="minorHAnsi" w:hAnsiTheme="minorHAnsi" w:cstheme="minorHAnsi"/>
          <w:i/>
          <w:iCs/>
        </w:rPr>
        <w:t>New York Times</w:t>
      </w:r>
      <w:r w:rsidR="00203DB1" w:rsidRPr="004E1F11">
        <w:rPr>
          <w:rFonts w:asciiTheme="minorHAnsi" w:hAnsiTheme="minorHAnsi" w:cstheme="minorHAnsi"/>
        </w:rPr>
        <w:t xml:space="preserve"> </w:t>
      </w:r>
      <w:r w:rsidRPr="004E1F11">
        <w:rPr>
          <w:rFonts w:asciiTheme="minorHAnsi" w:hAnsiTheme="minorHAnsi" w:cstheme="minorHAnsi"/>
        </w:rPr>
        <w:t>April 16, 2022.</w:t>
      </w:r>
    </w:p>
  </w:footnote>
  <w:footnote w:id="23">
    <w:p w14:paraId="58E98AD6" w14:textId="771E9DBF" w:rsidR="00325262" w:rsidRPr="00EB0578" w:rsidRDefault="00325262" w:rsidP="00EB0578">
      <w:pPr>
        <w:pStyle w:val="FootnoteText"/>
        <w:jc w:val="both"/>
        <w:rPr>
          <w:rFonts w:asciiTheme="minorHAnsi" w:hAnsiTheme="minorHAnsi"/>
        </w:rPr>
      </w:pPr>
      <w:r w:rsidRPr="00EB0578">
        <w:rPr>
          <w:rStyle w:val="FootnoteReference"/>
          <w:rFonts w:asciiTheme="minorHAnsi" w:hAnsiTheme="minorHAnsi"/>
        </w:rPr>
        <w:footnoteRef/>
      </w:r>
      <w:r w:rsidRPr="00EB0578">
        <w:rPr>
          <w:rFonts w:asciiTheme="minorHAnsi" w:hAnsiTheme="minorHAnsi"/>
        </w:rPr>
        <w:t xml:space="preserve"> It should be </w:t>
      </w:r>
      <w:r>
        <w:rPr>
          <w:rFonts w:asciiTheme="minorHAnsi" w:hAnsiTheme="minorHAnsi"/>
        </w:rPr>
        <w:t>noted that assessed values typically underestimate market levels, particularly in rising housing markets</w:t>
      </w:r>
      <w:r w:rsidR="007C2BAE">
        <w:rPr>
          <w:rFonts w:asciiTheme="minorHAnsi" w:hAnsiTheme="minorHAnsi"/>
        </w:rPr>
        <w:t>, as they are largely based on sales prices two years before</w:t>
      </w:r>
      <w:r>
        <w:rPr>
          <w:rFonts w:asciiTheme="minorHAnsi" w:hAnsiTheme="minorHAnsi"/>
        </w:rPr>
        <w:t>.</w:t>
      </w:r>
    </w:p>
  </w:footnote>
  <w:footnote w:id="24">
    <w:p w14:paraId="2FFBF2F9" w14:textId="77777777" w:rsidR="00A4121C" w:rsidRPr="000B2FFD" w:rsidRDefault="00A4121C" w:rsidP="00A4121C">
      <w:pPr>
        <w:pStyle w:val="FootnoteText"/>
        <w:rPr>
          <w:rFonts w:asciiTheme="minorHAnsi" w:hAnsiTheme="minorHAnsi"/>
        </w:rPr>
      </w:pPr>
      <w:r w:rsidRPr="000B2FFD">
        <w:rPr>
          <w:rStyle w:val="FootnoteReference"/>
          <w:rFonts w:asciiTheme="minorHAnsi" w:hAnsiTheme="minorHAnsi"/>
        </w:rPr>
        <w:footnoteRef/>
      </w:r>
      <w:r w:rsidRPr="000B2FFD">
        <w:rPr>
          <w:rFonts w:asciiTheme="minorHAnsi" w:hAnsiTheme="minorHAnsi"/>
        </w:rPr>
        <w:t xml:space="preserve"> </w:t>
      </w:r>
      <w:r>
        <w:rPr>
          <w:rFonts w:asciiTheme="minorHAnsi" w:hAnsiTheme="minorHAnsi"/>
        </w:rPr>
        <w:t>The Soft Second Program has been</w:t>
      </w:r>
      <w:r w:rsidRPr="000B2FFD">
        <w:rPr>
          <w:rFonts w:asciiTheme="minorHAnsi" w:hAnsiTheme="minorHAnsi"/>
        </w:rPr>
        <w:t xml:space="preserve"> replaced by the state’s ONE Mortgage Program.</w:t>
      </w:r>
    </w:p>
  </w:footnote>
  <w:footnote w:id="25">
    <w:p w14:paraId="549EA9EC" w14:textId="77777777" w:rsidR="00325262" w:rsidRPr="001A0556" w:rsidRDefault="00325262" w:rsidP="008772FC">
      <w:pPr>
        <w:pStyle w:val="FootnoteText"/>
        <w:rPr>
          <w:rFonts w:asciiTheme="minorHAnsi" w:hAnsiTheme="minorHAnsi"/>
        </w:rPr>
      </w:pPr>
      <w:r w:rsidRPr="001A0556">
        <w:rPr>
          <w:rStyle w:val="FootnoteReference"/>
          <w:rFonts w:asciiTheme="minorHAnsi" w:hAnsiTheme="minorHAnsi"/>
        </w:rPr>
        <w:footnoteRef/>
      </w:r>
      <w:r w:rsidRPr="001A0556">
        <w:rPr>
          <w:rFonts w:asciiTheme="minorHAnsi" w:hAnsiTheme="minorHAnsi"/>
        </w:rPr>
        <w:t xml:space="preserve"> Two-family homes are allowed in Needham’s General Residence District</w:t>
      </w:r>
      <w:r>
        <w:rPr>
          <w:rFonts w:asciiTheme="minorHAnsi" w:hAnsiTheme="minorHAnsi"/>
        </w:rPr>
        <w:t>.</w:t>
      </w:r>
    </w:p>
  </w:footnote>
  <w:footnote w:id="26">
    <w:p w14:paraId="1D38FA6D" w14:textId="77777777" w:rsidR="007267E6" w:rsidRPr="005F29B0" w:rsidRDefault="007267E6" w:rsidP="007267E6">
      <w:pPr>
        <w:pStyle w:val="FootnoteText"/>
        <w:rPr>
          <w:rFonts w:asciiTheme="minorHAnsi" w:hAnsiTheme="minorHAnsi"/>
        </w:rPr>
      </w:pPr>
      <w:r w:rsidRPr="005F29B0">
        <w:rPr>
          <w:rStyle w:val="FootnoteReference"/>
          <w:rFonts w:asciiTheme="minorHAnsi" w:hAnsiTheme="minorHAnsi"/>
        </w:rPr>
        <w:footnoteRef/>
      </w:r>
      <w:r w:rsidRPr="005F29B0">
        <w:rPr>
          <w:rFonts w:asciiTheme="minorHAnsi" w:hAnsiTheme="minorHAnsi"/>
        </w:rPr>
        <w:t xml:space="preserve"> </w:t>
      </w:r>
      <w:r>
        <w:rPr>
          <w:rFonts w:asciiTheme="minorHAnsi" w:hAnsiTheme="minorHAnsi"/>
        </w:rPr>
        <w:t>Based on utility allowances provided annually by the Needham Housing Authority</w:t>
      </w:r>
      <w:r w:rsidRPr="005F29B0">
        <w:rPr>
          <w:rFonts w:asciiTheme="minorHAnsi" w:hAnsiTheme="minorHAnsi"/>
        </w:rPr>
        <w:t>.</w:t>
      </w:r>
    </w:p>
  </w:footnote>
  <w:footnote w:id="27">
    <w:p w14:paraId="6DE85CD1" w14:textId="77777777" w:rsidR="003E5F08" w:rsidRPr="008C6A04" w:rsidRDefault="003E5F08" w:rsidP="003E5F08">
      <w:pPr>
        <w:pStyle w:val="FootnoteText"/>
        <w:ind w:right="-720"/>
        <w:rPr>
          <w:rFonts w:ascii="Calibri" w:hAnsi="Calibri" w:cs="Calibri"/>
        </w:rPr>
      </w:pPr>
      <w:r w:rsidRPr="008C6A04">
        <w:rPr>
          <w:rStyle w:val="FootnoteReference"/>
          <w:rFonts w:ascii="Calibri" w:hAnsi="Calibri" w:cs="Calibri"/>
        </w:rPr>
        <w:footnoteRef/>
      </w:r>
      <w:r w:rsidRPr="008C6A04">
        <w:rPr>
          <w:rFonts w:ascii="Calibri" w:hAnsi="Calibri" w:cs="Calibri"/>
        </w:rPr>
        <w:t xml:space="preserve"> HUD uses Median Family Income (MFI) in this report which is the equivalent of Area Median Income (AMI).</w:t>
      </w:r>
    </w:p>
  </w:footnote>
  <w:footnote w:id="28">
    <w:p w14:paraId="4F75F612" w14:textId="35094884" w:rsidR="00325262" w:rsidRPr="00387793" w:rsidRDefault="00325262" w:rsidP="00387793">
      <w:pPr>
        <w:pStyle w:val="FootnoteText"/>
        <w:jc w:val="both"/>
        <w:rPr>
          <w:rFonts w:asciiTheme="minorHAnsi" w:hAnsiTheme="minorHAnsi"/>
        </w:rPr>
      </w:pPr>
      <w:r>
        <w:rPr>
          <w:rStyle w:val="FootnoteReference"/>
        </w:rPr>
        <w:footnoteRef/>
      </w:r>
      <w:r>
        <w:t xml:space="preserve"> </w:t>
      </w:r>
      <w:r>
        <w:rPr>
          <w:rFonts w:asciiTheme="minorHAnsi" w:hAnsiTheme="minorHAnsi"/>
        </w:rPr>
        <w:t xml:space="preserve">Computed by </w:t>
      </w:r>
      <w:r w:rsidRPr="000223FC">
        <w:rPr>
          <w:rFonts w:asciiTheme="minorHAnsi" w:hAnsiTheme="minorHAnsi"/>
        </w:rPr>
        <w:t>subtracting seasonal units (</w:t>
      </w:r>
      <w:r w:rsidR="00C00C0F">
        <w:rPr>
          <w:rFonts w:asciiTheme="minorHAnsi" w:hAnsiTheme="minorHAnsi"/>
        </w:rPr>
        <w:t>zero based on 2020 census estimates</w:t>
      </w:r>
      <w:r w:rsidRPr="000223FC">
        <w:rPr>
          <w:rFonts w:asciiTheme="minorHAnsi" w:hAnsiTheme="minorHAnsi"/>
        </w:rPr>
        <w:t>) from total units</w:t>
      </w:r>
      <w:r w:rsidR="00C00C0F">
        <w:rPr>
          <w:rFonts w:asciiTheme="minorHAnsi" w:hAnsiTheme="minorHAnsi"/>
        </w:rPr>
        <w:t xml:space="preserve"> of 11,891.  The figure was 11,047 based on 2010 census figures </w:t>
      </w:r>
      <w:r w:rsidR="00572636">
        <w:rPr>
          <w:rFonts w:asciiTheme="minorHAnsi" w:hAnsiTheme="minorHAnsi"/>
        </w:rPr>
        <w:t>with</w:t>
      </w:r>
      <w:r w:rsidR="00C00C0F">
        <w:rPr>
          <w:rFonts w:asciiTheme="minorHAnsi" w:hAnsiTheme="minorHAnsi"/>
        </w:rPr>
        <w:t xml:space="preserve"> 11,122 total units minus 75 seasonal or occasional units</w:t>
      </w:r>
      <w:r>
        <w:rPr>
          <w:rFonts w:asciiTheme="minorHAnsi" w:hAnsiTheme="minorHAnsi"/>
        </w:rPr>
        <w:t>.</w:t>
      </w:r>
    </w:p>
  </w:footnote>
  <w:footnote w:id="29">
    <w:p w14:paraId="79E85F83" w14:textId="74ABD992" w:rsidR="00F93585" w:rsidRPr="00F93585" w:rsidRDefault="00F93585">
      <w:pPr>
        <w:pStyle w:val="FootnoteText"/>
        <w:rPr>
          <w:rFonts w:asciiTheme="minorHAnsi" w:hAnsiTheme="minorHAnsi" w:cstheme="minorHAnsi"/>
        </w:rPr>
      </w:pPr>
      <w:r w:rsidRPr="00F93585">
        <w:rPr>
          <w:rStyle w:val="FootnoteReference"/>
          <w:rFonts w:asciiTheme="minorHAnsi" w:hAnsiTheme="minorHAnsi" w:cstheme="minorHAnsi"/>
        </w:rPr>
        <w:footnoteRef/>
      </w:r>
      <w:r w:rsidRPr="00F93585">
        <w:rPr>
          <w:rFonts w:asciiTheme="minorHAnsi" w:hAnsiTheme="minorHAnsi" w:cstheme="minorHAnsi"/>
        </w:rPr>
        <w:t xml:space="preserve"> </w:t>
      </w:r>
      <w:bookmarkStart w:id="8" w:name="_Hlk92714395"/>
      <w:r w:rsidRPr="00F93585">
        <w:rPr>
          <w:rFonts w:asciiTheme="minorHAnsi" w:hAnsiTheme="minorHAnsi" w:cstheme="minorHAnsi"/>
        </w:rPr>
        <w:t>Includes 668 market rental units or 47% as part of 40B projects.  New rentals helped diversify the housing stock.</w:t>
      </w:r>
      <w:bookmarkEnd w:id="8"/>
    </w:p>
  </w:footnote>
  <w:footnote w:id="30">
    <w:p w14:paraId="45CD79FE" w14:textId="77777777" w:rsidR="00325262" w:rsidRPr="007128A4" w:rsidRDefault="00325262" w:rsidP="00084BC6">
      <w:pPr>
        <w:pStyle w:val="BodyTextIndent"/>
        <w:spacing w:after="0"/>
        <w:ind w:left="0"/>
        <w:jc w:val="both"/>
        <w:rPr>
          <w:rFonts w:asciiTheme="minorHAnsi" w:hAnsiTheme="minorHAnsi"/>
          <w:sz w:val="20"/>
          <w:szCs w:val="20"/>
        </w:rPr>
      </w:pPr>
      <w:r w:rsidRPr="007128A4">
        <w:rPr>
          <w:rStyle w:val="FootnoteReference"/>
          <w:rFonts w:asciiTheme="minorHAnsi" w:eastAsiaTheme="majorEastAsia" w:hAnsiTheme="minorHAnsi"/>
          <w:sz w:val="20"/>
          <w:szCs w:val="20"/>
        </w:rPr>
        <w:footnoteRef/>
      </w:r>
      <w:r w:rsidRPr="007128A4">
        <w:rPr>
          <w:rFonts w:asciiTheme="minorHAnsi" w:hAnsiTheme="minorHAnsi"/>
          <w:sz w:val="20"/>
          <w:szCs w:val="20"/>
        </w:rPr>
        <w:t xml:space="preserve"> Chapter 774 of the Acts of 1969 established the Massachusetts Comprehensive Permit Law (Massachusetts General Laws Chapter 40B) to facilitate the development of affordable housing for low- and moderate-income households – defined as any housing subsidized by the federal or state government under any program to assist in the construction of low- or moderate-income housing for those earning less than 80% of median income – by permitting the state to override local zoning and other restrictions in communities where less than 10% of the year-round housing is subsidized for low- and moderate-income households.</w:t>
      </w:r>
    </w:p>
  </w:footnote>
  <w:footnote w:id="31">
    <w:p w14:paraId="30A0D4AB" w14:textId="77777777" w:rsidR="00325262" w:rsidRPr="001743D4" w:rsidRDefault="00325262" w:rsidP="00387793">
      <w:pPr>
        <w:tabs>
          <w:tab w:val="num" w:pos="4325"/>
        </w:tabs>
        <w:overflowPunct w:val="0"/>
        <w:autoSpaceDE w:val="0"/>
        <w:autoSpaceDN w:val="0"/>
        <w:adjustRightInd w:val="0"/>
        <w:jc w:val="both"/>
        <w:rPr>
          <w:rFonts w:ascii="Calibri" w:hAnsi="Calibri"/>
          <w:sz w:val="20"/>
          <w:szCs w:val="20"/>
        </w:rPr>
      </w:pPr>
      <w:r w:rsidRPr="001743D4">
        <w:rPr>
          <w:rStyle w:val="FootnoteReference"/>
          <w:rFonts w:eastAsiaTheme="majorEastAsia"/>
          <w:sz w:val="20"/>
          <w:szCs w:val="20"/>
        </w:rPr>
        <w:footnoteRef/>
      </w:r>
      <w:r w:rsidRPr="001743D4">
        <w:rPr>
          <w:sz w:val="20"/>
          <w:szCs w:val="20"/>
        </w:rPr>
        <w:t xml:space="preserve"> </w:t>
      </w:r>
      <w:r w:rsidRPr="001743D4">
        <w:rPr>
          <w:rFonts w:ascii="Calibri" w:hAnsi="Calibri"/>
          <w:sz w:val="20"/>
          <w:szCs w:val="20"/>
        </w:rPr>
        <w:t>The Town allocated $280,000 in HOME Program funding</w:t>
      </w:r>
      <w:r>
        <w:rPr>
          <w:rFonts w:ascii="Calibri" w:hAnsi="Calibri"/>
          <w:sz w:val="20"/>
          <w:szCs w:val="20"/>
        </w:rPr>
        <w:t xml:space="preserve"> and </w:t>
      </w:r>
      <w:r w:rsidRPr="001743D4">
        <w:rPr>
          <w:rFonts w:ascii="Calibri" w:hAnsi="Calibri"/>
          <w:sz w:val="20"/>
          <w:szCs w:val="20"/>
        </w:rPr>
        <w:t>$220,000 in CPA funds</w:t>
      </w:r>
      <w:r>
        <w:rPr>
          <w:rFonts w:ascii="Calibri" w:hAnsi="Calibri"/>
          <w:sz w:val="20"/>
          <w:szCs w:val="20"/>
        </w:rPr>
        <w:t xml:space="preserve"> </w:t>
      </w:r>
      <w:r w:rsidRPr="001743D4">
        <w:rPr>
          <w:rFonts w:ascii="Calibri" w:hAnsi="Calibri"/>
          <w:sz w:val="20"/>
          <w:szCs w:val="20"/>
        </w:rPr>
        <w:t xml:space="preserve">to support </w:t>
      </w:r>
      <w:r>
        <w:rPr>
          <w:rFonts w:ascii="Calibri" w:hAnsi="Calibri"/>
          <w:sz w:val="20"/>
          <w:szCs w:val="20"/>
        </w:rPr>
        <w:t>development financing</w:t>
      </w:r>
      <w:r w:rsidRPr="001743D4">
        <w:rPr>
          <w:rFonts w:ascii="Calibri" w:hAnsi="Calibri"/>
          <w:sz w:val="20"/>
          <w:szCs w:val="20"/>
        </w:rPr>
        <w:t>.</w:t>
      </w:r>
      <w:r>
        <w:rPr>
          <w:rFonts w:ascii="Calibri" w:hAnsi="Calibri"/>
          <w:sz w:val="20"/>
          <w:szCs w:val="20"/>
        </w:rPr>
        <w:t xml:space="preserve"> </w:t>
      </w:r>
      <w:r w:rsidRPr="001743D4">
        <w:rPr>
          <w:rFonts w:ascii="Calibri" w:hAnsi="Calibri"/>
          <w:sz w:val="20"/>
          <w:szCs w:val="20"/>
        </w:rPr>
        <w:t xml:space="preserve"> </w:t>
      </w:r>
    </w:p>
    <w:p w14:paraId="250B7D4A" w14:textId="77777777" w:rsidR="00325262" w:rsidRDefault="00325262" w:rsidP="00084BC6">
      <w:pPr>
        <w:pStyle w:val="FootnoteText"/>
      </w:pPr>
    </w:p>
  </w:footnote>
  <w:footnote w:id="32">
    <w:p w14:paraId="38D5656E" w14:textId="72E6DB5F" w:rsidR="00D94E66" w:rsidRPr="00D94E66" w:rsidRDefault="00D94E66">
      <w:pPr>
        <w:pStyle w:val="FootnoteText"/>
        <w:rPr>
          <w:rFonts w:asciiTheme="minorHAnsi" w:hAnsiTheme="minorHAnsi" w:cstheme="minorHAnsi"/>
        </w:rPr>
      </w:pPr>
      <w:r w:rsidRPr="00D94E66">
        <w:rPr>
          <w:rStyle w:val="FootnoteReference"/>
          <w:rFonts w:asciiTheme="minorHAnsi" w:hAnsiTheme="minorHAnsi" w:cstheme="minorHAnsi"/>
        </w:rPr>
        <w:footnoteRef/>
      </w:r>
      <w:r w:rsidRPr="00D94E66">
        <w:rPr>
          <w:rFonts w:asciiTheme="minorHAnsi" w:hAnsiTheme="minorHAnsi" w:cstheme="minorHAnsi"/>
        </w:rPr>
        <w:t xml:space="preserve"> MassHousing administers the Commonwealth Builders Program to help subsidize homeownership development but funding is limited to Gateway Cities or qualifying census tracts (Needham does not have).</w:t>
      </w:r>
    </w:p>
  </w:footnote>
  <w:footnote w:id="33">
    <w:p w14:paraId="2D698536" w14:textId="36C73987" w:rsidR="000C7CDE" w:rsidRPr="000C7CDE" w:rsidRDefault="000C7CDE" w:rsidP="000C7CDE">
      <w:pPr>
        <w:pStyle w:val="FootnoteText"/>
        <w:jc w:val="both"/>
        <w:rPr>
          <w:rFonts w:asciiTheme="minorHAnsi" w:hAnsiTheme="minorHAnsi" w:cstheme="minorHAnsi"/>
        </w:rPr>
      </w:pPr>
      <w:r>
        <w:rPr>
          <w:rStyle w:val="FootnoteReference"/>
        </w:rPr>
        <w:footnoteRef/>
      </w:r>
      <w:r>
        <w:t xml:space="preserve"> </w:t>
      </w:r>
      <w:r w:rsidRPr="00B11277">
        <w:rPr>
          <w:rFonts w:asciiTheme="minorHAnsi" w:hAnsiTheme="minorHAnsi" w:cstheme="minorHAnsi"/>
        </w:rPr>
        <w:t xml:space="preserve">State asset limits are $75,000 plus a maximum of $200,000 in net equity from a former home for those purchasing a unit in age-restricted housing, a maximum of $75,000 for all other households. </w:t>
      </w:r>
    </w:p>
  </w:footnote>
  <w:footnote w:id="34">
    <w:p w14:paraId="2AB9A6F0" w14:textId="77777777" w:rsidR="00367494" w:rsidRPr="00514DF3" w:rsidRDefault="00367494" w:rsidP="00367494">
      <w:pPr>
        <w:pStyle w:val="FootnoteText"/>
        <w:jc w:val="both"/>
        <w:rPr>
          <w:rFonts w:ascii="Calibri" w:hAnsi="Calibri"/>
        </w:rPr>
      </w:pPr>
      <w:r w:rsidRPr="00514DF3">
        <w:rPr>
          <w:rStyle w:val="FootnoteReference"/>
        </w:rPr>
        <w:footnoteRef/>
      </w:r>
      <w:r w:rsidRPr="00514DF3">
        <w:rPr>
          <w:rFonts w:ascii="Calibri" w:hAnsi="Calibri"/>
        </w:rPr>
        <w:t xml:space="preserve"> The U.S. Census defines disability as a long-term physical, mental, or emotional condition that can make it difficult to do basic activities such as walking, climbing stairs, dressing, bathing, learning, or remembering.  Many residents with one or more disabilities face housing challenges due to a lack of housing that is affordable and physically accessible.  </w:t>
      </w:r>
    </w:p>
  </w:footnote>
  <w:footnote w:id="35">
    <w:p w14:paraId="636348D2" w14:textId="70A9A987" w:rsidR="00BF392C" w:rsidRPr="00B60720" w:rsidRDefault="00BF392C" w:rsidP="00B60720">
      <w:pPr>
        <w:pStyle w:val="FootnoteText"/>
        <w:jc w:val="both"/>
        <w:rPr>
          <w:rFonts w:asciiTheme="minorHAnsi" w:hAnsiTheme="minorHAnsi" w:cstheme="minorHAnsi"/>
        </w:rPr>
      </w:pPr>
      <w:r w:rsidRPr="00B60720">
        <w:rPr>
          <w:rStyle w:val="FootnoteReference"/>
          <w:rFonts w:asciiTheme="minorHAnsi" w:hAnsiTheme="minorHAnsi" w:cstheme="minorHAnsi"/>
        </w:rPr>
        <w:footnoteRef/>
      </w:r>
      <w:r w:rsidRPr="00B60720">
        <w:rPr>
          <w:rFonts w:asciiTheme="minorHAnsi" w:hAnsiTheme="minorHAnsi" w:cstheme="minorHAnsi"/>
        </w:rPr>
        <w:t xml:space="preserve"> SEPAC </w:t>
      </w:r>
      <w:r w:rsidR="00B60720" w:rsidRPr="00B60720">
        <w:rPr>
          <w:rFonts w:asciiTheme="minorHAnsi" w:hAnsiTheme="minorHAnsi" w:cstheme="minorHAnsi"/>
        </w:rPr>
        <w:t>membership includes students ages 3-22 under the umbrella of the Needham Public Schools, including out of district students and some who have recently aged out of the system (turned 22).</w:t>
      </w:r>
    </w:p>
  </w:footnote>
  <w:footnote w:id="36">
    <w:p w14:paraId="6EE9F1BC" w14:textId="77777777" w:rsidR="002019EC" w:rsidRDefault="002019EC" w:rsidP="002019EC">
      <w:pPr>
        <w:pStyle w:val="FootnoteText"/>
        <w:jc w:val="both"/>
      </w:pPr>
      <w:r>
        <w:rPr>
          <w:rStyle w:val="FootnoteReference"/>
        </w:rPr>
        <w:footnoteRef/>
      </w:r>
      <w:r>
        <w:t xml:space="preserve"> </w:t>
      </w:r>
      <w:r w:rsidRPr="007128A4">
        <w:rPr>
          <w:rFonts w:asciiTheme="minorHAnsi" w:hAnsiTheme="minorHAnsi"/>
        </w:rPr>
        <w:t>Chapter 774 of the Acts of 1969 established the Massachusetts Comprehensive Permit Law (Massachusetts General Laws Chapter 40B) to facilitate the development of affordable housing for low- and moderate-income households – defined as any housing subsidized by the federal or state government under any program to assist in the construction of low- or moderate-income housing for those earning less than 80% of median income – by permitting the state to override local zoning and other restrictions in communities where less than 10% of the year-round housing is subsidized for low- and moderate-income households.</w:t>
      </w:r>
    </w:p>
  </w:footnote>
  <w:footnote w:id="37">
    <w:p w14:paraId="1FEBBDFF" w14:textId="77777777" w:rsidR="002019EC" w:rsidRDefault="002019EC" w:rsidP="002019EC">
      <w:pPr>
        <w:pStyle w:val="BlockText"/>
        <w:ind w:left="0" w:right="0" w:firstLine="0"/>
        <w:jc w:val="both"/>
      </w:pPr>
      <w:r w:rsidRPr="00C6427A">
        <w:rPr>
          <w:rStyle w:val="FootnoteReference"/>
          <w:rFonts w:asciiTheme="minorHAnsi" w:hAnsiTheme="minorHAnsi" w:cstheme="minorHAnsi"/>
          <w:sz w:val="20"/>
          <w:szCs w:val="20"/>
        </w:rPr>
        <w:footnoteRef/>
      </w:r>
      <w:r w:rsidRPr="00C6427A">
        <w:rPr>
          <w:rFonts w:asciiTheme="minorHAnsi" w:hAnsiTheme="minorHAnsi" w:cstheme="minorHAnsi"/>
          <w:sz w:val="20"/>
          <w:szCs w:val="20"/>
        </w:rPr>
        <w:t xml:space="preserve"> To be counted as affordable under Chapter 40B, housing must be dedicated to long-term occupancy of income-eligible households (those earning at or below 80% of area median income) through resale or rental restrictions.  Units must also be affirmatively marketed and </w:t>
      </w:r>
      <w:r>
        <w:rPr>
          <w:rFonts w:asciiTheme="minorHAnsi" w:hAnsiTheme="minorHAnsi" w:cstheme="minorHAnsi"/>
          <w:sz w:val="20"/>
          <w:szCs w:val="20"/>
        </w:rPr>
        <w:t xml:space="preserve">subsidized or </w:t>
      </w:r>
      <w:r w:rsidRPr="00C6427A">
        <w:rPr>
          <w:rFonts w:asciiTheme="minorHAnsi" w:hAnsiTheme="minorHAnsi" w:cstheme="minorHAnsi"/>
          <w:sz w:val="20"/>
          <w:szCs w:val="20"/>
        </w:rPr>
        <w:t xml:space="preserve">approved through a subsidizing agency.  All units in Chapter 40B rental developments count as part of the Subsidized Housing Inventory as opposed to only the actual affordable units in homeownership projects. </w:t>
      </w:r>
    </w:p>
  </w:footnote>
  <w:footnote w:id="38">
    <w:p w14:paraId="31E4AD7D" w14:textId="77777777" w:rsidR="002019EC" w:rsidRPr="00CD05E0" w:rsidRDefault="002019EC" w:rsidP="002019EC">
      <w:pPr>
        <w:pStyle w:val="FootnoteText"/>
        <w:rPr>
          <w:rFonts w:asciiTheme="minorHAnsi" w:hAnsiTheme="minorHAnsi" w:cstheme="minorHAnsi"/>
        </w:rPr>
      </w:pPr>
      <w:r>
        <w:rPr>
          <w:rStyle w:val="FootnoteReference"/>
        </w:rPr>
        <w:footnoteRef/>
      </w:r>
      <w:r>
        <w:t xml:space="preserve"> </w:t>
      </w:r>
      <w:r w:rsidRPr="00CD05E0">
        <w:rPr>
          <w:rFonts w:asciiTheme="minorHAnsi" w:hAnsiTheme="minorHAnsi" w:cstheme="minorHAnsi"/>
        </w:rPr>
        <w:t>Chapter 40B guidelines allow all units in a 40B rental development to be counted as part of the SHI.</w:t>
      </w:r>
    </w:p>
  </w:footnote>
  <w:footnote w:id="39">
    <w:p w14:paraId="2CE063B0" w14:textId="77777777" w:rsidR="002019EC" w:rsidRPr="00C27BFD" w:rsidRDefault="002019EC" w:rsidP="002019EC">
      <w:pPr>
        <w:pStyle w:val="FootnoteText"/>
        <w:jc w:val="both"/>
        <w:rPr>
          <w:rFonts w:asciiTheme="minorHAnsi" w:hAnsiTheme="minorHAnsi" w:cstheme="minorHAnsi"/>
        </w:rPr>
      </w:pPr>
      <w:r w:rsidRPr="008D75AE">
        <w:rPr>
          <w:rStyle w:val="FootnoteReference"/>
          <w:rFonts w:asciiTheme="minorHAnsi" w:hAnsiTheme="minorHAnsi" w:cstheme="minorHAnsi"/>
        </w:rPr>
        <w:footnoteRef/>
      </w:r>
      <w:r w:rsidRPr="008D75AE">
        <w:rPr>
          <w:rFonts w:asciiTheme="minorHAnsi" w:hAnsiTheme="minorHAnsi" w:cstheme="minorHAnsi"/>
        </w:rPr>
        <w:t xml:space="preserve"> </w:t>
      </w:r>
      <w:r w:rsidRPr="00C27BFD">
        <w:rPr>
          <w:rFonts w:asciiTheme="minorHAnsi" w:hAnsiTheme="minorHAnsi" w:cstheme="minorHAnsi"/>
        </w:rPr>
        <w:t>The cash payment would be equal to the most current Total Development Costs for the MA Department of Housing and Community Development’s Qualified Allocation Plan  as part of its Low Income Housing Tax Credit Program for the areas described as within Metro Boston/Suburban Area.  These figures are also adjusted for the type of project and number of units.   No fees have been collected to date.</w:t>
      </w:r>
    </w:p>
  </w:footnote>
  <w:footnote w:id="40">
    <w:p w14:paraId="375D1128" w14:textId="77777777" w:rsidR="002019EC" w:rsidRPr="00C27BFD" w:rsidRDefault="002019EC" w:rsidP="002019EC">
      <w:pPr>
        <w:pStyle w:val="FootnoteText"/>
        <w:rPr>
          <w:rFonts w:asciiTheme="minorHAnsi" w:hAnsiTheme="minorHAnsi" w:cstheme="minorHAnsi"/>
        </w:rPr>
      </w:pPr>
      <w:r w:rsidRPr="00C27BFD">
        <w:rPr>
          <w:rStyle w:val="FootnoteReference"/>
          <w:rFonts w:asciiTheme="minorHAnsi" w:hAnsiTheme="minorHAnsi" w:cstheme="minorHAnsi"/>
        </w:rPr>
        <w:footnoteRef/>
      </w:r>
      <w:r w:rsidRPr="00C27BFD">
        <w:rPr>
          <w:rFonts w:asciiTheme="minorHAnsi" w:hAnsiTheme="minorHAnsi" w:cstheme="minorHAnsi"/>
        </w:rPr>
        <w:t xml:space="preserve"> MGL Chapter 44, Section 55C.</w:t>
      </w:r>
    </w:p>
  </w:footnote>
  <w:footnote w:id="41">
    <w:p w14:paraId="08680A8B" w14:textId="77777777" w:rsidR="002019EC" w:rsidRPr="007E7189" w:rsidRDefault="002019EC" w:rsidP="002019EC">
      <w:pPr>
        <w:pStyle w:val="FootnoteText"/>
        <w:rPr>
          <w:rFonts w:asciiTheme="minorHAnsi" w:hAnsiTheme="minorHAnsi" w:cstheme="minorHAnsi"/>
        </w:rPr>
      </w:pPr>
      <w:r w:rsidRPr="007E7189">
        <w:rPr>
          <w:rStyle w:val="FootnoteReference"/>
          <w:rFonts w:asciiTheme="minorHAnsi" w:hAnsiTheme="minorHAnsi" w:cstheme="minorHAnsi"/>
        </w:rPr>
        <w:footnoteRef/>
      </w:r>
      <w:r w:rsidRPr="007E7189">
        <w:rPr>
          <w:rFonts w:asciiTheme="minorHAnsi" w:hAnsiTheme="minorHAnsi" w:cstheme="minorHAnsi"/>
        </w:rPr>
        <w:t xml:space="preserve"> Section 3.15 of the Needham Zoning By-law.</w:t>
      </w:r>
    </w:p>
  </w:footnote>
  <w:footnote w:id="42">
    <w:p w14:paraId="1A693643" w14:textId="77777777" w:rsidR="002019EC" w:rsidRPr="007E7189" w:rsidRDefault="002019EC" w:rsidP="002019EC">
      <w:pPr>
        <w:pStyle w:val="FootnoteText"/>
        <w:rPr>
          <w:rFonts w:asciiTheme="minorHAnsi" w:hAnsiTheme="minorHAnsi" w:cstheme="minorHAnsi"/>
        </w:rPr>
      </w:pPr>
      <w:r w:rsidRPr="007E7189">
        <w:rPr>
          <w:rStyle w:val="FootnoteReference"/>
          <w:rFonts w:asciiTheme="minorHAnsi" w:hAnsiTheme="minorHAnsi" w:cstheme="minorHAnsi"/>
        </w:rPr>
        <w:footnoteRef/>
      </w:r>
      <w:r w:rsidRPr="007E7189">
        <w:rPr>
          <w:rFonts w:asciiTheme="minorHAnsi" w:hAnsiTheme="minorHAnsi" w:cstheme="minorHAnsi"/>
        </w:rPr>
        <w:t xml:space="preserve"> Ibid.</w:t>
      </w:r>
    </w:p>
  </w:footnote>
  <w:footnote w:id="43">
    <w:p w14:paraId="426520DE" w14:textId="77777777" w:rsidR="000E71B8" w:rsidRPr="00903F0E" w:rsidRDefault="000E71B8" w:rsidP="000E71B8">
      <w:pPr>
        <w:pStyle w:val="FootnoteText"/>
        <w:ind w:right="-720"/>
        <w:jc w:val="both"/>
        <w:rPr>
          <w:rFonts w:ascii="Calibri" w:hAnsi="Calibri"/>
        </w:rPr>
      </w:pPr>
      <w:r w:rsidRPr="00903F0E">
        <w:rPr>
          <w:rStyle w:val="FootnoteReference"/>
          <w:rFonts w:ascii="Calibri" w:eastAsiaTheme="majorEastAsia" w:hAnsi="Calibri"/>
        </w:rPr>
        <w:footnoteRef/>
      </w:r>
      <w:r w:rsidRPr="00903F0E">
        <w:rPr>
          <w:rFonts w:ascii="Calibri" w:hAnsi="Calibri"/>
        </w:rPr>
        <w:t xml:space="preserve"> DHCD has an electronic mechanism for calculating maximum sales prices on its website at </w:t>
      </w:r>
      <w:hyperlink r:id="rId1" w:history="1">
        <w:r w:rsidRPr="00903F0E">
          <w:rPr>
            <w:rStyle w:val="Hyperlink"/>
            <w:rFonts w:ascii="Calibri" w:hAnsi="Calibri"/>
          </w:rPr>
          <w:t>www.mass.gov/dhcd</w:t>
        </w:r>
      </w:hyperlink>
      <w:r w:rsidRPr="00903F0E">
        <w:rPr>
          <w:rFonts w:ascii="Calibri" w:hAnsi="Calibri"/>
        </w:rPr>
        <w:t>.</w:t>
      </w:r>
    </w:p>
  </w:footnote>
  <w:footnote w:id="44">
    <w:p w14:paraId="3CAAAB02" w14:textId="77777777" w:rsidR="000E71B8" w:rsidRDefault="000E71B8" w:rsidP="000E71B8">
      <w:pPr>
        <w:pStyle w:val="FootnoteText"/>
        <w:ind w:right="-720"/>
        <w:jc w:val="both"/>
        <w:rPr>
          <w:rFonts w:ascii="Calibri" w:hAnsi="Calibri"/>
          <w:sz w:val="18"/>
        </w:rPr>
      </w:pPr>
      <w:r>
        <w:rPr>
          <w:rStyle w:val="FootnoteReference"/>
          <w:rFonts w:ascii="Calibri" w:eastAsiaTheme="majorEastAsia" w:hAnsi="Calibri"/>
          <w:sz w:val="18"/>
        </w:rPr>
        <w:footnoteRef/>
      </w:r>
      <w:r>
        <w:rPr>
          <w:rFonts w:ascii="Calibri" w:hAnsi="Calibri"/>
          <w:sz w:val="18"/>
        </w:rPr>
        <w:t xml:space="preserve"> </w:t>
      </w:r>
      <w:r w:rsidRPr="006566FC">
        <w:rPr>
          <w:rFonts w:ascii="Calibri" w:hAnsi="Calibri"/>
        </w:rPr>
        <w:t>DHCD will review condo fee estimates and approve a maximum condo fee as part of the calculation of maximum sales price. The percentage interests assigned to the condo must conform to the approved condo fees and require a lower percentage interest assigned to the affordable units as opposed to the market rate ones.  DHCD must review the Schedule of Beneficial Interests in the Master Deed to confirm that LIP units have been assigned percentage interests that correspond to the condo fees.</w:t>
      </w:r>
    </w:p>
  </w:footnote>
  <w:footnote w:id="45">
    <w:p w14:paraId="3BA355BC" w14:textId="77777777" w:rsidR="00DA633B" w:rsidRDefault="00DA633B" w:rsidP="00DA633B">
      <w:pPr>
        <w:pStyle w:val="FootnoteText"/>
        <w:rPr>
          <w:rFonts w:ascii="Calibri" w:hAnsi="Calibri"/>
          <w:sz w:val="18"/>
        </w:rPr>
      </w:pPr>
      <w:r>
        <w:rPr>
          <w:rStyle w:val="FootnoteReference"/>
          <w:rFonts w:ascii="Calibri" w:eastAsiaTheme="majorEastAsia" w:hAnsi="Calibri"/>
          <w:sz w:val="18"/>
        </w:rPr>
        <w:footnoteRef/>
      </w:r>
      <w:r>
        <w:rPr>
          <w:rFonts w:ascii="Calibri" w:hAnsi="Calibri"/>
          <w:sz w:val="18"/>
        </w:rPr>
        <w:t xml:space="preserve"> Section 56.03 of the new Chapter 40B regulations.</w:t>
      </w:r>
    </w:p>
  </w:footnote>
  <w:footnote w:id="46">
    <w:p w14:paraId="041CDC33" w14:textId="77777777" w:rsidR="00DA633B" w:rsidRPr="006566FC" w:rsidRDefault="00DA633B" w:rsidP="008D43B3">
      <w:pPr>
        <w:pStyle w:val="FootnoteText"/>
        <w:jc w:val="both"/>
        <w:rPr>
          <w:rFonts w:ascii="Calibri" w:hAnsi="Calibri"/>
        </w:rPr>
      </w:pPr>
      <w:r w:rsidRPr="006566FC">
        <w:rPr>
          <w:rStyle w:val="FootnoteReference"/>
          <w:rFonts w:ascii="Calibri" w:eastAsiaTheme="majorEastAsia" w:hAnsi="Calibri"/>
        </w:rPr>
        <w:footnoteRef/>
      </w:r>
      <w:r w:rsidRPr="006566FC">
        <w:rPr>
          <w:rFonts w:ascii="Calibri" w:hAnsi="Calibri"/>
        </w:rPr>
        <w:t xml:space="preserve"> Chapter 774 of the Acts of 1969 established the Massachusetts Comprehensive Permit Law (Massachusetts General Laws Chapter 40B) to facilitate the development of affordable housing for low- and moderate-income households (defined as any housing subsidized by the federal or state government under any program to assist in the construction of low- or moderate-income housing for those earning less than 80% of median income) by permitting the state to override local zoning and other restrictions in communities where less than 10% of the year-round housing is subsidized for low- and moderate-income households.</w:t>
      </w:r>
    </w:p>
    <w:p w14:paraId="62384E44" w14:textId="77777777" w:rsidR="00DA633B" w:rsidRPr="006566FC" w:rsidRDefault="00DA633B" w:rsidP="008D43B3">
      <w:pPr>
        <w:pStyle w:val="FootnoteText"/>
        <w:jc w:val="both"/>
      </w:pPr>
    </w:p>
    <w:p w14:paraId="251F7A52" w14:textId="77777777" w:rsidR="00DA633B" w:rsidRPr="006566FC" w:rsidRDefault="00DA633B" w:rsidP="00DA633B">
      <w:pPr>
        <w:pStyle w:val="FootnoteText"/>
        <w:ind w:right="-720"/>
        <w:jc w:val="both"/>
      </w:pPr>
    </w:p>
  </w:footnote>
  <w:footnote w:id="47">
    <w:p w14:paraId="13114367" w14:textId="77777777" w:rsidR="00DA633B" w:rsidRPr="006566FC" w:rsidRDefault="00DA633B" w:rsidP="00C54FC9">
      <w:pPr>
        <w:pStyle w:val="FootnoteText"/>
        <w:jc w:val="both"/>
        <w:rPr>
          <w:rFonts w:ascii="Calibri" w:hAnsi="Calibri"/>
        </w:rPr>
      </w:pPr>
      <w:r w:rsidRPr="006566FC">
        <w:rPr>
          <w:rStyle w:val="FootnoteReference"/>
          <w:rFonts w:ascii="Calibri" w:eastAsiaTheme="majorEastAsia" w:hAnsi="Calibri"/>
        </w:rPr>
        <w:footnoteRef/>
      </w:r>
      <w:r w:rsidRPr="006566FC">
        <w:rPr>
          <w:rFonts w:ascii="Calibri" w:hAnsi="Calibri"/>
        </w:rPr>
        <w:t xml:space="preserve"> Edward Carman, Barry Bluestone, and Eleanor White for The Commonwealth Housing Task Force, “A Housing Strategy for Smart Growth and Economic Development: Executive Summary”, October 30, 2003, p. 3.</w:t>
      </w:r>
    </w:p>
  </w:footnote>
  <w:footnote w:id="48">
    <w:p w14:paraId="18537C12" w14:textId="77777777" w:rsidR="00DA633B" w:rsidRPr="006566FC" w:rsidRDefault="00DA633B" w:rsidP="00C54FC9">
      <w:pPr>
        <w:pStyle w:val="FootnoteText"/>
        <w:jc w:val="both"/>
        <w:rPr>
          <w:rFonts w:ascii="Calibri" w:hAnsi="Calibri"/>
        </w:rPr>
      </w:pPr>
      <w:r w:rsidRPr="006566FC">
        <w:rPr>
          <w:rStyle w:val="FootnoteReference"/>
          <w:rFonts w:ascii="Calibri" w:eastAsiaTheme="majorEastAsia" w:hAnsi="Calibri"/>
        </w:rPr>
        <w:footnoteRef/>
      </w:r>
      <w:r w:rsidRPr="006566FC">
        <w:rPr>
          <w:rFonts w:ascii="Calibri" w:hAnsi="Calibri"/>
        </w:rPr>
        <w:t xml:space="preserve"> Massachusetts General Law, Chapter 40R, Section 11.</w:t>
      </w:r>
    </w:p>
  </w:footnote>
  <w:footnote w:id="49">
    <w:p w14:paraId="55CB741D" w14:textId="77777777" w:rsidR="00DA633B" w:rsidRDefault="00DA633B" w:rsidP="00DA633B">
      <w:pPr>
        <w:pStyle w:val="FootnoteText"/>
        <w:rPr>
          <w:rFonts w:ascii="Calibri" w:hAnsi="Calibri"/>
          <w:sz w:val="18"/>
        </w:rPr>
      </w:pPr>
      <w:r>
        <w:rPr>
          <w:rStyle w:val="FootnoteReference"/>
          <w:rFonts w:ascii="Calibri" w:eastAsiaTheme="majorEastAsia" w:hAnsi="Calibri"/>
          <w:sz w:val="18"/>
        </w:rPr>
        <w:footnoteRef/>
      </w:r>
      <w:r>
        <w:rPr>
          <w:rFonts w:ascii="Calibri" w:hAnsi="Calibri"/>
          <w:sz w:val="18"/>
        </w:rPr>
        <w:t xml:space="preserve"> “A Housing Strategy for Smart Growth and Economic Development: Executive Summary,” p. 4.</w:t>
      </w:r>
    </w:p>
  </w:footnote>
  <w:footnote w:id="50">
    <w:p w14:paraId="79DE5B6D" w14:textId="77777777" w:rsidR="00DA633B" w:rsidRPr="00873503" w:rsidRDefault="00DA633B" w:rsidP="00B8599C">
      <w:pPr>
        <w:pStyle w:val="FootnoteText"/>
        <w:jc w:val="both"/>
        <w:rPr>
          <w:rFonts w:ascii="Calibri" w:hAnsi="Calibri"/>
        </w:rPr>
      </w:pPr>
      <w:r w:rsidRPr="00873503">
        <w:rPr>
          <w:rStyle w:val="FootnoteReference"/>
          <w:rFonts w:ascii="Calibri" w:eastAsiaTheme="majorEastAsia" w:hAnsi="Calibri"/>
        </w:rPr>
        <w:footnoteRef/>
      </w:r>
      <w:r w:rsidRPr="00873503">
        <w:rPr>
          <w:rFonts w:ascii="Calibri" w:hAnsi="Calibri"/>
        </w:rPr>
        <w:t xml:space="preserve"> Program information was gathered through agency brochures, agency program guidelines and application materials as well as the following resources:  Verrilli, Ann.  </w:t>
      </w:r>
      <w:r w:rsidRPr="00873503">
        <w:rPr>
          <w:rFonts w:ascii="Calibri" w:hAnsi="Calibri"/>
          <w:u w:val="single"/>
        </w:rPr>
        <w:t>Housing Guidebook for Massachusetts,</w:t>
      </w:r>
      <w:r w:rsidRPr="00873503">
        <w:rPr>
          <w:rFonts w:ascii="Calibri" w:hAnsi="Calibri"/>
        </w:rPr>
        <w:t xml:space="preserve">  Produced by the Citizen’s Housing and Planning Association, June 1999.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EA71" w14:textId="2C25A503" w:rsidR="005A7763" w:rsidRDefault="005A7763">
    <w:pPr>
      <w:pStyle w:val="Header"/>
    </w:pPr>
    <w:r>
      <w:t xml:space="preserve">Draft </w:t>
    </w:r>
    <w:r w:rsidR="00F46D34">
      <w:t>4</w:t>
    </w:r>
    <w:r>
      <w:t>-</w:t>
    </w:r>
    <w:r w:rsidR="00F47C07">
      <w:t>21</w:t>
    </w:r>
    <w:r>
      <w:t>-</w:t>
    </w:r>
    <w:r w:rsidR="00E75F6C">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9417" w14:textId="3D8EF98A" w:rsidR="001325AE" w:rsidRDefault="001325AE">
    <w:pPr>
      <w:pStyle w:val="Header"/>
    </w:pPr>
    <w:r>
      <w:t xml:space="preserve">Draft </w:t>
    </w:r>
    <w:r w:rsidR="001079FA">
      <w:t>4</w:t>
    </w:r>
    <w:r>
      <w:t>-</w:t>
    </w:r>
    <w:r w:rsidR="00C97D6B">
      <w:t>21</w:t>
    </w:r>
    <w:r>
      <w:t>-22</w:t>
    </w:r>
  </w:p>
  <w:p w14:paraId="1B96CE9A" w14:textId="77777777" w:rsidR="001325AE" w:rsidRDefault="00132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7FE"/>
    <w:multiLevelType w:val="hybridMultilevel"/>
    <w:tmpl w:val="AC72460C"/>
    <w:lvl w:ilvl="0" w:tplc="054C9FC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23FF1"/>
    <w:multiLevelType w:val="hybridMultilevel"/>
    <w:tmpl w:val="15408AF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B24CA"/>
    <w:multiLevelType w:val="hybridMultilevel"/>
    <w:tmpl w:val="ACCC7DEA"/>
    <w:lvl w:ilvl="0" w:tplc="14B601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4535B"/>
    <w:multiLevelType w:val="hybridMultilevel"/>
    <w:tmpl w:val="2F82E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597308"/>
    <w:multiLevelType w:val="hybridMultilevel"/>
    <w:tmpl w:val="7E8AD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B54281"/>
    <w:multiLevelType w:val="hybridMultilevel"/>
    <w:tmpl w:val="8C86856A"/>
    <w:lvl w:ilvl="0" w:tplc="FFFFFFFF">
      <w:start w:val="1"/>
      <w:numFmt w:val="upperRoman"/>
      <w:lvlText w:val="%1."/>
      <w:lvlJc w:val="left"/>
      <w:pPr>
        <w:tabs>
          <w:tab w:val="num" w:pos="1080"/>
        </w:tabs>
        <w:ind w:left="1080" w:hanging="720"/>
      </w:pPr>
      <w:rPr>
        <w:rFonts w:hint="default"/>
        <w:b/>
      </w:rPr>
    </w:lvl>
    <w:lvl w:ilvl="1" w:tplc="FFFFFFFF">
      <w:start w:val="1"/>
      <w:numFmt w:val="upperLetter"/>
      <w:pStyle w:val="Heading2"/>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780"/>
        </w:tabs>
        <w:ind w:left="3780" w:hanging="54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04F6C65"/>
    <w:multiLevelType w:val="hybridMultilevel"/>
    <w:tmpl w:val="C292E20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954858"/>
    <w:multiLevelType w:val="hybridMultilevel"/>
    <w:tmpl w:val="02E67010"/>
    <w:lvl w:ilvl="0" w:tplc="8158A8F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14F2766"/>
    <w:multiLevelType w:val="hybridMultilevel"/>
    <w:tmpl w:val="541C4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E74827"/>
    <w:multiLevelType w:val="hybridMultilevel"/>
    <w:tmpl w:val="533C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E254F"/>
    <w:multiLevelType w:val="hybridMultilevel"/>
    <w:tmpl w:val="F51CF5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D6525B"/>
    <w:multiLevelType w:val="hybridMultilevel"/>
    <w:tmpl w:val="7E529F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985B14"/>
    <w:multiLevelType w:val="hybridMultilevel"/>
    <w:tmpl w:val="AABA2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704E0"/>
    <w:multiLevelType w:val="hybridMultilevel"/>
    <w:tmpl w:val="79CC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D2DCE"/>
    <w:multiLevelType w:val="hybridMultilevel"/>
    <w:tmpl w:val="B224C4D2"/>
    <w:lvl w:ilvl="0" w:tplc="A83EF03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A4777B"/>
    <w:multiLevelType w:val="hybridMultilevel"/>
    <w:tmpl w:val="E16440A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23907B17"/>
    <w:multiLevelType w:val="hybridMultilevel"/>
    <w:tmpl w:val="DC8A2F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2831DC"/>
    <w:multiLevelType w:val="hybridMultilevel"/>
    <w:tmpl w:val="17A8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83CD9"/>
    <w:multiLevelType w:val="hybridMultilevel"/>
    <w:tmpl w:val="CF3A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D6350"/>
    <w:multiLevelType w:val="hybridMultilevel"/>
    <w:tmpl w:val="D6E6CC44"/>
    <w:lvl w:ilvl="0" w:tplc="FDE6225E">
      <w:start w:val="1"/>
      <w:numFmt w:val="bullet"/>
      <w:lvlText w:val=""/>
      <w:lvlJc w:val="left"/>
      <w:pPr>
        <w:tabs>
          <w:tab w:val="num" w:pos="1440"/>
        </w:tabs>
        <w:ind w:left="1440" w:hanging="360"/>
      </w:pPr>
      <w:rPr>
        <w:rFonts w:ascii="Symbol" w:hAnsi="Symbol" w:hint="default"/>
        <w:color w:val="auto"/>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7BA0B4C"/>
    <w:multiLevelType w:val="hybridMultilevel"/>
    <w:tmpl w:val="96F2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932DD"/>
    <w:multiLevelType w:val="hybridMultilevel"/>
    <w:tmpl w:val="FEA49C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BA32EAE"/>
    <w:multiLevelType w:val="hybridMultilevel"/>
    <w:tmpl w:val="6A34B22A"/>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87BB1"/>
    <w:multiLevelType w:val="hybridMultilevel"/>
    <w:tmpl w:val="2BF242D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1B21465"/>
    <w:multiLevelType w:val="hybridMultilevel"/>
    <w:tmpl w:val="286AEFDE"/>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25" w15:restartNumberingAfterBreak="0">
    <w:nsid w:val="424508A1"/>
    <w:multiLevelType w:val="hybridMultilevel"/>
    <w:tmpl w:val="80E4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63659"/>
    <w:multiLevelType w:val="hybridMultilevel"/>
    <w:tmpl w:val="4FAAB7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75B2CF1"/>
    <w:multiLevelType w:val="hybridMultilevel"/>
    <w:tmpl w:val="9380F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423B80"/>
    <w:multiLevelType w:val="hybridMultilevel"/>
    <w:tmpl w:val="9D84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358F7"/>
    <w:multiLevelType w:val="hybridMultilevel"/>
    <w:tmpl w:val="871476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4A9D251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4AB54203"/>
    <w:multiLevelType w:val="hybridMultilevel"/>
    <w:tmpl w:val="838874B0"/>
    <w:lvl w:ilvl="0" w:tplc="054C9FC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3" w15:restartNumberingAfterBreak="0">
    <w:nsid w:val="4C784EB0"/>
    <w:multiLevelType w:val="hybridMultilevel"/>
    <w:tmpl w:val="0254C2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F2A42AE"/>
    <w:multiLevelType w:val="hybridMultilevel"/>
    <w:tmpl w:val="BB5AF3BE"/>
    <w:lvl w:ilvl="0" w:tplc="04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6C3824"/>
    <w:multiLevelType w:val="hybridMultilevel"/>
    <w:tmpl w:val="0980CBAE"/>
    <w:lvl w:ilvl="0" w:tplc="FDE6225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802BA2"/>
    <w:multiLevelType w:val="hybridMultilevel"/>
    <w:tmpl w:val="7916AD3E"/>
    <w:lvl w:ilvl="0" w:tplc="162E2260">
      <w:start w:val="1"/>
      <w:numFmt w:val="bullet"/>
      <w:lvlText w:val=""/>
      <w:lvlJc w:val="left"/>
      <w:pPr>
        <w:tabs>
          <w:tab w:val="num" w:pos="360"/>
        </w:tabs>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4F03B3C"/>
    <w:multiLevelType w:val="hybridMultilevel"/>
    <w:tmpl w:val="8372197E"/>
    <w:lvl w:ilvl="0" w:tplc="BB900C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9" w15:restartNumberingAfterBreak="0">
    <w:nsid w:val="59AB428E"/>
    <w:multiLevelType w:val="hybridMultilevel"/>
    <w:tmpl w:val="25965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1220EC"/>
    <w:multiLevelType w:val="hybridMultilevel"/>
    <w:tmpl w:val="3C32A418"/>
    <w:lvl w:ilvl="0" w:tplc="1B52695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A6102F0"/>
    <w:multiLevelType w:val="hybridMultilevel"/>
    <w:tmpl w:val="C812E7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B730A9D"/>
    <w:multiLevelType w:val="multilevel"/>
    <w:tmpl w:val="94D0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2B5510"/>
    <w:multiLevelType w:val="hybridMultilevel"/>
    <w:tmpl w:val="9B7678CC"/>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EA109F"/>
    <w:multiLevelType w:val="hybridMultilevel"/>
    <w:tmpl w:val="5E8A5C4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112BF8"/>
    <w:multiLevelType w:val="hybridMultilevel"/>
    <w:tmpl w:val="F29A85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66A103A7"/>
    <w:multiLevelType w:val="hybridMultilevel"/>
    <w:tmpl w:val="7714A9AC"/>
    <w:lvl w:ilvl="0" w:tplc="04090001">
      <w:start w:val="1"/>
      <w:numFmt w:val="bullet"/>
      <w:lvlText w:val=""/>
      <w:lvlJc w:val="left"/>
      <w:pPr>
        <w:tabs>
          <w:tab w:val="num" w:pos="720"/>
        </w:tabs>
        <w:ind w:left="720" w:hanging="360"/>
      </w:pPr>
      <w:rPr>
        <w:rFonts w:ascii="Symbol" w:hAnsi="Symbol" w:hint="default"/>
      </w:rPr>
    </w:lvl>
    <w:lvl w:ilvl="1" w:tplc="1B52695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2A5899"/>
    <w:multiLevelType w:val="hybridMultilevel"/>
    <w:tmpl w:val="EC0C0F76"/>
    <w:lvl w:ilvl="0" w:tplc="162E2260">
      <w:start w:val="1"/>
      <w:numFmt w:val="bullet"/>
      <w:lvlText w:val=""/>
      <w:lvlJc w:val="left"/>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3A189C"/>
    <w:multiLevelType w:val="hybridMultilevel"/>
    <w:tmpl w:val="338AA626"/>
    <w:lvl w:ilvl="0" w:tplc="FFFFFFFF">
      <w:start w:val="2"/>
      <w:numFmt w:val="decimal"/>
      <w:lvlText w:val="%1."/>
      <w:lvlJc w:val="left"/>
      <w:pPr>
        <w:tabs>
          <w:tab w:val="num" w:pos="540"/>
        </w:tabs>
        <w:ind w:left="540" w:hanging="360"/>
      </w:pPr>
      <w:rPr>
        <w:rFonts w:hint="default"/>
      </w:rPr>
    </w:lvl>
    <w:lvl w:ilvl="1" w:tplc="FFFFFFFF">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49" w15:restartNumberingAfterBreak="0">
    <w:nsid w:val="6B6D7AAC"/>
    <w:multiLevelType w:val="hybridMultilevel"/>
    <w:tmpl w:val="EAA45EA2"/>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6B864472"/>
    <w:multiLevelType w:val="multilevel"/>
    <w:tmpl w:val="F622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295DDB"/>
    <w:multiLevelType w:val="hybridMultilevel"/>
    <w:tmpl w:val="5D12EC16"/>
    <w:lvl w:ilvl="0" w:tplc="49E4FE6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F142CAB"/>
    <w:multiLevelType w:val="hybridMultilevel"/>
    <w:tmpl w:val="B7BA05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27D6D4F"/>
    <w:multiLevelType w:val="hybridMultilevel"/>
    <w:tmpl w:val="3A2C306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73C355AF"/>
    <w:multiLevelType w:val="hybridMultilevel"/>
    <w:tmpl w:val="0074D352"/>
    <w:lvl w:ilvl="0" w:tplc="04090001">
      <w:start w:val="1"/>
      <w:numFmt w:val="bullet"/>
      <w:lvlText w:val=""/>
      <w:lvlJc w:val="left"/>
      <w:pPr>
        <w:tabs>
          <w:tab w:val="num" w:pos="360"/>
        </w:tabs>
        <w:ind w:left="360" w:hanging="360"/>
      </w:pPr>
      <w:rPr>
        <w:rFonts w:ascii="Symbol" w:hAnsi="Symbol" w:hint="default"/>
      </w:rPr>
    </w:lvl>
    <w:lvl w:ilvl="1" w:tplc="6FCC67A2">
      <w:start w:val="9"/>
      <w:numFmt w:val="decimal"/>
      <w:lvlText w:val="%2."/>
      <w:lvlJc w:val="left"/>
      <w:pPr>
        <w:tabs>
          <w:tab w:val="num" w:pos="1080"/>
        </w:tabs>
        <w:ind w:left="1080" w:hanging="72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15:restartNumberingAfterBreak="0">
    <w:nsid w:val="742C1E86"/>
    <w:multiLevelType w:val="hybridMultilevel"/>
    <w:tmpl w:val="81A2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4C2F81"/>
    <w:multiLevelType w:val="hybridMultilevel"/>
    <w:tmpl w:val="C200F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4316CE"/>
    <w:multiLevelType w:val="hybridMultilevel"/>
    <w:tmpl w:val="0D64F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6530B0"/>
    <w:multiLevelType w:val="hybridMultilevel"/>
    <w:tmpl w:val="179E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2"/>
  </w:num>
  <w:num w:numId="4">
    <w:abstractNumId w:val="38"/>
  </w:num>
  <w:num w:numId="5">
    <w:abstractNumId w:val="49"/>
  </w:num>
  <w:num w:numId="6">
    <w:abstractNumId w:val="0"/>
  </w:num>
  <w:num w:numId="7">
    <w:abstractNumId w:val="25"/>
  </w:num>
  <w:num w:numId="8">
    <w:abstractNumId w:val="58"/>
  </w:num>
  <w:num w:numId="9">
    <w:abstractNumId w:val="56"/>
  </w:num>
  <w:num w:numId="10">
    <w:abstractNumId w:val="40"/>
  </w:num>
  <w:num w:numId="11">
    <w:abstractNumId w:val="15"/>
  </w:num>
  <w:num w:numId="12">
    <w:abstractNumId w:val="12"/>
  </w:num>
  <w:num w:numId="13">
    <w:abstractNumId w:val="55"/>
  </w:num>
  <w:num w:numId="14">
    <w:abstractNumId w:val="14"/>
  </w:num>
  <w:num w:numId="15">
    <w:abstractNumId w:val="27"/>
  </w:num>
  <w:num w:numId="16">
    <w:abstractNumId w:val="2"/>
  </w:num>
  <w:num w:numId="17">
    <w:abstractNumId w:val="47"/>
  </w:num>
  <w:num w:numId="18">
    <w:abstractNumId w:val="39"/>
  </w:num>
  <w:num w:numId="19">
    <w:abstractNumId w:val="48"/>
  </w:num>
  <w:num w:numId="20">
    <w:abstractNumId w:val="37"/>
  </w:num>
  <w:num w:numId="21">
    <w:abstractNumId w:val="7"/>
  </w:num>
  <w:num w:numId="22">
    <w:abstractNumId w:val="30"/>
  </w:num>
  <w:num w:numId="23">
    <w:abstractNumId w:val="23"/>
  </w:num>
  <w:num w:numId="24">
    <w:abstractNumId w:val="6"/>
  </w:num>
  <w:num w:numId="25">
    <w:abstractNumId w:val="16"/>
  </w:num>
  <w:num w:numId="26">
    <w:abstractNumId w:val="8"/>
  </w:num>
  <w:num w:numId="27">
    <w:abstractNumId w:val="3"/>
  </w:num>
  <w:num w:numId="28">
    <w:abstractNumId w:val="10"/>
  </w:num>
  <w:num w:numId="29">
    <w:abstractNumId w:val="54"/>
  </w:num>
  <w:num w:numId="30">
    <w:abstractNumId w:val="53"/>
  </w:num>
  <w:num w:numId="31">
    <w:abstractNumId w:val="11"/>
  </w:num>
  <w:num w:numId="32">
    <w:abstractNumId w:val="52"/>
  </w:num>
  <w:num w:numId="33">
    <w:abstractNumId w:val="41"/>
  </w:num>
  <w:num w:numId="34">
    <w:abstractNumId w:val="33"/>
  </w:num>
  <w:num w:numId="35">
    <w:abstractNumId w:val="26"/>
  </w:num>
  <w:num w:numId="36">
    <w:abstractNumId w:val="21"/>
  </w:num>
  <w:num w:numId="37">
    <w:abstractNumId w:val="43"/>
  </w:num>
  <w:num w:numId="38">
    <w:abstractNumId w:val="45"/>
  </w:num>
  <w:num w:numId="39">
    <w:abstractNumId w:val="46"/>
  </w:num>
  <w:num w:numId="40">
    <w:abstractNumId w:val="29"/>
  </w:num>
  <w:num w:numId="41">
    <w:abstractNumId w:val="28"/>
  </w:num>
  <w:num w:numId="42">
    <w:abstractNumId w:val="42"/>
  </w:num>
  <w:num w:numId="43">
    <w:abstractNumId w:val="50"/>
  </w:num>
  <w:num w:numId="44">
    <w:abstractNumId w:val="35"/>
  </w:num>
  <w:num w:numId="45">
    <w:abstractNumId w:val="17"/>
  </w:num>
  <w:num w:numId="46">
    <w:abstractNumId w:val="9"/>
  </w:num>
  <w:num w:numId="47">
    <w:abstractNumId w:val="24"/>
  </w:num>
  <w:num w:numId="48">
    <w:abstractNumId w:val="20"/>
  </w:num>
  <w:num w:numId="49">
    <w:abstractNumId w:val="18"/>
  </w:num>
  <w:num w:numId="50">
    <w:abstractNumId w:val="57"/>
  </w:num>
  <w:num w:numId="51">
    <w:abstractNumId w:val="22"/>
  </w:num>
  <w:num w:numId="52">
    <w:abstractNumId w:val="44"/>
  </w:num>
  <w:num w:numId="53">
    <w:abstractNumId w:val="1"/>
  </w:num>
  <w:num w:numId="54">
    <w:abstractNumId w:val="13"/>
  </w:num>
  <w:num w:numId="55">
    <w:abstractNumId w:val="4"/>
  </w:num>
  <w:num w:numId="56">
    <w:abstractNumId w:val="34"/>
  </w:num>
  <w:num w:numId="57">
    <w:abstractNumId w:val="36"/>
  </w:num>
  <w:num w:numId="58">
    <w:abstractNumId w:val="51"/>
  </w:num>
  <w:num w:numId="59">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2FC"/>
    <w:rsid w:val="00000356"/>
    <w:rsid w:val="00000397"/>
    <w:rsid w:val="0000107D"/>
    <w:rsid w:val="00002D30"/>
    <w:rsid w:val="00003427"/>
    <w:rsid w:val="00003F99"/>
    <w:rsid w:val="000042E1"/>
    <w:rsid w:val="0000453F"/>
    <w:rsid w:val="00005731"/>
    <w:rsid w:val="000070A9"/>
    <w:rsid w:val="000072DB"/>
    <w:rsid w:val="00010FF4"/>
    <w:rsid w:val="00013CC9"/>
    <w:rsid w:val="00014B79"/>
    <w:rsid w:val="0001506D"/>
    <w:rsid w:val="000229C4"/>
    <w:rsid w:val="00023CD7"/>
    <w:rsid w:val="0002570E"/>
    <w:rsid w:val="00030049"/>
    <w:rsid w:val="00030562"/>
    <w:rsid w:val="000316EE"/>
    <w:rsid w:val="00031933"/>
    <w:rsid w:val="00032EB4"/>
    <w:rsid w:val="00034453"/>
    <w:rsid w:val="0003743D"/>
    <w:rsid w:val="00037888"/>
    <w:rsid w:val="00043E62"/>
    <w:rsid w:val="00050DC8"/>
    <w:rsid w:val="00050FB6"/>
    <w:rsid w:val="00055330"/>
    <w:rsid w:val="00056387"/>
    <w:rsid w:val="000577DB"/>
    <w:rsid w:val="00060851"/>
    <w:rsid w:val="00074B15"/>
    <w:rsid w:val="00081AE9"/>
    <w:rsid w:val="00084BC6"/>
    <w:rsid w:val="00085F92"/>
    <w:rsid w:val="00086140"/>
    <w:rsid w:val="00087367"/>
    <w:rsid w:val="00094A7A"/>
    <w:rsid w:val="00095D97"/>
    <w:rsid w:val="0009734D"/>
    <w:rsid w:val="00097682"/>
    <w:rsid w:val="00097A69"/>
    <w:rsid w:val="000A11F2"/>
    <w:rsid w:val="000A1D2F"/>
    <w:rsid w:val="000A221C"/>
    <w:rsid w:val="000A489E"/>
    <w:rsid w:val="000A6E84"/>
    <w:rsid w:val="000A75BC"/>
    <w:rsid w:val="000B3F50"/>
    <w:rsid w:val="000B4F11"/>
    <w:rsid w:val="000B7080"/>
    <w:rsid w:val="000C2772"/>
    <w:rsid w:val="000C2892"/>
    <w:rsid w:val="000C29C7"/>
    <w:rsid w:val="000C36C5"/>
    <w:rsid w:val="000C4991"/>
    <w:rsid w:val="000C7CDE"/>
    <w:rsid w:val="000D0CC4"/>
    <w:rsid w:val="000D158D"/>
    <w:rsid w:val="000D1F78"/>
    <w:rsid w:val="000D4397"/>
    <w:rsid w:val="000E479F"/>
    <w:rsid w:val="000E60B2"/>
    <w:rsid w:val="000E71B8"/>
    <w:rsid w:val="000E7F45"/>
    <w:rsid w:val="000F1084"/>
    <w:rsid w:val="000F1826"/>
    <w:rsid w:val="000F2294"/>
    <w:rsid w:val="000F2567"/>
    <w:rsid w:val="000F4EFD"/>
    <w:rsid w:val="001002C7"/>
    <w:rsid w:val="0010303B"/>
    <w:rsid w:val="0010322E"/>
    <w:rsid w:val="00106CA9"/>
    <w:rsid w:val="001076F4"/>
    <w:rsid w:val="001079FA"/>
    <w:rsid w:val="00111850"/>
    <w:rsid w:val="00113B17"/>
    <w:rsid w:val="00113FAD"/>
    <w:rsid w:val="00116B6C"/>
    <w:rsid w:val="00116C56"/>
    <w:rsid w:val="00122ED4"/>
    <w:rsid w:val="001239AE"/>
    <w:rsid w:val="00123E6E"/>
    <w:rsid w:val="00124A8F"/>
    <w:rsid w:val="0012616B"/>
    <w:rsid w:val="00126478"/>
    <w:rsid w:val="001267BB"/>
    <w:rsid w:val="00127CC9"/>
    <w:rsid w:val="001302E4"/>
    <w:rsid w:val="0013253A"/>
    <w:rsid w:val="001325AE"/>
    <w:rsid w:val="00135EF7"/>
    <w:rsid w:val="0014167C"/>
    <w:rsid w:val="00145C04"/>
    <w:rsid w:val="00146472"/>
    <w:rsid w:val="0014658A"/>
    <w:rsid w:val="00147951"/>
    <w:rsid w:val="00150DCF"/>
    <w:rsid w:val="0015294E"/>
    <w:rsid w:val="001553E7"/>
    <w:rsid w:val="00155889"/>
    <w:rsid w:val="00156FE0"/>
    <w:rsid w:val="00161856"/>
    <w:rsid w:val="00162544"/>
    <w:rsid w:val="00162761"/>
    <w:rsid w:val="0016278A"/>
    <w:rsid w:val="001638DE"/>
    <w:rsid w:val="00163DD7"/>
    <w:rsid w:val="00166169"/>
    <w:rsid w:val="00170AD5"/>
    <w:rsid w:val="00171D85"/>
    <w:rsid w:val="001720FF"/>
    <w:rsid w:val="00174CEE"/>
    <w:rsid w:val="00175423"/>
    <w:rsid w:val="00177DF0"/>
    <w:rsid w:val="00180167"/>
    <w:rsid w:val="00181897"/>
    <w:rsid w:val="001825F7"/>
    <w:rsid w:val="00182CAF"/>
    <w:rsid w:val="00183358"/>
    <w:rsid w:val="0018456B"/>
    <w:rsid w:val="0018659D"/>
    <w:rsid w:val="00190AE6"/>
    <w:rsid w:val="00191370"/>
    <w:rsid w:val="00195521"/>
    <w:rsid w:val="001A0DF6"/>
    <w:rsid w:val="001A2EB3"/>
    <w:rsid w:val="001A3D4B"/>
    <w:rsid w:val="001A506B"/>
    <w:rsid w:val="001A6514"/>
    <w:rsid w:val="001B0056"/>
    <w:rsid w:val="001B054B"/>
    <w:rsid w:val="001B2505"/>
    <w:rsid w:val="001B322C"/>
    <w:rsid w:val="001B4AFC"/>
    <w:rsid w:val="001B4BBA"/>
    <w:rsid w:val="001B78D3"/>
    <w:rsid w:val="001C0D6C"/>
    <w:rsid w:val="001C18DD"/>
    <w:rsid w:val="001C4974"/>
    <w:rsid w:val="001D00D6"/>
    <w:rsid w:val="001D01EF"/>
    <w:rsid w:val="001D1826"/>
    <w:rsid w:val="001D28FA"/>
    <w:rsid w:val="001D66F5"/>
    <w:rsid w:val="001E0EA9"/>
    <w:rsid w:val="001E4A65"/>
    <w:rsid w:val="001E5BDE"/>
    <w:rsid w:val="001E6680"/>
    <w:rsid w:val="001F24C4"/>
    <w:rsid w:val="001F43B8"/>
    <w:rsid w:val="001F6F2A"/>
    <w:rsid w:val="0020031D"/>
    <w:rsid w:val="00201404"/>
    <w:rsid w:val="002019EC"/>
    <w:rsid w:val="00203DB1"/>
    <w:rsid w:val="002046B0"/>
    <w:rsid w:val="002067EB"/>
    <w:rsid w:val="00211173"/>
    <w:rsid w:val="00212CF4"/>
    <w:rsid w:val="00212E96"/>
    <w:rsid w:val="002132B6"/>
    <w:rsid w:val="00214085"/>
    <w:rsid w:val="00214F66"/>
    <w:rsid w:val="002159E9"/>
    <w:rsid w:val="00216A6F"/>
    <w:rsid w:val="002216F4"/>
    <w:rsid w:val="00221D84"/>
    <w:rsid w:val="002220E9"/>
    <w:rsid w:val="002224D1"/>
    <w:rsid w:val="00223DEA"/>
    <w:rsid w:val="00224778"/>
    <w:rsid w:val="00224FB1"/>
    <w:rsid w:val="0022617F"/>
    <w:rsid w:val="002276F6"/>
    <w:rsid w:val="002309B7"/>
    <w:rsid w:val="00232905"/>
    <w:rsid w:val="00232AB5"/>
    <w:rsid w:val="002338B9"/>
    <w:rsid w:val="00235923"/>
    <w:rsid w:val="002359A0"/>
    <w:rsid w:val="00235BA5"/>
    <w:rsid w:val="0023709A"/>
    <w:rsid w:val="00241732"/>
    <w:rsid w:val="00242B0B"/>
    <w:rsid w:val="00242E0E"/>
    <w:rsid w:val="00244466"/>
    <w:rsid w:val="00244F1E"/>
    <w:rsid w:val="00245260"/>
    <w:rsid w:val="00247210"/>
    <w:rsid w:val="0025097A"/>
    <w:rsid w:val="00250F6D"/>
    <w:rsid w:val="0025444A"/>
    <w:rsid w:val="002548D9"/>
    <w:rsid w:val="00254FBC"/>
    <w:rsid w:val="00255CAE"/>
    <w:rsid w:val="00257F6A"/>
    <w:rsid w:val="002631A1"/>
    <w:rsid w:val="00263B3F"/>
    <w:rsid w:val="002665A7"/>
    <w:rsid w:val="00266EAE"/>
    <w:rsid w:val="00270B57"/>
    <w:rsid w:val="00271896"/>
    <w:rsid w:val="00272F5A"/>
    <w:rsid w:val="0027300A"/>
    <w:rsid w:val="002732DE"/>
    <w:rsid w:val="0027566D"/>
    <w:rsid w:val="00275EAE"/>
    <w:rsid w:val="00276692"/>
    <w:rsid w:val="0028014C"/>
    <w:rsid w:val="00281EDB"/>
    <w:rsid w:val="0028351E"/>
    <w:rsid w:val="00284CDE"/>
    <w:rsid w:val="002851DD"/>
    <w:rsid w:val="002856C0"/>
    <w:rsid w:val="0028614C"/>
    <w:rsid w:val="0028670D"/>
    <w:rsid w:val="002900E8"/>
    <w:rsid w:val="00295067"/>
    <w:rsid w:val="002950C3"/>
    <w:rsid w:val="002954F8"/>
    <w:rsid w:val="002A0A96"/>
    <w:rsid w:val="002A16AA"/>
    <w:rsid w:val="002A2F9C"/>
    <w:rsid w:val="002A3237"/>
    <w:rsid w:val="002A336D"/>
    <w:rsid w:val="002A4B7D"/>
    <w:rsid w:val="002A5029"/>
    <w:rsid w:val="002A6B66"/>
    <w:rsid w:val="002B2C25"/>
    <w:rsid w:val="002B4AC8"/>
    <w:rsid w:val="002B4D2B"/>
    <w:rsid w:val="002B4D87"/>
    <w:rsid w:val="002B4FC4"/>
    <w:rsid w:val="002B5A0B"/>
    <w:rsid w:val="002B78E6"/>
    <w:rsid w:val="002C3DEC"/>
    <w:rsid w:val="002C42B8"/>
    <w:rsid w:val="002C649B"/>
    <w:rsid w:val="002D1326"/>
    <w:rsid w:val="002D1631"/>
    <w:rsid w:val="002D3362"/>
    <w:rsid w:val="002D5C91"/>
    <w:rsid w:val="002E2F60"/>
    <w:rsid w:val="002E32BD"/>
    <w:rsid w:val="002E4DBD"/>
    <w:rsid w:val="002E7CC9"/>
    <w:rsid w:val="002F0512"/>
    <w:rsid w:val="002F069C"/>
    <w:rsid w:val="002F13C6"/>
    <w:rsid w:val="002F1709"/>
    <w:rsid w:val="002F1AAA"/>
    <w:rsid w:val="002F2D5E"/>
    <w:rsid w:val="002F7B4D"/>
    <w:rsid w:val="00302F7C"/>
    <w:rsid w:val="00303F30"/>
    <w:rsid w:val="00314FA9"/>
    <w:rsid w:val="003165F8"/>
    <w:rsid w:val="00317F76"/>
    <w:rsid w:val="00321F03"/>
    <w:rsid w:val="003226C7"/>
    <w:rsid w:val="00325262"/>
    <w:rsid w:val="00326A00"/>
    <w:rsid w:val="00332C89"/>
    <w:rsid w:val="00333448"/>
    <w:rsid w:val="00337484"/>
    <w:rsid w:val="00337CB1"/>
    <w:rsid w:val="00342632"/>
    <w:rsid w:val="00342B09"/>
    <w:rsid w:val="00347A3D"/>
    <w:rsid w:val="003508E8"/>
    <w:rsid w:val="003533DF"/>
    <w:rsid w:val="00355231"/>
    <w:rsid w:val="00356AAA"/>
    <w:rsid w:val="00360E66"/>
    <w:rsid w:val="00361124"/>
    <w:rsid w:val="00362901"/>
    <w:rsid w:val="00363558"/>
    <w:rsid w:val="00364A7A"/>
    <w:rsid w:val="00366140"/>
    <w:rsid w:val="00366E13"/>
    <w:rsid w:val="00367477"/>
    <w:rsid w:val="00367494"/>
    <w:rsid w:val="00367607"/>
    <w:rsid w:val="00367AAE"/>
    <w:rsid w:val="00371754"/>
    <w:rsid w:val="003733E2"/>
    <w:rsid w:val="00373DE9"/>
    <w:rsid w:val="00374A7A"/>
    <w:rsid w:val="00375CA4"/>
    <w:rsid w:val="0037639B"/>
    <w:rsid w:val="00380B1B"/>
    <w:rsid w:val="0038535E"/>
    <w:rsid w:val="00385A33"/>
    <w:rsid w:val="00385E64"/>
    <w:rsid w:val="0038689E"/>
    <w:rsid w:val="00387793"/>
    <w:rsid w:val="00387EA5"/>
    <w:rsid w:val="003921BF"/>
    <w:rsid w:val="00392CA4"/>
    <w:rsid w:val="003935DC"/>
    <w:rsid w:val="003A1AE6"/>
    <w:rsid w:val="003A39AA"/>
    <w:rsid w:val="003A4719"/>
    <w:rsid w:val="003A7AB8"/>
    <w:rsid w:val="003A7AF0"/>
    <w:rsid w:val="003B50BB"/>
    <w:rsid w:val="003B65F3"/>
    <w:rsid w:val="003B72E6"/>
    <w:rsid w:val="003C0E9E"/>
    <w:rsid w:val="003C10B3"/>
    <w:rsid w:val="003C3EF8"/>
    <w:rsid w:val="003D07A0"/>
    <w:rsid w:val="003D13E8"/>
    <w:rsid w:val="003D20D6"/>
    <w:rsid w:val="003D28F9"/>
    <w:rsid w:val="003D46E6"/>
    <w:rsid w:val="003D4A5A"/>
    <w:rsid w:val="003D58A9"/>
    <w:rsid w:val="003E2622"/>
    <w:rsid w:val="003E5F08"/>
    <w:rsid w:val="003E7670"/>
    <w:rsid w:val="003F2BA1"/>
    <w:rsid w:val="003F5607"/>
    <w:rsid w:val="00402BFD"/>
    <w:rsid w:val="00404785"/>
    <w:rsid w:val="00406701"/>
    <w:rsid w:val="00406C71"/>
    <w:rsid w:val="00414344"/>
    <w:rsid w:val="00415A19"/>
    <w:rsid w:val="00415FDD"/>
    <w:rsid w:val="00417300"/>
    <w:rsid w:val="00420362"/>
    <w:rsid w:val="0042294D"/>
    <w:rsid w:val="00422D33"/>
    <w:rsid w:val="00423090"/>
    <w:rsid w:val="0042546C"/>
    <w:rsid w:val="00425A7C"/>
    <w:rsid w:val="00425FDD"/>
    <w:rsid w:val="00426317"/>
    <w:rsid w:val="00426CAD"/>
    <w:rsid w:val="00433773"/>
    <w:rsid w:val="004359F6"/>
    <w:rsid w:val="0043659F"/>
    <w:rsid w:val="0044066F"/>
    <w:rsid w:val="004436C5"/>
    <w:rsid w:val="00443757"/>
    <w:rsid w:val="0044610F"/>
    <w:rsid w:val="00446CEB"/>
    <w:rsid w:val="00447FCC"/>
    <w:rsid w:val="004500F9"/>
    <w:rsid w:val="004531E0"/>
    <w:rsid w:val="00456374"/>
    <w:rsid w:val="00457295"/>
    <w:rsid w:val="00460B69"/>
    <w:rsid w:val="00461479"/>
    <w:rsid w:val="004617B0"/>
    <w:rsid w:val="00461EF9"/>
    <w:rsid w:val="00461FE0"/>
    <w:rsid w:val="004626D4"/>
    <w:rsid w:val="00462979"/>
    <w:rsid w:val="00462BEE"/>
    <w:rsid w:val="0046491E"/>
    <w:rsid w:val="00465C0C"/>
    <w:rsid w:val="00467351"/>
    <w:rsid w:val="00471114"/>
    <w:rsid w:val="004712C9"/>
    <w:rsid w:val="00476427"/>
    <w:rsid w:val="00480CA0"/>
    <w:rsid w:val="00480CE1"/>
    <w:rsid w:val="004821E4"/>
    <w:rsid w:val="00482523"/>
    <w:rsid w:val="004844F1"/>
    <w:rsid w:val="00484CEE"/>
    <w:rsid w:val="00485EC2"/>
    <w:rsid w:val="00487412"/>
    <w:rsid w:val="00487662"/>
    <w:rsid w:val="00487742"/>
    <w:rsid w:val="00490877"/>
    <w:rsid w:val="00493E75"/>
    <w:rsid w:val="0049754B"/>
    <w:rsid w:val="004A1093"/>
    <w:rsid w:val="004A6058"/>
    <w:rsid w:val="004A6AA9"/>
    <w:rsid w:val="004A6BCF"/>
    <w:rsid w:val="004A77E6"/>
    <w:rsid w:val="004B0D13"/>
    <w:rsid w:val="004B1C2C"/>
    <w:rsid w:val="004B1DFF"/>
    <w:rsid w:val="004B3580"/>
    <w:rsid w:val="004B58A6"/>
    <w:rsid w:val="004B655A"/>
    <w:rsid w:val="004B757B"/>
    <w:rsid w:val="004C20B9"/>
    <w:rsid w:val="004C2336"/>
    <w:rsid w:val="004C30EA"/>
    <w:rsid w:val="004C74DE"/>
    <w:rsid w:val="004C75F2"/>
    <w:rsid w:val="004D0EAA"/>
    <w:rsid w:val="004D53AD"/>
    <w:rsid w:val="004D542A"/>
    <w:rsid w:val="004D6C87"/>
    <w:rsid w:val="004E03CE"/>
    <w:rsid w:val="004E1F11"/>
    <w:rsid w:val="004E2559"/>
    <w:rsid w:val="004E2FEE"/>
    <w:rsid w:val="004E33E2"/>
    <w:rsid w:val="004E51C2"/>
    <w:rsid w:val="004E611A"/>
    <w:rsid w:val="004E7933"/>
    <w:rsid w:val="004E7F4C"/>
    <w:rsid w:val="004F3EB1"/>
    <w:rsid w:val="004F4680"/>
    <w:rsid w:val="004F4ADD"/>
    <w:rsid w:val="004F4DDD"/>
    <w:rsid w:val="004F6A9C"/>
    <w:rsid w:val="00500A48"/>
    <w:rsid w:val="00500C2B"/>
    <w:rsid w:val="00504966"/>
    <w:rsid w:val="00504BF1"/>
    <w:rsid w:val="00505853"/>
    <w:rsid w:val="0051220A"/>
    <w:rsid w:val="00514553"/>
    <w:rsid w:val="00514DF3"/>
    <w:rsid w:val="00516C55"/>
    <w:rsid w:val="005211E7"/>
    <w:rsid w:val="005226BF"/>
    <w:rsid w:val="005239AD"/>
    <w:rsid w:val="00525C26"/>
    <w:rsid w:val="00525C9E"/>
    <w:rsid w:val="0052605B"/>
    <w:rsid w:val="00526116"/>
    <w:rsid w:val="00530B11"/>
    <w:rsid w:val="005310D4"/>
    <w:rsid w:val="00536C2C"/>
    <w:rsid w:val="00544641"/>
    <w:rsid w:val="00547CB7"/>
    <w:rsid w:val="00552EEB"/>
    <w:rsid w:val="005554BC"/>
    <w:rsid w:val="005572AE"/>
    <w:rsid w:val="005576DD"/>
    <w:rsid w:val="005626DE"/>
    <w:rsid w:val="00563FBA"/>
    <w:rsid w:val="00564669"/>
    <w:rsid w:val="0057077F"/>
    <w:rsid w:val="00570B66"/>
    <w:rsid w:val="00572636"/>
    <w:rsid w:val="00572FE1"/>
    <w:rsid w:val="00573B19"/>
    <w:rsid w:val="00574AED"/>
    <w:rsid w:val="0057616C"/>
    <w:rsid w:val="005764FD"/>
    <w:rsid w:val="00576BEC"/>
    <w:rsid w:val="0057727F"/>
    <w:rsid w:val="005821D1"/>
    <w:rsid w:val="00582B03"/>
    <w:rsid w:val="00582E26"/>
    <w:rsid w:val="00583C5D"/>
    <w:rsid w:val="005854C9"/>
    <w:rsid w:val="005855A7"/>
    <w:rsid w:val="00587433"/>
    <w:rsid w:val="005877D6"/>
    <w:rsid w:val="0059390E"/>
    <w:rsid w:val="00594A57"/>
    <w:rsid w:val="00594B35"/>
    <w:rsid w:val="0059547C"/>
    <w:rsid w:val="0059779A"/>
    <w:rsid w:val="005A244C"/>
    <w:rsid w:val="005A3637"/>
    <w:rsid w:val="005A4B15"/>
    <w:rsid w:val="005A5B70"/>
    <w:rsid w:val="005A6850"/>
    <w:rsid w:val="005A7763"/>
    <w:rsid w:val="005B0223"/>
    <w:rsid w:val="005B280E"/>
    <w:rsid w:val="005B2C1D"/>
    <w:rsid w:val="005B37F4"/>
    <w:rsid w:val="005B4112"/>
    <w:rsid w:val="005B5231"/>
    <w:rsid w:val="005B7B95"/>
    <w:rsid w:val="005B7C08"/>
    <w:rsid w:val="005B7E7D"/>
    <w:rsid w:val="005C3315"/>
    <w:rsid w:val="005C3B80"/>
    <w:rsid w:val="005C6482"/>
    <w:rsid w:val="005C6A25"/>
    <w:rsid w:val="005D1EB9"/>
    <w:rsid w:val="005D3FC9"/>
    <w:rsid w:val="005E3904"/>
    <w:rsid w:val="005E4465"/>
    <w:rsid w:val="005F0EB5"/>
    <w:rsid w:val="005F324D"/>
    <w:rsid w:val="005F7872"/>
    <w:rsid w:val="006012EB"/>
    <w:rsid w:val="00601D22"/>
    <w:rsid w:val="00603AED"/>
    <w:rsid w:val="006056C9"/>
    <w:rsid w:val="00606960"/>
    <w:rsid w:val="0060793C"/>
    <w:rsid w:val="0061352F"/>
    <w:rsid w:val="00615DA4"/>
    <w:rsid w:val="006164FE"/>
    <w:rsid w:val="00621244"/>
    <w:rsid w:val="006231F7"/>
    <w:rsid w:val="00623803"/>
    <w:rsid w:val="00623C61"/>
    <w:rsid w:val="0062604A"/>
    <w:rsid w:val="00627A63"/>
    <w:rsid w:val="00627C2A"/>
    <w:rsid w:val="006312C0"/>
    <w:rsid w:val="006329F6"/>
    <w:rsid w:val="0064089C"/>
    <w:rsid w:val="00640D54"/>
    <w:rsid w:val="0064322F"/>
    <w:rsid w:val="00646664"/>
    <w:rsid w:val="00646836"/>
    <w:rsid w:val="0064767F"/>
    <w:rsid w:val="00650346"/>
    <w:rsid w:val="006509BA"/>
    <w:rsid w:val="00650AE4"/>
    <w:rsid w:val="00650B44"/>
    <w:rsid w:val="00651782"/>
    <w:rsid w:val="006525EA"/>
    <w:rsid w:val="00652DAA"/>
    <w:rsid w:val="0065314D"/>
    <w:rsid w:val="00654BB0"/>
    <w:rsid w:val="006557C6"/>
    <w:rsid w:val="00665CE1"/>
    <w:rsid w:val="00665DD8"/>
    <w:rsid w:val="00670A12"/>
    <w:rsid w:val="0067183A"/>
    <w:rsid w:val="00671865"/>
    <w:rsid w:val="006728D8"/>
    <w:rsid w:val="0067362E"/>
    <w:rsid w:val="00675477"/>
    <w:rsid w:val="00675FCF"/>
    <w:rsid w:val="006770FA"/>
    <w:rsid w:val="00680F3B"/>
    <w:rsid w:val="00685CDC"/>
    <w:rsid w:val="00686300"/>
    <w:rsid w:val="00687B76"/>
    <w:rsid w:val="00690D5C"/>
    <w:rsid w:val="00691031"/>
    <w:rsid w:val="00691E1C"/>
    <w:rsid w:val="00691F2E"/>
    <w:rsid w:val="0069244A"/>
    <w:rsid w:val="00692D24"/>
    <w:rsid w:val="00694144"/>
    <w:rsid w:val="00695C58"/>
    <w:rsid w:val="00696E17"/>
    <w:rsid w:val="006A2DA0"/>
    <w:rsid w:val="006A4997"/>
    <w:rsid w:val="006A62AD"/>
    <w:rsid w:val="006A6C86"/>
    <w:rsid w:val="006B1217"/>
    <w:rsid w:val="006B2436"/>
    <w:rsid w:val="006B3182"/>
    <w:rsid w:val="006B5A0D"/>
    <w:rsid w:val="006B76B3"/>
    <w:rsid w:val="006C0145"/>
    <w:rsid w:val="006C1522"/>
    <w:rsid w:val="006C21EB"/>
    <w:rsid w:val="006C54DE"/>
    <w:rsid w:val="006C7856"/>
    <w:rsid w:val="006D3E42"/>
    <w:rsid w:val="006D428B"/>
    <w:rsid w:val="006D5202"/>
    <w:rsid w:val="006D5DBE"/>
    <w:rsid w:val="006D7086"/>
    <w:rsid w:val="006D7154"/>
    <w:rsid w:val="006E026E"/>
    <w:rsid w:val="006E22D1"/>
    <w:rsid w:val="006E26DB"/>
    <w:rsid w:val="006E3FE4"/>
    <w:rsid w:val="006E63DD"/>
    <w:rsid w:val="006E78A4"/>
    <w:rsid w:val="006F2949"/>
    <w:rsid w:val="006F38A9"/>
    <w:rsid w:val="006F7EFC"/>
    <w:rsid w:val="00700083"/>
    <w:rsid w:val="00703EAC"/>
    <w:rsid w:val="00705182"/>
    <w:rsid w:val="00706571"/>
    <w:rsid w:val="00706F13"/>
    <w:rsid w:val="00710430"/>
    <w:rsid w:val="007106B4"/>
    <w:rsid w:val="00710A80"/>
    <w:rsid w:val="00712A82"/>
    <w:rsid w:val="00712E77"/>
    <w:rsid w:val="00712F41"/>
    <w:rsid w:val="007149F0"/>
    <w:rsid w:val="0071796D"/>
    <w:rsid w:val="007179E8"/>
    <w:rsid w:val="0072155A"/>
    <w:rsid w:val="00721F1A"/>
    <w:rsid w:val="007267E6"/>
    <w:rsid w:val="00727E80"/>
    <w:rsid w:val="007313FD"/>
    <w:rsid w:val="00731CFE"/>
    <w:rsid w:val="00731EB9"/>
    <w:rsid w:val="007359F4"/>
    <w:rsid w:val="00737F6E"/>
    <w:rsid w:val="00740749"/>
    <w:rsid w:val="0074390A"/>
    <w:rsid w:val="00744F72"/>
    <w:rsid w:val="00744FAC"/>
    <w:rsid w:val="00747185"/>
    <w:rsid w:val="00750A22"/>
    <w:rsid w:val="00750B83"/>
    <w:rsid w:val="0075407C"/>
    <w:rsid w:val="00756487"/>
    <w:rsid w:val="00757B6A"/>
    <w:rsid w:val="0076040B"/>
    <w:rsid w:val="0076189A"/>
    <w:rsid w:val="00762E33"/>
    <w:rsid w:val="007648E9"/>
    <w:rsid w:val="00766740"/>
    <w:rsid w:val="00771CEA"/>
    <w:rsid w:val="00771D5B"/>
    <w:rsid w:val="00772F1F"/>
    <w:rsid w:val="007732BD"/>
    <w:rsid w:val="00775E5E"/>
    <w:rsid w:val="00775FA4"/>
    <w:rsid w:val="00776F62"/>
    <w:rsid w:val="007776CD"/>
    <w:rsid w:val="00781A36"/>
    <w:rsid w:val="00781F93"/>
    <w:rsid w:val="0078344E"/>
    <w:rsid w:val="0078388B"/>
    <w:rsid w:val="00783E62"/>
    <w:rsid w:val="00786524"/>
    <w:rsid w:val="007871DA"/>
    <w:rsid w:val="00787B8A"/>
    <w:rsid w:val="00787F87"/>
    <w:rsid w:val="007918C1"/>
    <w:rsid w:val="007924C7"/>
    <w:rsid w:val="007926A1"/>
    <w:rsid w:val="0079278A"/>
    <w:rsid w:val="00794215"/>
    <w:rsid w:val="00794293"/>
    <w:rsid w:val="00796936"/>
    <w:rsid w:val="007979FE"/>
    <w:rsid w:val="007A02A8"/>
    <w:rsid w:val="007A311C"/>
    <w:rsid w:val="007A335B"/>
    <w:rsid w:val="007A6CF8"/>
    <w:rsid w:val="007B2DEB"/>
    <w:rsid w:val="007B424E"/>
    <w:rsid w:val="007B6535"/>
    <w:rsid w:val="007B7692"/>
    <w:rsid w:val="007C0C5D"/>
    <w:rsid w:val="007C2BAE"/>
    <w:rsid w:val="007C35F8"/>
    <w:rsid w:val="007C3949"/>
    <w:rsid w:val="007C3E3B"/>
    <w:rsid w:val="007C6F27"/>
    <w:rsid w:val="007D00DA"/>
    <w:rsid w:val="007D0AC5"/>
    <w:rsid w:val="007D1C3D"/>
    <w:rsid w:val="007D204C"/>
    <w:rsid w:val="007D57F0"/>
    <w:rsid w:val="007E0B91"/>
    <w:rsid w:val="007E37FF"/>
    <w:rsid w:val="007E3970"/>
    <w:rsid w:val="007E4870"/>
    <w:rsid w:val="007E512D"/>
    <w:rsid w:val="007E5144"/>
    <w:rsid w:val="007E5CC1"/>
    <w:rsid w:val="007E7FFA"/>
    <w:rsid w:val="007F3066"/>
    <w:rsid w:val="007F3478"/>
    <w:rsid w:val="007F38F7"/>
    <w:rsid w:val="007F3AB4"/>
    <w:rsid w:val="007F425A"/>
    <w:rsid w:val="007F4846"/>
    <w:rsid w:val="00804C9E"/>
    <w:rsid w:val="00805567"/>
    <w:rsid w:val="00806B9E"/>
    <w:rsid w:val="008107EA"/>
    <w:rsid w:val="008127DC"/>
    <w:rsid w:val="00813049"/>
    <w:rsid w:val="00814CF3"/>
    <w:rsid w:val="008156FB"/>
    <w:rsid w:val="008167D2"/>
    <w:rsid w:val="00821ABE"/>
    <w:rsid w:val="00825439"/>
    <w:rsid w:val="00825E08"/>
    <w:rsid w:val="00827A3A"/>
    <w:rsid w:val="00830B9C"/>
    <w:rsid w:val="00831E83"/>
    <w:rsid w:val="008324CB"/>
    <w:rsid w:val="008337DF"/>
    <w:rsid w:val="008414A0"/>
    <w:rsid w:val="00842F21"/>
    <w:rsid w:val="008439EE"/>
    <w:rsid w:val="00845128"/>
    <w:rsid w:val="00846845"/>
    <w:rsid w:val="00847B73"/>
    <w:rsid w:val="00851077"/>
    <w:rsid w:val="0085333C"/>
    <w:rsid w:val="008568B1"/>
    <w:rsid w:val="0086106C"/>
    <w:rsid w:val="00861914"/>
    <w:rsid w:val="0086490C"/>
    <w:rsid w:val="00864B62"/>
    <w:rsid w:val="00867B6D"/>
    <w:rsid w:val="00867C9E"/>
    <w:rsid w:val="008703C3"/>
    <w:rsid w:val="008704AD"/>
    <w:rsid w:val="00870988"/>
    <w:rsid w:val="008721FF"/>
    <w:rsid w:val="008772FC"/>
    <w:rsid w:val="00880F3D"/>
    <w:rsid w:val="00881855"/>
    <w:rsid w:val="008818F5"/>
    <w:rsid w:val="0088212F"/>
    <w:rsid w:val="00882674"/>
    <w:rsid w:val="008839CD"/>
    <w:rsid w:val="008856FD"/>
    <w:rsid w:val="00892558"/>
    <w:rsid w:val="008935DF"/>
    <w:rsid w:val="00895ADC"/>
    <w:rsid w:val="00895C3D"/>
    <w:rsid w:val="008A1906"/>
    <w:rsid w:val="008A1AA5"/>
    <w:rsid w:val="008A5C94"/>
    <w:rsid w:val="008A6362"/>
    <w:rsid w:val="008B0E91"/>
    <w:rsid w:val="008B2000"/>
    <w:rsid w:val="008B2CF9"/>
    <w:rsid w:val="008B555C"/>
    <w:rsid w:val="008C2696"/>
    <w:rsid w:val="008C3389"/>
    <w:rsid w:val="008C3F67"/>
    <w:rsid w:val="008C4494"/>
    <w:rsid w:val="008C517C"/>
    <w:rsid w:val="008C755A"/>
    <w:rsid w:val="008C7751"/>
    <w:rsid w:val="008D1222"/>
    <w:rsid w:val="008D3341"/>
    <w:rsid w:val="008D43B3"/>
    <w:rsid w:val="008D440A"/>
    <w:rsid w:val="008D56A7"/>
    <w:rsid w:val="008D5AD8"/>
    <w:rsid w:val="008E0109"/>
    <w:rsid w:val="008E1D91"/>
    <w:rsid w:val="008E2B68"/>
    <w:rsid w:val="008E318A"/>
    <w:rsid w:val="008E51E6"/>
    <w:rsid w:val="008E5934"/>
    <w:rsid w:val="008E604B"/>
    <w:rsid w:val="008E680D"/>
    <w:rsid w:val="008E78EB"/>
    <w:rsid w:val="008F1111"/>
    <w:rsid w:val="008F2243"/>
    <w:rsid w:val="008F2513"/>
    <w:rsid w:val="008F27F6"/>
    <w:rsid w:val="008F68CA"/>
    <w:rsid w:val="008F6BC1"/>
    <w:rsid w:val="0090324F"/>
    <w:rsid w:val="009053F3"/>
    <w:rsid w:val="009071F2"/>
    <w:rsid w:val="00910E25"/>
    <w:rsid w:val="00912610"/>
    <w:rsid w:val="0091545A"/>
    <w:rsid w:val="00915516"/>
    <w:rsid w:val="00920B15"/>
    <w:rsid w:val="00920BC9"/>
    <w:rsid w:val="00921765"/>
    <w:rsid w:val="009254F5"/>
    <w:rsid w:val="009312E3"/>
    <w:rsid w:val="009333FC"/>
    <w:rsid w:val="00936A60"/>
    <w:rsid w:val="00937137"/>
    <w:rsid w:val="009420D5"/>
    <w:rsid w:val="00942734"/>
    <w:rsid w:val="00944327"/>
    <w:rsid w:val="009446B2"/>
    <w:rsid w:val="0094516B"/>
    <w:rsid w:val="00946EFC"/>
    <w:rsid w:val="00950DDF"/>
    <w:rsid w:val="0095467B"/>
    <w:rsid w:val="009552B2"/>
    <w:rsid w:val="009557BB"/>
    <w:rsid w:val="00955D97"/>
    <w:rsid w:val="009565E0"/>
    <w:rsid w:val="00956A72"/>
    <w:rsid w:val="00957910"/>
    <w:rsid w:val="00964FCD"/>
    <w:rsid w:val="00970576"/>
    <w:rsid w:val="0097334C"/>
    <w:rsid w:val="00973D94"/>
    <w:rsid w:val="00974328"/>
    <w:rsid w:val="00974839"/>
    <w:rsid w:val="00975FC3"/>
    <w:rsid w:val="00976A6E"/>
    <w:rsid w:val="00976E29"/>
    <w:rsid w:val="00982909"/>
    <w:rsid w:val="009836D7"/>
    <w:rsid w:val="00984311"/>
    <w:rsid w:val="009873E9"/>
    <w:rsid w:val="009874C9"/>
    <w:rsid w:val="009875A9"/>
    <w:rsid w:val="00990278"/>
    <w:rsid w:val="00990391"/>
    <w:rsid w:val="00991844"/>
    <w:rsid w:val="00991C55"/>
    <w:rsid w:val="009926D4"/>
    <w:rsid w:val="00993AEB"/>
    <w:rsid w:val="0099724A"/>
    <w:rsid w:val="00997CF1"/>
    <w:rsid w:val="009A2154"/>
    <w:rsid w:val="009A4032"/>
    <w:rsid w:val="009A5009"/>
    <w:rsid w:val="009A54F7"/>
    <w:rsid w:val="009A776F"/>
    <w:rsid w:val="009A77B9"/>
    <w:rsid w:val="009B07FC"/>
    <w:rsid w:val="009B35AA"/>
    <w:rsid w:val="009B525B"/>
    <w:rsid w:val="009B6AC7"/>
    <w:rsid w:val="009B713F"/>
    <w:rsid w:val="009C000B"/>
    <w:rsid w:val="009C0561"/>
    <w:rsid w:val="009C0C02"/>
    <w:rsid w:val="009C1507"/>
    <w:rsid w:val="009C2942"/>
    <w:rsid w:val="009C3304"/>
    <w:rsid w:val="009C466F"/>
    <w:rsid w:val="009C64F0"/>
    <w:rsid w:val="009C7A4B"/>
    <w:rsid w:val="009D597E"/>
    <w:rsid w:val="009E2B98"/>
    <w:rsid w:val="009E59E1"/>
    <w:rsid w:val="009F1375"/>
    <w:rsid w:val="009F352E"/>
    <w:rsid w:val="009F3A07"/>
    <w:rsid w:val="009F6013"/>
    <w:rsid w:val="009F64D9"/>
    <w:rsid w:val="00A00405"/>
    <w:rsid w:val="00A0098A"/>
    <w:rsid w:val="00A021D5"/>
    <w:rsid w:val="00A05555"/>
    <w:rsid w:val="00A05A8E"/>
    <w:rsid w:val="00A07E3D"/>
    <w:rsid w:val="00A108B0"/>
    <w:rsid w:val="00A10964"/>
    <w:rsid w:val="00A14684"/>
    <w:rsid w:val="00A14B3F"/>
    <w:rsid w:val="00A15ED3"/>
    <w:rsid w:val="00A166AA"/>
    <w:rsid w:val="00A232CC"/>
    <w:rsid w:val="00A2545F"/>
    <w:rsid w:val="00A27D92"/>
    <w:rsid w:val="00A346E3"/>
    <w:rsid w:val="00A3758C"/>
    <w:rsid w:val="00A40004"/>
    <w:rsid w:val="00A4121C"/>
    <w:rsid w:val="00A42CCD"/>
    <w:rsid w:val="00A42F4D"/>
    <w:rsid w:val="00A44B85"/>
    <w:rsid w:val="00A50580"/>
    <w:rsid w:val="00A52403"/>
    <w:rsid w:val="00A526D8"/>
    <w:rsid w:val="00A52FAA"/>
    <w:rsid w:val="00A54045"/>
    <w:rsid w:val="00A5473F"/>
    <w:rsid w:val="00A56556"/>
    <w:rsid w:val="00A5707F"/>
    <w:rsid w:val="00A57A03"/>
    <w:rsid w:val="00A600AD"/>
    <w:rsid w:val="00A62CDB"/>
    <w:rsid w:val="00A636A5"/>
    <w:rsid w:val="00A64222"/>
    <w:rsid w:val="00A64A05"/>
    <w:rsid w:val="00A66C1A"/>
    <w:rsid w:val="00A70E07"/>
    <w:rsid w:val="00A7447E"/>
    <w:rsid w:val="00A74B81"/>
    <w:rsid w:val="00A8259B"/>
    <w:rsid w:val="00A82887"/>
    <w:rsid w:val="00A82C33"/>
    <w:rsid w:val="00A853C5"/>
    <w:rsid w:val="00A8625B"/>
    <w:rsid w:val="00A90103"/>
    <w:rsid w:val="00A9079E"/>
    <w:rsid w:val="00A9080E"/>
    <w:rsid w:val="00A910F6"/>
    <w:rsid w:val="00A92027"/>
    <w:rsid w:val="00A9234D"/>
    <w:rsid w:val="00A94F02"/>
    <w:rsid w:val="00A97179"/>
    <w:rsid w:val="00A973F1"/>
    <w:rsid w:val="00A97903"/>
    <w:rsid w:val="00AA11D5"/>
    <w:rsid w:val="00AA2066"/>
    <w:rsid w:val="00AA31BB"/>
    <w:rsid w:val="00AA3853"/>
    <w:rsid w:val="00AA41EC"/>
    <w:rsid w:val="00AA45D3"/>
    <w:rsid w:val="00AB1D61"/>
    <w:rsid w:val="00AB2D47"/>
    <w:rsid w:val="00AB6B92"/>
    <w:rsid w:val="00AB74C3"/>
    <w:rsid w:val="00AC13D7"/>
    <w:rsid w:val="00AC3B55"/>
    <w:rsid w:val="00AC4AE8"/>
    <w:rsid w:val="00AC513C"/>
    <w:rsid w:val="00AC6196"/>
    <w:rsid w:val="00AD04C1"/>
    <w:rsid w:val="00AD05AD"/>
    <w:rsid w:val="00AD073D"/>
    <w:rsid w:val="00AD34AC"/>
    <w:rsid w:val="00AD4C32"/>
    <w:rsid w:val="00AD62D9"/>
    <w:rsid w:val="00AE0EBF"/>
    <w:rsid w:val="00AE10EC"/>
    <w:rsid w:val="00AE648C"/>
    <w:rsid w:val="00AE7084"/>
    <w:rsid w:val="00AE74EC"/>
    <w:rsid w:val="00AF0081"/>
    <w:rsid w:val="00AF0733"/>
    <w:rsid w:val="00AF0EA8"/>
    <w:rsid w:val="00AF2462"/>
    <w:rsid w:val="00AF3C90"/>
    <w:rsid w:val="00AF4239"/>
    <w:rsid w:val="00AF47D0"/>
    <w:rsid w:val="00AF4E8D"/>
    <w:rsid w:val="00AF5438"/>
    <w:rsid w:val="00AF58DF"/>
    <w:rsid w:val="00AF5906"/>
    <w:rsid w:val="00AF7F04"/>
    <w:rsid w:val="00B0712A"/>
    <w:rsid w:val="00B10E28"/>
    <w:rsid w:val="00B11277"/>
    <w:rsid w:val="00B1233C"/>
    <w:rsid w:val="00B13BDD"/>
    <w:rsid w:val="00B144EE"/>
    <w:rsid w:val="00B16AB5"/>
    <w:rsid w:val="00B170D8"/>
    <w:rsid w:val="00B17FCC"/>
    <w:rsid w:val="00B21DBF"/>
    <w:rsid w:val="00B23AAA"/>
    <w:rsid w:val="00B23B62"/>
    <w:rsid w:val="00B23BD9"/>
    <w:rsid w:val="00B23FC0"/>
    <w:rsid w:val="00B249B5"/>
    <w:rsid w:val="00B26696"/>
    <w:rsid w:val="00B26DC1"/>
    <w:rsid w:val="00B30B2C"/>
    <w:rsid w:val="00B316B6"/>
    <w:rsid w:val="00B32EC4"/>
    <w:rsid w:val="00B33DB0"/>
    <w:rsid w:val="00B3545A"/>
    <w:rsid w:val="00B36285"/>
    <w:rsid w:val="00B3704F"/>
    <w:rsid w:val="00B41D4E"/>
    <w:rsid w:val="00B42A76"/>
    <w:rsid w:val="00B45404"/>
    <w:rsid w:val="00B46885"/>
    <w:rsid w:val="00B46897"/>
    <w:rsid w:val="00B46C21"/>
    <w:rsid w:val="00B50406"/>
    <w:rsid w:val="00B51189"/>
    <w:rsid w:val="00B52CF9"/>
    <w:rsid w:val="00B53E82"/>
    <w:rsid w:val="00B56FCB"/>
    <w:rsid w:val="00B60720"/>
    <w:rsid w:val="00B62F84"/>
    <w:rsid w:val="00B651F5"/>
    <w:rsid w:val="00B6538C"/>
    <w:rsid w:val="00B675D8"/>
    <w:rsid w:val="00B67C64"/>
    <w:rsid w:val="00B71B63"/>
    <w:rsid w:val="00B73636"/>
    <w:rsid w:val="00B77AB4"/>
    <w:rsid w:val="00B81695"/>
    <w:rsid w:val="00B81876"/>
    <w:rsid w:val="00B84542"/>
    <w:rsid w:val="00B851A4"/>
    <w:rsid w:val="00B8599C"/>
    <w:rsid w:val="00B870F1"/>
    <w:rsid w:val="00B90655"/>
    <w:rsid w:val="00B91097"/>
    <w:rsid w:val="00B921DD"/>
    <w:rsid w:val="00B92AD7"/>
    <w:rsid w:val="00B9682B"/>
    <w:rsid w:val="00B972D1"/>
    <w:rsid w:val="00BA2057"/>
    <w:rsid w:val="00BA2AC1"/>
    <w:rsid w:val="00BA4AFB"/>
    <w:rsid w:val="00BA501E"/>
    <w:rsid w:val="00BA5D4A"/>
    <w:rsid w:val="00BA5FA4"/>
    <w:rsid w:val="00BA78BF"/>
    <w:rsid w:val="00BB058B"/>
    <w:rsid w:val="00BB260B"/>
    <w:rsid w:val="00BB4B81"/>
    <w:rsid w:val="00BB5F55"/>
    <w:rsid w:val="00BC137B"/>
    <w:rsid w:val="00BC1747"/>
    <w:rsid w:val="00BC239D"/>
    <w:rsid w:val="00BC4528"/>
    <w:rsid w:val="00BD3778"/>
    <w:rsid w:val="00BD6247"/>
    <w:rsid w:val="00BE07CB"/>
    <w:rsid w:val="00BE1C94"/>
    <w:rsid w:val="00BE54D2"/>
    <w:rsid w:val="00BE7DD4"/>
    <w:rsid w:val="00BF1DC6"/>
    <w:rsid w:val="00BF2E0B"/>
    <w:rsid w:val="00BF3329"/>
    <w:rsid w:val="00BF36A1"/>
    <w:rsid w:val="00BF392C"/>
    <w:rsid w:val="00BF547E"/>
    <w:rsid w:val="00BF5A3C"/>
    <w:rsid w:val="00BF5DF8"/>
    <w:rsid w:val="00BF62F3"/>
    <w:rsid w:val="00BF7258"/>
    <w:rsid w:val="00BF7AD6"/>
    <w:rsid w:val="00C00C0F"/>
    <w:rsid w:val="00C010F9"/>
    <w:rsid w:val="00C015D9"/>
    <w:rsid w:val="00C04CAD"/>
    <w:rsid w:val="00C0530E"/>
    <w:rsid w:val="00C05E2B"/>
    <w:rsid w:val="00C0627A"/>
    <w:rsid w:val="00C113F3"/>
    <w:rsid w:val="00C115DC"/>
    <w:rsid w:val="00C152A8"/>
    <w:rsid w:val="00C2109C"/>
    <w:rsid w:val="00C24F9B"/>
    <w:rsid w:val="00C268D1"/>
    <w:rsid w:val="00C27BC1"/>
    <w:rsid w:val="00C32CE3"/>
    <w:rsid w:val="00C34014"/>
    <w:rsid w:val="00C34444"/>
    <w:rsid w:val="00C35543"/>
    <w:rsid w:val="00C35BF2"/>
    <w:rsid w:val="00C3634C"/>
    <w:rsid w:val="00C36BB1"/>
    <w:rsid w:val="00C40BBE"/>
    <w:rsid w:val="00C5113E"/>
    <w:rsid w:val="00C51928"/>
    <w:rsid w:val="00C54FC9"/>
    <w:rsid w:val="00C57243"/>
    <w:rsid w:val="00C574C5"/>
    <w:rsid w:val="00C5773D"/>
    <w:rsid w:val="00C616F3"/>
    <w:rsid w:val="00C62728"/>
    <w:rsid w:val="00C662BF"/>
    <w:rsid w:val="00C67633"/>
    <w:rsid w:val="00C708AC"/>
    <w:rsid w:val="00C72C42"/>
    <w:rsid w:val="00C757DE"/>
    <w:rsid w:val="00C764B5"/>
    <w:rsid w:val="00C829EA"/>
    <w:rsid w:val="00C8348C"/>
    <w:rsid w:val="00C8578B"/>
    <w:rsid w:val="00C86858"/>
    <w:rsid w:val="00C86AED"/>
    <w:rsid w:val="00C8746D"/>
    <w:rsid w:val="00C87D4E"/>
    <w:rsid w:val="00C92646"/>
    <w:rsid w:val="00C92CE8"/>
    <w:rsid w:val="00C94DEA"/>
    <w:rsid w:val="00C95AAC"/>
    <w:rsid w:val="00C97D6B"/>
    <w:rsid w:val="00CA2448"/>
    <w:rsid w:val="00CA32D6"/>
    <w:rsid w:val="00CA7232"/>
    <w:rsid w:val="00CB2D33"/>
    <w:rsid w:val="00CB3E23"/>
    <w:rsid w:val="00CB5C62"/>
    <w:rsid w:val="00CC11E6"/>
    <w:rsid w:val="00CC15E1"/>
    <w:rsid w:val="00CC20CD"/>
    <w:rsid w:val="00CC7E80"/>
    <w:rsid w:val="00CD202A"/>
    <w:rsid w:val="00CD3A4A"/>
    <w:rsid w:val="00CD3CFC"/>
    <w:rsid w:val="00CD48ED"/>
    <w:rsid w:val="00CE0594"/>
    <w:rsid w:val="00CE69A3"/>
    <w:rsid w:val="00CE7798"/>
    <w:rsid w:val="00CF13E7"/>
    <w:rsid w:val="00D023D1"/>
    <w:rsid w:val="00D0367A"/>
    <w:rsid w:val="00D043FA"/>
    <w:rsid w:val="00D06B1F"/>
    <w:rsid w:val="00D07857"/>
    <w:rsid w:val="00D07E5A"/>
    <w:rsid w:val="00D10151"/>
    <w:rsid w:val="00D1026C"/>
    <w:rsid w:val="00D11B12"/>
    <w:rsid w:val="00D17788"/>
    <w:rsid w:val="00D17B7B"/>
    <w:rsid w:val="00D17BB6"/>
    <w:rsid w:val="00D17E55"/>
    <w:rsid w:val="00D24C40"/>
    <w:rsid w:val="00D25097"/>
    <w:rsid w:val="00D27122"/>
    <w:rsid w:val="00D2754D"/>
    <w:rsid w:val="00D27749"/>
    <w:rsid w:val="00D301F7"/>
    <w:rsid w:val="00D30819"/>
    <w:rsid w:val="00D30F46"/>
    <w:rsid w:val="00D32960"/>
    <w:rsid w:val="00D33789"/>
    <w:rsid w:val="00D33D9E"/>
    <w:rsid w:val="00D34A6A"/>
    <w:rsid w:val="00D37DA5"/>
    <w:rsid w:val="00D437F0"/>
    <w:rsid w:val="00D447B1"/>
    <w:rsid w:val="00D44E3C"/>
    <w:rsid w:val="00D460D5"/>
    <w:rsid w:val="00D46552"/>
    <w:rsid w:val="00D50E6E"/>
    <w:rsid w:val="00D52AB3"/>
    <w:rsid w:val="00D57193"/>
    <w:rsid w:val="00D6148B"/>
    <w:rsid w:val="00D61770"/>
    <w:rsid w:val="00D63DFA"/>
    <w:rsid w:val="00D64DF4"/>
    <w:rsid w:val="00D654ED"/>
    <w:rsid w:val="00D66040"/>
    <w:rsid w:val="00D67CA3"/>
    <w:rsid w:val="00D67E77"/>
    <w:rsid w:val="00D71D8F"/>
    <w:rsid w:val="00D71DBE"/>
    <w:rsid w:val="00D7274A"/>
    <w:rsid w:val="00D7368F"/>
    <w:rsid w:val="00D75398"/>
    <w:rsid w:val="00D759BF"/>
    <w:rsid w:val="00D768D3"/>
    <w:rsid w:val="00D774F5"/>
    <w:rsid w:val="00D80D30"/>
    <w:rsid w:val="00D816D2"/>
    <w:rsid w:val="00D82294"/>
    <w:rsid w:val="00D82BBE"/>
    <w:rsid w:val="00D924E3"/>
    <w:rsid w:val="00D93E29"/>
    <w:rsid w:val="00D941B6"/>
    <w:rsid w:val="00D94E66"/>
    <w:rsid w:val="00DA04A2"/>
    <w:rsid w:val="00DA319D"/>
    <w:rsid w:val="00DA339C"/>
    <w:rsid w:val="00DA5235"/>
    <w:rsid w:val="00DA52D1"/>
    <w:rsid w:val="00DA5373"/>
    <w:rsid w:val="00DA633B"/>
    <w:rsid w:val="00DA7F5A"/>
    <w:rsid w:val="00DB4213"/>
    <w:rsid w:val="00DB5B87"/>
    <w:rsid w:val="00DB5CBC"/>
    <w:rsid w:val="00DB72D1"/>
    <w:rsid w:val="00DB75D9"/>
    <w:rsid w:val="00DB7A89"/>
    <w:rsid w:val="00DC115C"/>
    <w:rsid w:val="00DC75FD"/>
    <w:rsid w:val="00DD09C2"/>
    <w:rsid w:val="00DD0A68"/>
    <w:rsid w:val="00DD3052"/>
    <w:rsid w:val="00DD5497"/>
    <w:rsid w:val="00DE08F9"/>
    <w:rsid w:val="00DE29B8"/>
    <w:rsid w:val="00DE2EB6"/>
    <w:rsid w:val="00DE5CC2"/>
    <w:rsid w:val="00DE5EB7"/>
    <w:rsid w:val="00DE60F9"/>
    <w:rsid w:val="00DE7559"/>
    <w:rsid w:val="00DF1325"/>
    <w:rsid w:val="00DF1624"/>
    <w:rsid w:val="00DF2330"/>
    <w:rsid w:val="00DF3C35"/>
    <w:rsid w:val="00DF4506"/>
    <w:rsid w:val="00DF6686"/>
    <w:rsid w:val="00DF6C47"/>
    <w:rsid w:val="00DF7999"/>
    <w:rsid w:val="00E0322E"/>
    <w:rsid w:val="00E048B6"/>
    <w:rsid w:val="00E05372"/>
    <w:rsid w:val="00E0576B"/>
    <w:rsid w:val="00E06045"/>
    <w:rsid w:val="00E06DBE"/>
    <w:rsid w:val="00E103DD"/>
    <w:rsid w:val="00E1091F"/>
    <w:rsid w:val="00E11EE7"/>
    <w:rsid w:val="00E203CD"/>
    <w:rsid w:val="00E21E08"/>
    <w:rsid w:val="00E23396"/>
    <w:rsid w:val="00E23C4E"/>
    <w:rsid w:val="00E25F50"/>
    <w:rsid w:val="00E2770A"/>
    <w:rsid w:val="00E32098"/>
    <w:rsid w:val="00E32319"/>
    <w:rsid w:val="00E32C73"/>
    <w:rsid w:val="00E33780"/>
    <w:rsid w:val="00E37472"/>
    <w:rsid w:val="00E4042A"/>
    <w:rsid w:val="00E424AB"/>
    <w:rsid w:val="00E42D18"/>
    <w:rsid w:val="00E4417D"/>
    <w:rsid w:val="00E47620"/>
    <w:rsid w:val="00E535C9"/>
    <w:rsid w:val="00E5360A"/>
    <w:rsid w:val="00E548C2"/>
    <w:rsid w:val="00E56C2A"/>
    <w:rsid w:val="00E652E7"/>
    <w:rsid w:val="00E67755"/>
    <w:rsid w:val="00E67B23"/>
    <w:rsid w:val="00E70045"/>
    <w:rsid w:val="00E704A6"/>
    <w:rsid w:val="00E70549"/>
    <w:rsid w:val="00E71339"/>
    <w:rsid w:val="00E73857"/>
    <w:rsid w:val="00E74C78"/>
    <w:rsid w:val="00E75935"/>
    <w:rsid w:val="00E75F6C"/>
    <w:rsid w:val="00E810F9"/>
    <w:rsid w:val="00E81639"/>
    <w:rsid w:val="00E840C7"/>
    <w:rsid w:val="00E84DD3"/>
    <w:rsid w:val="00E85381"/>
    <w:rsid w:val="00E856AA"/>
    <w:rsid w:val="00E870BF"/>
    <w:rsid w:val="00E901EA"/>
    <w:rsid w:val="00E905B3"/>
    <w:rsid w:val="00E938AF"/>
    <w:rsid w:val="00E93D8D"/>
    <w:rsid w:val="00E94B1F"/>
    <w:rsid w:val="00E94F40"/>
    <w:rsid w:val="00E96CEB"/>
    <w:rsid w:val="00EA031F"/>
    <w:rsid w:val="00EA362B"/>
    <w:rsid w:val="00EA39A1"/>
    <w:rsid w:val="00EA533A"/>
    <w:rsid w:val="00EA5B0F"/>
    <w:rsid w:val="00EA5EC9"/>
    <w:rsid w:val="00EB0578"/>
    <w:rsid w:val="00EB2662"/>
    <w:rsid w:val="00EB4452"/>
    <w:rsid w:val="00EB4684"/>
    <w:rsid w:val="00EB601D"/>
    <w:rsid w:val="00EC0309"/>
    <w:rsid w:val="00EC04DF"/>
    <w:rsid w:val="00EC210B"/>
    <w:rsid w:val="00EC4E0E"/>
    <w:rsid w:val="00EC54C6"/>
    <w:rsid w:val="00EC6F66"/>
    <w:rsid w:val="00ED02A3"/>
    <w:rsid w:val="00ED3EC8"/>
    <w:rsid w:val="00ED4988"/>
    <w:rsid w:val="00ED50A2"/>
    <w:rsid w:val="00ED5E96"/>
    <w:rsid w:val="00EE1AD5"/>
    <w:rsid w:val="00EE394A"/>
    <w:rsid w:val="00EE4199"/>
    <w:rsid w:val="00EE52F8"/>
    <w:rsid w:val="00EE73E2"/>
    <w:rsid w:val="00EF0B39"/>
    <w:rsid w:val="00EF0CFC"/>
    <w:rsid w:val="00EF2779"/>
    <w:rsid w:val="00EF27F6"/>
    <w:rsid w:val="00EF2AE0"/>
    <w:rsid w:val="00EF2F38"/>
    <w:rsid w:val="00EF343F"/>
    <w:rsid w:val="00EF4EFC"/>
    <w:rsid w:val="00EF54B8"/>
    <w:rsid w:val="00EF56FA"/>
    <w:rsid w:val="00F00CF6"/>
    <w:rsid w:val="00F0307E"/>
    <w:rsid w:val="00F037F1"/>
    <w:rsid w:val="00F040F6"/>
    <w:rsid w:val="00F12C0A"/>
    <w:rsid w:val="00F12ECD"/>
    <w:rsid w:val="00F2124C"/>
    <w:rsid w:val="00F2159B"/>
    <w:rsid w:val="00F224CA"/>
    <w:rsid w:val="00F30375"/>
    <w:rsid w:val="00F31CF7"/>
    <w:rsid w:val="00F374C1"/>
    <w:rsid w:val="00F40AA1"/>
    <w:rsid w:val="00F40D37"/>
    <w:rsid w:val="00F41B22"/>
    <w:rsid w:val="00F41F40"/>
    <w:rsid w:val="00F467AF"/>
    <w:rsid w:val="00F468AC"/>
    <w:rsid w:val="00F46A02"/>
    <w:rsid w:val="00F46D34"/>
    <w:rsid w:val="00F47C07"/>
    <w:rsid w:val="00F51013"/>
    <w:rsid w:val="00F51321"/>
    <w:rsid w:val="00F51C52"/>
    <w:rsid w:val="00F54479"/>
    <w:rsid w:val="00F54A93"/>
    <w:rsid w:val="00F57315"/>
    <w:rsid w:val="00F606F1"/>
    <w:rsid w:val="00F6119D"/>
    <w:rsid w:val="00F625AE"/>
    <w:rsid w:val="00F632C4"/>
    <w:rsid w:val="00F6393F"/>
    <w:rsid w:val="00F63B7E"/>
    <w:rsid w:val="00F65905"/>
    <w:rsid w:val="00F65968"/>
    <w:rsid w:val="00F65EA4"/>
    <w:rsid w:val="00F677CD"/>
    <w:rsid w:val="00F70E20"/>
    <w:rsid w:val="00F71B8C"/>
    <w:rsid w:val="00F777D1"/>
    <w:rsid w:val="00F81D0A"/>
    <w:rsid w:val="00F84C5D"/>
    <w:rsid w:val="00F84DEE"/>
    <w:rsid w:val="00F85008"/>
    <w:rsid w:val="00F859D8"/>
    <w:rsid w:val="00F85E66"/>
    <w:rsid w:val="00F93585"/>
    <w:rsid w:val="00F936D3"/>
    <w:rsid w:val="00F94804"/>
    <w:rsid w:val="00F94BCA"/>
    <w:rsid w:val="00F96AD6"/>
    <w:rsid w:val="00F96D69"/>
    <w:rsid w:val="00FA03C4"/>
    <w:rsid w:val="00FA2612"/>
    <w:rsid w:val="00FA2AE1"/>
    <w:rsid w:val="00FA3CD4"/>
    <w:rsid w:val="00FA5F46"/>
    <w:rsid w:val="00FA6403"/>
    <w:rsid w:val="00FA6F4E"/>
    <w:rsid w:val="00FA785E"/>
    <w:rsid w:val="00FB5E9A"/>
    <w:rsid w:val="00FC09DD"/>
    <w:rsid w:val="00FC1B8E"/>
    <w:rsid w:val="00FC28A3"/>
    <w:rsid w:val="00FC34A0"/>
    <w:rsid w:val="00FC5462"/>
    <w:rsid w:val="00FD2505"/>
    <w:rsid w:val="00FD255A"/>
    <w:rsid w:val="00FD2AFC"/>
    <w:rsid w:val="00FD4E83"/>
    <w:rsid w:val="00FE05B4"/>
    <w:rsid w:val="00FE22B8"/>
    <w:rsid w:val="00FE3F7B"/>
    <w:rsid w:val="00FE57DE"/>
    <w:rsid w:val="00FE583A"/>
    <w:rsid w:val="00FE69B3"/>
    <w:rsid w:val="00FE7D3A"/>
    <w:rsid w:val="00FF11DE"/>
    <w:rsid w:val="00FF1DA6"/>
    <w:rsid w:val="00FF25EB"/>
    <w:rsid w:val="00FF2FF7"/>
    <w:rsid w:val="00FF3640"/>
    <w:rsid w:val="00FF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1DFCE0D"/>
  <w15:docId w15:val="{6BE0DC0B-4141-43F4-8AE3-C95FCB64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2FC"/>
    <w:rPr>
      <w:rFonts w:ascii="Times New Roman" w:eastAsia="Times New Roman" w:hAnsi="Times New Roman" w:cs="Times New Roman"/>
      <w:sz w:val="24"/>
      <w:szCs w:val="24"/>
    </w:rPr>
  </w:style>
  <w:style w:type="paragraph" w:styleId="Heading1">
    <w:name w:val="heading 1"/>
    <w:basedOn w:val="Normal"/>
    <w:next w:val="Normal"/>
    <w:link w:val="Heading1Char"/>
    <w:qFormat/>
    <w:rsid w:val="008772FC"/>
    <w:pPr>
      <w:keepNext/>
      <w:outlineLvl w:val="0"/>
    </w:pPr>
    <w:rPr>
      <w:b/>
      <w:bCs/>
    </w:rPr>
  </w:style>
  <w:style w:type="paragraph" w:styleId="Heading2">
    <w:name w:val="heading 2"/>
    <w:basedOn w:val="Normal"/>
    <w:next w:val="Normal"/>
    <w:link w:val="Heading2Char"/>
    <w:qFormat/>
    <w:rsid w:val="008772FC"/>
    <w:pPr>
      <w:keepNext/>
      <w:numPr>
        <w:ilvl w:val="1"/>
        <w:numId w:val="1"/>
      </w:numPr>
      <w:tabs>
        <w:tab w:val="clear" w:pos="1800"/>
        <w:tab w:val="num" w:pos="720"/>
      </w:tabs>
      <w:ind w:left="720" w:firstLine="0"/>
      <w:outlineLvl w:val="1"/>
    </w:pPr>
    <w:rPr>
      <w:b/>
      <w:bCs/>
    </w:rPr>
  </w:style>
  <w:style w:type="paragraph" w:styleId="Heading3">
    <w:name w:val="heading 3"/>
    <w:basedOn w:val="Normal"/>
    <w:next w:val="Normal"/>
    <w:link w:val="Heading3Char"/>
    <w:unhideWhenUsed/>
    <w:qFormat/>
    <w:rsid w:val="008772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772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772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772F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8772FC"/>
    <w:pPr>
      <w:keepNext/>
      <w:tabs>
        <w:tab w:val="num" w:pos="720"/>
      </w:tabs>
      <w:ind w:left="720" w:right="-720" w:hanging="360"/>
      <w:outlineLvl w:val="6"/>
    </w:pPr>
    <w:rPr>
      <w:rFonts w:ascii="Calibri" w:hAnsi="Calibri" w:cs="Lucida Sans Unicode"/>
      <w:b/>
      <w:bCs/>
      <w:sz w:val="22"/>
      <w:szCs w:val="22"/>
      <w:u w:val="single"/>
    </w:rPr>
  </w:style>
  <w:style w:type="paragraph" w:styleId="Heading8">
    <w:name w:val="heading 8"/>
    <w:basedOn w:val="Normal"/>
    <w:next w:val="Normal"/>
    <w:link w:val="Heading8Char"/>
    <w:unhideWhenUsed/>
    <w:qFormat/>
    <w:rsid w:val="008772F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772F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2F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772F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772F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8772F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8772F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8772F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8772FC"/>
    <w:rPr>
      <w:rFonts w:ascii="Calibri" w:eastAsia="Times New Roman" w:hAnsi="Calibri" w:cs="Lucida Sans Unicode"/>
      <w:b/>
      <w:bCs/>
      <w:u w:val="single"/>
    </w:rPr>
  </w:style>
  <w:style w:type="character" w:customStyle="1" w:styleId="Heading8Char">
    <w:name w:val="Heading 8 Char"/>
    <w:basedOn w:val="DefaultParagraphFont"/>
    <w:link w:val="Heading8"/>
    <w:rsid w:val="008772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772FC"/>
    <w:rPr>
      <w:rFonts w:asciiTheme="majorHAnsi" w:eastAsiaTheme="majorEastAsia" w:hAnsiTheme="majorHAnsi" w:cstheme="majorBidi"/>
      <w:i/>
      <w:iCs/>
      <w:color w:val="404040" w:themeColor="text1" w:themeTint="BF"/>
      <w:sz w:val="20"/>
      <w:szCs w:val="20"/>
    </w:rPr>
  </w:style>
  <w:style w:type="character" w:styleId="FootnoteReference">
    <w:name w:val="footnote reference"/>
    <w:rsid w:val="008772FC"/>
    <w:rPr>
      <w:vertAlign w:val="superscript"/>
    </w:rPr>
  </w:style>
  <w:style w:type="paragraph" w:styleId="FootnoteText">
    <w:name w:val="footnote text"/>
    <w:basedOn w:val="Normal"/>
    <w:link w:val="FootnoteTextChar"/>
    <w:rsid w:val="008772FC"/>
    <w:rPr>
      <w:sz w:val="20"/>
      <w:szCs w:val="20"/>
    </w:rPr>
  </w:style>
  <w:style w:type="character" w:customStyle="1" w:styleId="FootnoteTextChar">
    <w:name w:val="Footnote Text Char"/>
    <w:basedOn w:val="DefaultParagraphFont"/>
    <w:link w:val="FootnoteText"/>
    <w:rsid w:val="008772FC"/>
    <w:rPr>
      <w:rFonts w:ascii="Times New Roman" w:eastAsia="Times New Roman" w:hAnsi="Times New Roman" w:cs="Times New Roman"/>
      <w:sz w:val="20"/>
      <w:szCs w:val="20"/>
    </w:rPr>
  </w:style>
  <w:style w:type="paragraph" w:styleId="BodyText2">
    <w:name w:val="Body Text 2"/>
    <w:basedOn w:val="Normal"/>
    <w:link w:val="BodyText2Char"/>
    <w:unhideWhenUsed/>
    <w:rsid w:val="008772FC"/>
    <w:pPr>
      <w:spacing w:after="120" w:line="480" w:lineRule="auto"/>
    </w:pPr>
  </w:style>
  <w:style w:type="character" w:customStyle="1" w:styleId="BodyText2Char">
    <w:name w:val="Body Text 2 Char"/>
    <w:basedOn w:val="DefaultParagraphFont"/>
    <w:link w:val="BodyText2"/>
    <w:rsid w:val="008772FC"/>
    <w:rPr>
      <w:rFonts w:ascii="Times New Roman" w:eastAsia="Times New Roman" w:hAnsi="Times New Roman" w:cs="Times New Roman"/>
      <w:sz w:val="24"/>
      <w:szCs w:val="24"/>
    </w:rPr>
  </w:style>
  <w:style w:type="paragraph" w:styleId="Title">
    <w:name w:val="Title"/>
    <w:basedOn w:val="Normal"/>
    <w:link w:val="TitleChar"/>
    <w:uiPriority w:val="1"/>
    <w:qFormat/>
    <w:rsid w:val="008772FC"/>
    <w:pPr>
      <w:jc w:val="center"/>
    </w:pPr>
    <w:rPr>
      <w:b/>
      <w:bCs/>
      <w:sz w:val="28"/>
    </w:rPr>
  </w:style>
  <w:style w:type="character" w:customStyle="1" w:styleId="TitleChar">
    <w:name w:val="Title Char"/>
    <w:basedOn w:val="DefaultParagraphFont"/>
    <w:link w:val="Title"/>
    <w:uiPriority w:val="1"/>
    <w:rsid w:val="008772FC"/>
    <w:rPr>
      <w:rFonts w:ascii="Times New Roman" w:eastAsia="Times New Roman" w:hAnsi="Times New Roman" w:cs="Times New Roman"/>
      <w:b/>
      <w:bCs/>
      <w:sz w:val="28"/>
      <w:szCs w:val="24"/>
    </w:rPr>
  </w:style>
  <w:style w:type="paragraph" w:styleId="BalloonText">
    <w:name w:val="Balloon Text"/>
    <w:basedOn w:val="Normal"/>
    <w:link w:val="BalloonTextChar"/>
    <w:uiPriority w:val="99"/>
    <w:unhideWhenUsed/>
    <w:rsid w:val="008772FC"/>
    <w:rPr>
      <w:rFonts w:ascii="Tahoma" w:hAnsi="Tahoma" w:cs="Tahoma"/>
      <w:sz w:val="16"/>
      <w:szCs w:val="16"/>
    </w:rPr>
  </w:style>
  <w:style w:type="character" w:customStyle="1" w:styleId="BalloonTextChar">
    <w:name w:val="Balloon Text Char"/>
    <w:basedOn w:val="DefaultParagraphFont"/>
    <w:link w:val="BalloonText"/>
    <w:uiPriority w:val="99"/>
    <w:rsid w:val="008772FC"/>
    <w:rPr>
      <w:rFonts w:ascii="Tahoma" w:eastAsia="Times New Roman" w:hAnsi="Tahoma" w:cs="Tahoma"/>
      <w:sz w:val="16"/>
      <w:szCs w:val="16"/>
    </w:rPr>
  </w:style>
  <w:style w:type="paragraph" w:styleId="ListParagraph">
    <w:name w:val="List Paragraph"/>
    <w:basedOn w:val="Normal"/>
    <w:uiPriority w:val="34"/>
    <w:qFormat/>
    <w:rsid w:val="008772FC"/>
    <w:pPr>
      <w:ind w:left="720"/>
      <w:contextualSpacing/>
    </w:pPr>
  </w:style>
  <w:style w:type="paragraph" w:styleId="Header">
    <w:name w:val="header"/>
    <w:basedOn w:val="Normal"/>
    <w:link w:val="HeaderChar"/>
    <w:uiPriority w:val="99"/>
    <w:unhideWhenUsed/>
    <w:rsid w:val="008772FC"/>
    <w:pPr>
      <w:tabs>
        <w:tab w:val="center" w:pos="4680"/>
        <w:tab w:val="right" w:pos="9360"/>
      </w:tabs>
    </w:pPr>
  </w:style>
  <w:style w:type="character" w:customStyle="1" w:styleId="HeaderChar">
    <w:name w:val="Header Char"/>
    <w:basedOn w:val="DefaultParagraphFont"/>
    <w:link w:val="Header"/>
    <w:uiPriority w:val="99"/>
    <w:rsid w:val="008772FC"/>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8772FC"/>
    <w:pPr>
      <w:spacing w:after="120" w:line="480" w:lineRule="auto"/>
      <w:ind w:left="360"/>
    </w:pPr>
  </w:style>
  <w:style w:type="character" w:customStyle="1" w:styleId="BodyTextIndent2Char">
    <w:name w:val="Body Text Indent 2 Char"/>
    <w:basedOn w:val="DefaultParagraphFont"/>
    <w:link w:val="BodyTextIndent2"/>
    <w:rsid w:val="008772FC"/>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8772FC"/>
    <w:pPr>
      <w:tabs>
        <w:tab w:val="center" w:pos="4680"/>
        <w:tab w:val="right" w:pos="9360"/>
      </w:tabs>
    </w:pPr>
  </w:style>
  <w:style w:type="character" w:customStyle="1" w:styleId="FooterChar">
    <w:name w:val="Footer Char"/>
    <w:basedOn w:val="DefaultParagraphFont"/>
    <w:link w:val="Footer"/>
    <w:uiPriority w:val="99"/>
    <w:rsid w:val="008772FC"/>
    <w:rPr>
      <w:rFonts w:ascii="Times New Roman" w:eastAsia="Times New Roman" w:hAnsi="Times New Roman" w:cs="Times New Roman"/>
      <w:sz w:val="24"/>
      <w:szCs w:val="24"/>
    </w:rPr>
  </w:style>
  <w:style w:type="paragraph" w:styleId="BodyText">
    <w:name w:val="Body Text"/>
    <w:aliases w:val="Personal Letter"/>
    <w:basedOn w:val="Normal"/>
    <w:link w:val="BodyTextChar"/>
    <w:unhideWhenUsed/>
    <w:rsid w:val="008772FC"/>
    <w:pPr>
      <w:spacing w:after="120"/>
    </w:pPr>
  </w:style>
  <w:style w:type="character" w:customStyle="1" w:styleId="BodyTextChar">
    <w:name w:val="Body Text Char"/>
    <w:aliases w:val="Personal Letter Char"/>
    <w:basedOn w:val="DefaultParagraphFont"/>
    <w:link w:val="BodyText"/>
    <w:rsid w:val="008772FC"/>
    <w:rPr>
      <w:rFonts w:ascii="Times New Roman" w:eastAsia="Times New Roman" w:hAnsi="Times New Roman" w:cs="Times New Roman"/>
      <w:sz w:val="24"/>
      <w:szCs w:val="24"/>
    </w:rPr>
  </w:style>
  <w:style w:type="paragraph" w:styleId="BodyText3">
    <w:name w:val="Body Text 3"/>
    <w:basedOn w:val="Normal"/>
    <w:link w:val="BodyText3Char"/>
    <w:unhideWhenUsed/>
    <w:rsid w:val="008772FC"/>
    <w:pPr>
      <w:spacing w:after="120"/>
    </w:pPr>
    <w:rPr>
      <w:sz w:val="16"/>
      <w:szCs w:val="16"/>
    </w:rPr>
  </w:style>
  <w:style w:type="character" w:customStyle="1" w:styleId="BodyText3Char">
    <w:name w:val="Body Text 3 Char"/>
    <w:basedOn w:val="DefaultParagraphFont"/>
    <w:link w:val="BodyText3"/>
    <w:rsid w:val="008772FC"/>
    <w:rPr>
      <w:rFonts w:ascii="Times New Roman" w:eastAsia="Times New Roman" w:hAnsi="Times New Roman" w:cs="Times New Roman"/>
      <w:sz w:val="16"/>
      <w:szCs w:val="16"/>
    </w:rPr>
  </w:style>
  <w:style w:type="paragraph" w:styleId="CommentText">
    <w:name w:val="annotation text"/>
    <w:basedOn w:val="Normal"/>
    <w:link w:val="CommentTextChar"/>
    <w:rsid w:val="008772FC"/>
    <w:pPr>
      <w:spacing w:line="360" w:lineRule="auto"/>
    </w:pPr>
    <w:rPr>
      <w:rFonts w:ascii="Verdana" w:hAnsi="Verdana"/>
      <w:sz w:val="22"/>
    </w:rPr>
  </w:style>
  <w:style w:type="character" w:customStyle="1" w:styleId="CommentTextChar">
    <w:name w:val="Comment Text Char"/>
    <w:basedOn w:val="DefaultParagraphFont"/>
    <w:link w:val="CommentText"/>
    <w:rsid w:val="008772FC"/>
    <w:rPr>
      <w:rFonts w:ascii="Verdana" w:eastAsia="Times New Roman" w:hAnsi="Verdana" w:cs="Times New Roman"/>
      <w:szCs w:val="24"/>
    </w:rPr>
  </w:style>
  <w:style w:type="paragraph" w:styleId="BodyTextIndent3">
    <w:name w:val="Body Text Indent 3"/>
    <w:basedOn w:val="Normal"/>
    <w:link w:val="BodyTextIndent3Char"/>
    <w:unhideWhenUsed/>
    <w:rsid w:val="008772FC"/>
    <w:pPr>
      <w:spacing w:after="120"/>
      <w:ind w:left="360"/>
    </w:pPr>
    <w:rPr>
      <w:sz w:val="16"/>
      <w:szCs w:val="16"/>
    </w:rPr>
  </w:style>
  <w:style w:type="character" w:customStyle="1" w:styleId="BodyTextIndent3Char">
    <w:name w:val="Body Text Indent 3 Char"/>
    <w:basedOn w:val="DefaultParagraphFont"/>
    <w:link w:val="BodyTextIndent3"/>
    <w:rsid w:val="008772FC"/>
    <w:rPr>
      <w:rFonts w:ascii="Times New Roman" w:eastAsia="Times New Roman" w:hAnsi="Times New Roman" w:cs="Times New Roman"/>
      <w:sz w:val="16"/>
      <w:szCs w:val="16"/>
    </w:rPr>
  </w:style>
  <w:style w:type="paragraph" w:styleId="BlockText">
    <w:name w:val="Block Text"/>
    <w:basedOn w:val="Normal"/>
    <w:rsid w:val="008772FC"/>
    <w:pPr>
      <w:tabs>
        <w:tab w:val="num" w:pos="720"/>
      </w:tabs>
      <w:ind w:left="720" w:right="-720" w:hanging="360"/>
    </w:pPr>
  </w:style>
  <w:style w:type="table" w:styleId="TableGrid">
    <w:name w:val="Table Grid"/>
    <w:basedOn w:val="TableNormal"/>
    <w:uiPriority w:val="59"/>
    <w:rsid w:val="00877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Personal letter"/>
    <w:basedOn w:val="Normal"/>
    <w:link w:val="BodyTextIndentChar"/>
    <w:unhideWhenUsed/>
    <w:rsid w:val="008772FC"/>
    <w:pPr>
      <w:spacing w:after="120"/>
      <w:ind w:left="360"/>
    </w:pPr>
  </w:style>
  <w:style w:type="character" w:customStyle="1" w:styleId="BodyTextIndentChar">
    <w:name w:val="Body Text Indent Char"/>
    <w:aliases w:val="Personal letter Char"/>
    <w:basedOn w:val="DefaultParagraphFont"/>
    <w:link w:val="BodyTextIndent"/>
    <w:rsid w:val="008772FC"/>
    <w:rPr>
      <w:rFonts w:ascii="Times New Roman" w:eastAsia="Times New Roman" w:hAnsi="Times New Roman" w:cs="Times New Roman"/>
      <w:sz w:val="24"/>
      <w:szCs w:val="24"/>
    </w:rPr>
  </w:style>
  <w:style w:type="paragraph" w:styleId="NormalWeb">
    <w:name w:val="Normal (Web)"/>
    <w:basedOn w:val="Normal"/>
    <w:uiPriority w:val="99"/>
    <w:rsid w:val="008772FC"/>
    <w:pPr>
      <w:spacing w:after="240"/>
    </w:pPr>
    <w:rPr>
      <w:rFonts w:eastAsia="Calibri"/>
    </w:rPr>
  </w:style>
  <w:style w:type="paragraph" w:styleId="Subtitle">
    <w:name w:val="Subtitle"/>
    <w:basedOn w:val="Normal"/>
    <w:link w:val="SubtitleChar"/>
    <w:qFormat/>
    <w:rsid w:val="008772FC"/>
    <w:pPr>
      <w:jc w:val="center"/>
    </w:pPr>
    <w:rPr>
      <w:rFonts w:ascii="Calibri" w:hAnsi="Calibri"/>
      <w:b/>
      <w:bCs/>
      <w:sz w:val="32"/>
    </w:rPr>
  </w:style>
  <w:style w:type="character" w:customStyle="1" w:styleId="SubtitleChar">
    <w:name w:val="Subtitle Char"/>
    <w:basedOn w:val="DefaultParagraphFont"/>
    <w:link w:val="Subtitle"/>
    <w:rsid w:val="008772FC"/>
    <w:rPr>
      <w:rFonts w:ascii="Calibri" w:eastAsia="Times New Roman" w:hAnsi="Calibri" w:cs="Times New Roman"/>
      <w:b/>
      <w:bCs/>
      <w:sz w:val="32"/>
      <w:szCs w:val="24"/>
    </w:rPr>
  </w:style>
  <w:style w:type="paragraph" w:styleId="ListBullet">
    <w:name w:val="List Bullet"/>
    <w:basedOn w:val="List"/>
    <w:autoRedefine/>
    <w:semiHidden/>
    <w:rsid w:val="008772FC"/>
    <w:pPr>
      <w:numPr>
        <w:numId w:val="3"/>
      </w:numPr>
      <w:tabs>
        <w:tab w:val="clear" w:pos="1440"/>
      </w:tabs>
    </w:pPr>
  </w:style>
  <w:style w:type="paragraph" w:styleId="List">
    <w:name w:val="List"/>
    <w:basedOn w:val="BodyText"/>
    <w:semiHidden/>
    <w:rsid w:val="008772FC"/>
    <w:pPr>
      <w:spacing w:after="240" w:line="240" w:lineRule="atLeast"/>
      <w:ind w:left="1440" w:hanging="360"/>
      <w:jc w:val="both"/>
    </w:pPr>
    <w:rPr>
      <w:rFonts w:ascii="Arial" w:hAnsi="Arial"/>
      <w:spacing w:val="-5"/>
      <w:sz w:val="20"/>
      <w:szCs w:val="20"/>
    </w:rPr>
  </w:style>
  <w:style w:type="paragraph" w:styleId="ListNumber">
    <w:name w:val="List Number"/>
    <w:basedOn w:val="List"/>
    <w:semiHidden/>
    <w:rsid w:val="008772FC"/>
    <w:pPr>
      <w:numPr>
        <w:numId w:val="4"/>
      </w:numPr>
    </w:pPr>
  </w:style>
  <w:style w:type="paragraph" w:customStyle="1" w:styleId="cat">
    <w:name w:val="cat"/>
    <w:basedOn w:val="Normal"/>
    <w:rsid w:val="008772FC"/>
    <w:pPr>
      <w:spacing w:before="100" w:beforeAutospacing="1" w:after="100" w:afterAutospacing="1"/>
    </w:pPr>
    <w:rPr>
      <w:rFonts w:ascii="Segoe UI" w:hAnsi="Segoe UI"/>
    </w:rPr>
  </w:style>
  <w:style w:type="paragraph" w:customStyle="1" w:styleId="HeaderEven">
    <w:name w:val="Header Even"/>
    <w:basedOn w:val="Header"/>
    <w:rsid w:val="008772FC"/>
    <w:pPr>
      <w:keepLines/>
      <w:pBdr>
        <w:bottom w:val="single" w:sz="6" w:space="1" w:color="auto"/>
      </w:pBdr>
      <w:tabs>
        <w:tab w:val="clear" w:pos="4680"/>
        <w:tab w:val="clear" w:pos="9360"/>
        <w:tab w:val="center" w:pos="4320"/>
        <w:tab w:val="right" w:pos="8640"/>
      </w:tabs>
      <w:spacing w:after="600" w:line="190" w:lineRule="atLeast"/>
      <w:jc w:val="center"/>
    </w:pPr>
    <w:rPr>
      <w:rFonts w:ascii="Arial" w:hAnsi="Arial"/>
      <w:spacing w:val="-5"/>
      <w:sz w:val="20"/>
      <w:szCs w:val="15"/>
    </w:rPr>
  </w:style>
  <w:style w:type="paragraph" w:customStyle="1" w:styleId="Default">
    <w:name w:val="Default"/>
    <w:rsid w:val="008772FC"/>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27">
    <w:name w:val="CM27"/>
    <w:basedOn w:val="Default"/>
    <w:next w:val="Default"/>
    <w:rsid w:val="008772FC"/>
    <w:pPr>
      <w:spacing w:after="248"/>
    </w:pPr>
    <w:rPr>
      <w:color w:val="auto"/>
    </w:rPr>
  </w:style>
  <w:style w:type="paragraph" w:customStyle="1" w:styleId="TOCBase">
    <w:name w:val="TOC Base"/>
    <w:basedOn w:val="Normal"/>
    <w:rsid w:val="008772FC"/>
    <w:pPr>
      <w:tabs>
        <w:tab w:val="right" w:leader="dot" w:pos="6480"/>
      </w:tabs>
      <w:spacing w:after="240" w:line="240" w:lineRule="atLeast"/>
    </w:pPr>
    <w:rPr>
      <w:rFonts w:ascii="Arial" w:hAnsi="Arial"/>
      <w:spacing w:val="-5"/>
      <w:sz w:val="20"/>
      <w:szCs w:val="20"/>
    </w:rPr>
  </w:style>
  <w:style w:type="character" w:styleId="PageNumber">
    <w:name w:val="page number"/>
    <w:basedOn w:val="DefaultParagraphFont"/>
    <w:semiHidden/>
    <w:rsid w:val="008772FC"/>
  </w:style>
  <w:style w:type="paragraph" w:customStyle="1" w:styleId="CM1">
    <w:name w:val="CM1"/>
    <w:basedOn w:val="Default"/>
    <w:next w:val="Default"/>
    <w:rsid w:val="008772FC"/>
    <w:rPr>
      <w:rFonts w:ascii="Arial" w:hAnsi="Arial" w:cs="Arial"/>
      <w:color w:val="auto"/>
    </w:rPr>
  </w:style>
  <w:style w:type="character" w:styleId="Hyperlink">
    <w:name w:val="Hyperlink"/>
    <w:uiPriority w:val="99"/>
    <w:rsid w:val="008772FC"/>
    <w:rPr>
      <w:color w:val="0000FF"/>
      <w:u w:val="single"/>
    </w:rPr>
  </w:style>
  <w:style w:type="paragraph" w:customStyle="1" w:styleId="ecxmsonormal">
    <w:name w:val="ecxmsonormal"/>
    <w:basedOn w:val="Normal"/>
    <w:rsid w:val="008772FC"/>
    <w:pPr>
      <w:spacing w:before="100" w:beforeAutospacing="1" w:after="100" w:afterAutospacing="1"/>
    </w:pPr>
  </w:style>
  <w:style w:type="paragraph" w:styleId="Caption">
    <w:name w:val="caption"/>
    <w:basedOn w:val="Normal"/>
    <w:next w:val="Normal"/>
    <w:qFormat/>
    <w:rsid w:val="008772FC"/>
    <w:pPr>
      <w:jc w:val="both"/>
    </w:pPr>
    <w:rPr>
      <w:b/>
      <w:szCs w:val="20"/>
    </w:rPr>
  </w:style>
  <w:style w:type="paragraph" w:styleId="TOC1">
    <w:name w:val="toc 1"/>
    <w:basedOn w:val="Normal"/>
    <w:next w:val="Normal"/>
    <w:autoRedefine/>
    <w:uiPriority w:val="39"/>
    <w:semiHidden/>
    <w:qFormat/>
    <w:rsid w:val="008772FC"/>
  </w:style>
  <w:style w:type="paragraph" w:styleId="TOC2">
    <w:name w:val="toc 2"/>
    <w:basedOn w:val="Normal"/>
    <w:next w:val="Normal"/>
    <w:autoRedefine/>
    <w:uiPriority w:val="39"/>
    <w:semiHidden/>
    <w:qFormat/>
    <w:rsid w:val="008772FC"/>
    <w:pPr>
      <w:ind w:left="240"/>
    </w:pPr>
  </w:style>
  <w:style w:type="paragraph" w:styleId="TOC8">
    <w:name w:val="toc 8"/>
    <w:basedOn w:val="Normal"/>
    <w:next w:val="Normal"/>
    <w:autoRedefine/>
    <w:semiHidden/>
    <w:rsid w:val="008772FC"/>
    <w:pPr>
      <w:ind w:left="1680"/>
    </w:pPr>
  </w:style>
  <w:style w:type="paragraph" w:styleId="TOC3">
    <w:name w:val="toc 3"/>
    <w:basedOn w:val="Normal"/>
    <w:next w:val="Normal"/>
    <w:autoRedefine/>
    <w:uiPriority w:val="39"/>
    <w:qFormat/>
    <w:rsid w:val="008772FC"/>
    <w:pPr>
      <w:ind w:left="480"/>
    </w:pPr>
  </w:style>
  <w:style w:type="paragraph" w:styleId="TOC6">
    <w:name w:val="toc 6"/>
    <w:basedOn w:val="Normal"/>
    <w:next w:val="Normal"/>
    <w:autoRedefine/>
    <w:semiHidden/>
    <w:rsid w:val="008772FC"/>
    <w:pPr>
      <w:ind w:left="1200"/>
    </w:pPr>
  </w:style>
  <w:style w:type="paragraph" w:styleId="TOC4">
    <w:name w:val="toc 4"/>
    <w:basedOn w:val="Normal"/>
    <w:next w:val="Normal"/>
    <w:autoRedefine/>
    <w:semiHidden/>
    <w:rsid w:val="008772FC"/>
    <w:pPr>
      <w:ind w:left="720"/>
    </w:pPr>
  </w:style>
  <w:style w:type="paragraph" w:styleId="TOC5">
    <w:name w:val="toc 5"/>
    <w:basedOn w:val="Normal"/>
    <w:next w:val="Normal"/>
    <w:autoRedefine/>
    <w:semiHidden/>
    <w:rsid w:val="008772FC"/>
    <w:pPr>
      <w:ind w:left="960"/>
    </w:pPr>
  </w:style>
  <w:style w:type="paragraph" w:styleId="TOC9">
    <w:name w:val="toc 9"/>
    <w:basedOn w:val="Normal"/>
    <w:next w:val="Normal"/>
    <w:autoRedefine/>
    <w:semiHidden/>
    <w:rsid w:val="008772FC"/>
    <w:pPr>
      <w:ind w:left="1920"/>
    </w:pPr>
  </w:style>
  <w:style w:type="paragraph" w:styleId="TOC7">
    <w:name w:val="toc 7"/>
    <w:basedOn w:val="Normal"/>
    <w:next w:val="Normal"/>
    <w:autoRedefine/>
    <w:semiHidden/>
    <w:rsid w:val="008772FC"/>
    <w:pPr>
      <w:ind w:left="1440"/>
    </w:pPr>
  </w:style>
  <w:style w:type="paragraph" w:customStyle="1" w:styleId="ecmsonormal">
    <w:name w:val="ec_msonormal"/>
    <w:basedOn w:val="Normal"/>
    <w:rsid w:val="00B84542"/>
    <w:pPr>
      <w:spacing w:before="100" w:beforeAutospacing="1" w:after="100" w:afterAutospacing="1"/>
    </w:pPr>
  </w:style>
  <w:style w:type="paragraph" w:styleId="TOCHeading">
    <w:name w:val="TOC Heading"/>
    <w:basedOn w:val="Heading1"/>
    <w:next w:val="Normal"/>
    <w:uiPriority w:val="39"/>
    <w:semiHidden/>
    <w:unhideWhenUsed/>
    <w:qFormat/>
    <w:rsid w:val="003533DF"/>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styleId="Strong">
    <w:name w:val="Strong"/>
    <w:basedOn w:val="DefaultParagraphFont"/>
    <w:uiPriority w:val="22"/>
    <w:qFormat/>
    <w:rsid w:val="00650346"/>
    <w:rPr>
      <w:b/>
      <w:bCs/>
    </w:rPr>
  </w:style>
  <w:style w:type="character" w:customStyle="1" w:styleId="fontstyle01">
    <w:name w:val="fontstyle01"/>
    <w:basedOn w:val="DefaultParagraphFont"/>
    <w:rsid w:val="00420362"/>
    <w:rPr>
      <w:rFonts w:ascii="BookAntiqua" w:hAnsi="BookAntiqua" w:hint="default"/>
      <w:b w:val="0"/>
      <w:bCs w:val="0"/>
      <w:i w:val="0"/>
      <w:iCs w:val="0"/>
      <w:color w:val="000000"/>
      <w:sz w:val="18"/>
      <w:szCs w:val="18"/>
    </w:rPr>
  </w:style>
  <w:style w:type="paragraph" w:customStyle="1" w:styleId="EO418-2">
    <w:name w:val="EO418-2"/>
    <w:basedOn w:val="Normal"/>
    <w:rsid w:val="00DA633B"/>
    <w:rPr>
      <w:b/>
      <w:sz w:val="28"/>
      <w:szCs w:val="20"/>
      <w:u w:val="single"/>
    </w:rPr>
  </w:style>
  <w:style w:type="character" w:customStyle="1" w:styleId="EndnoteTextChar">
    <w:name w:val="Endnote Text Char"/>
    <w:basedOn w:val="DefaultParagraphFont"/>
    <w:link w:val="EndnoteText"/>
    <w:semiHidden/>
    <w:rsid w:val="00DA633B"/>
    <w:rPr>
      <w:rFonts w:ascii="Times New Roman" w:eastAsia="Times New Roman" w:hAnsi="Times New Roman" w:cs="Times New Roman"/>
      <w:sz w:val="20"/>
      <w:szCs w:val="20"/>
    </w:rPr>
  </w:style>
  <w:style w:type="paragraph" w:styleId="EndnoteText">
    <w:name w:val="endnote text"/>
    <w:basedOn w:val="Normal"/>
    <w:link w:val="EndnoteTextChar"/>
    <w:semiHidden/>
    <w:rsid w:val="00DA633B"/>
    <w:rPr>
      <w:sz w:val="20"/>
      <w:szCs w:val="20"/>
    </w:rPr>
  </w:style>
  <w:style w:type="paragraph" w:customStyle="1" w:styleId="WP9BodyTex">
    <w:name w:val="WP9_Body Tex"/>
    <w:basedOn w:val="Normal"/>
    <w:rsid w:val="00DA633B"/>
    <w:pPr>
      <w:widowControl w:val="0"/>
    </w:pPr>
    <w:rPr>
      <w:sz w:val="20"/>
      <w:szCs w:val="20"/>
    </w:rPr>
  </w:style>
  <w:style w:type="character" w:styleId="CommentReference">
    <w:name w:val="annotation reference"/>
    <w:basedOn w:val="DefaultParagraphFont"/>
    <w:uiPriority w:val="99"/>
    <w:semiHidden/>
    <w:unhideWhenUsed/>
    <w:rsid w:val="002019EC"/>
    <w:rPr>
      <w:sz w:val="16"/>
      <w:szCs w:val="16"/>
    </w:rPr>
  </w:style>
  <w:style w:type="paragraph" w:styleId="CommentSubject">
    <w:name w:val="annotation subject"/>
    <w:basedOn w:val="CommentText"/>
    <w:next w:val="CommentText"/>
    <w:link w:val="CommentSubjectChar"/>
    <w:uiPriority w:val="99"/>
    <w:semiHidden/>
    <w:unhideWhenUsed/>
    <w:rsid w:val="002019EC"/>
    <w:pPr>
      <w:spacing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2019EC"/>
    <w:rPr>
      <w:rFonts w:ascii="Times New Roman" w:eastAsia="Times New Roman" w:hAnsi="Times New Roman" w:cs="Times New Roman"/>
      <w:b/>
      <w:bCs/>
      <w:sz w:val="20"/>
      <w:szCs w:val="20"/>
    </w:rPr>
  </w:style>
  <w:style w:type="paragraph" w:styleId="Revision">
    <w:name w:val="Revision"/>
    <w:hidden/>
    <w:uiPriority w:val="99"/>
    <w:semiHidden/>
    <w:rsid w:val="002019EC"/>
    <w:rPr>
      <w:rFonts w:ascii="Times New Roman" w:eastAsia="Times New Roman" w:hAnsi="Times New Roman" w:cs="Times New Roman"/>
      <w:sz w:val="24"/>
      <w:szCs w:val="24"/>
    </w:rPr>
  </w:style>
  <w:style w:type="character" w:styleId="Emphasis">
    <w:name w:val="Emphasis"/>
    <w:qFormat/>
    <w:rsid w:val="00DE29B8"/>
    <w:rPr>
      <w:i/>
      <w:iCs/>
    </w:rPr>
  </w:style>
  <w:style w:type="paragraph" w:customStyle="1" w:styleId="xmsonormal">
    <w:name w:val="x_msonormal"/>
    <w:basedOn w:val="Normal"/>
    <w:rsid w:val="00DE29B8"/>
    <w:pPr>
      <w:spacing w:before="100" w:beforeAutospacing="1" w:after="100" w:afterAutospacing="1"/>
    </w:pPr>
  </w:style>
  <w:style w:type="paragraph" w:customStyle="1" w:styleId="CM57">
    <w:name w:val="CM57"/>
    <w:basedOn w:val="Normal"/>
    <w:next w:val="Normal"/>
    <w:rsid w:val="0079278A"/>
    <w:pPr>
      <w:widowControl w:val="0"/>
      <w:autoSpaceDE w:val="0"/>
      <w:autoSpaceDN w:val="0"/>
      <w:adjustRightInd w:val="0"/>
      <w:spacing w:after="243"/>
    </w:pPr>
    <w:rPr>
      <w:rFonts w:ascii="Arial" w:hAnsi="Arial" w:cs="Arial"/>
    </w:rPr>
  </w:style>
  <w:style w:type="paragraph" w:customStyle="1" w:styleId="CM12">
    <w:name w:val="CM12"/>
    <w:basedOn w:val="Default"/>
    <w:next w:val="Default"/>
    <w:rsid w:val="0079278A"/>
    <w:pPr>
      <w:spacing w:line="253"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1012">
      <w:bodyDiv w:val="1"/>
      <w:marLeft w:val="0"/>
      <w:marRight w:val="0"/>
      <w:marTop w:val="0"/>
      <w:marBottom w:val="0"/>
      <w:divBdr>
        <w:top w:val="none" w:sz="0" w:space="0" w:color="auto"/>
        <w:left w:val="none" w:sz="0" w:space="0" w:color="auto"/>
        <w:bottom w:val="none" w:sz="0" w:space="0" w:color="auto"/>
        <w:right w:val="none" w:sz="0" w:space="0" w:color="auto"/>
      </w:divBdr>
      <w:divsChild>
        <w:div w:id="1913464832">
          <w:marLeft w:val="144"/>
          <w:marRight w:val="0"/>
          <w:marTop w:val="24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9.emf"/><Relationship Id="rId35" Type="http://schemas.openxmlformats.org/officeDocument/2006/relationships/hyperlink" Target="mailto:rieko.hayashi@state.ma.u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ass.gov/dhc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en\Documents\Needham\Median%20income%20and%20house%20val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Needham\pop%20growt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ren\Documents\Needham\age%20di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need-file\dept$\Planning%20&amp;%20Development\Karen\Housing%20Plan\pop%20projections%20compariso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ren\Documents\Needham\income.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en\Documents\Needham\Units%20in%20STructure%20rev.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ren\Documents\Needham\median%20house%20values%202021%20revised%202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ren\Documents\Needham\Assessed%20Values%20rev.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Figure I-1: Median</a:t>
            </a:r>
            <a:r>
              <a:rPr lang="en-US" sz="1100" b="1" baseline="0">
                <a:solidFill>
                  <a:sysClr val="windowText" lastClr="000000"/>
                </a:solidFill>
              </a:rPr>
              <a:t> Household Income and Median Owner-occupied Unit Value, 1990 - 2019 </a:t>
            </a:r>
            <a:r>
              <a:rPr lang="en-US" sz="1100" b="1">
                <a:solidFill>
                  <a:sysClr val="windowText" lastClr="000000"/>
                </a:solidFill>
              </a:rPr>
              <a:t> </a:t>
            </a:r>
          </a:p>
        </c:rich>
      </c:tx>
      <c:layout>
        <c:manualLayout>
          <c:xMode val="edge"/>
          <c:yMode val="edge"/>
          <c:x val="0.13095122484689414"/>
          <c:y val="2.8901734104046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Median Household Income</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Sheet1!$A$3:$A$6</c:f>
              <c:numCache>
                <c:formatCode>General</c:formatCode>
                <c:ptCount val="4"/>
                <c:pt idx="0">
                  <c:v>1990</c:v>
                </c:pt>
                <c:pt idx="1">
                  <c:v>2000</c:v>
                </c:pt>
                <c:pt idx="2">
                  <c:v>2010</c:v>
                </c:pt>
                <c:pt idx="3">
                  <c:v>2019</c:v>
                </c:pt>
              </c:numCache>
            </c:numRef>
          </c:cat>
          <c:val>
            <c:numRef>
              <c:f>Sheet1!$B$3:$B$6</c:f>
              <c:numCache>
                <c:formatCode>"$"#,##0_);[Red]\("$"#,##0\)</c:formatCode>
                <c:ptCount val="4"/>
                <c:pt idx="0">
                  <c:v>60357</c:v>
                </c:pt>
                <c:pt idx="1">
                  <c:v>88079</c:v>
                </c:pt>
                <c:pt idx="2">
                  <c:v>114365</c:v>
                </c:pt>
                <c:pt idx="3">
                  <c:v>165547</c:v>
                </c:pt>
              </c:numCache>
            </c:numRef>
          </c:val>
          <c:smooth val="0"/>
          <c:extLst>
            <c:ext xmlns:c16="http://schemas.microsoft.com/office/drawing/2014/chart" uri="{C3380CC4-5D6E-409C-BE32-E72D297353CC}">
              <c16:uniqueId val="{00000000-1B18-4778-B10C-4824B8A6D590}"/>
            </c:ext>
          </c:extLst>
        </c:ser>
        <c:ser>
          <c:idx val="1"/>
          <c:order val="1"/>
          <c:tx>
            <c:v>Median Owner-occupied Unit Value</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Sheet1!$A$3:$A$6</c:f>
              <c:numCache>
                <c:formatCode>General</c:formatCode>
                <c:ptCount val="4"/>
                <c:pt idx="0">
                  <c:v>1990</c:v>
                </c:pt>
                <c:pt idx="1">
                  <c:v>2000</c:v>
                </c:pt>
                <c:pt idx="2">
                  <c:v>2010</c:v>
                </c:pt>
                <c:pt idx="3">
                  <c:v>2019</c:v>
                </c:pt>
              </c:numCache>
            </c:numRef>
          </c:cat>
          <c:val>
            <c:numRef>
              <c:f>Sheet1!$C$3:$C$6</c:f>
              <c:numCache>
                <c:formatCode>"$"#,##0_);[Red]\("$"#,##0\)</c:formatCode>
                <c:ptCount val="4"/>
                <c:pt idx="0">
                  <c:v>256500</c:v>
                </c:pt>
                <c:pt idx="1">
                  <c:v>385600</c:v>
                </c:pt>
                <c:pt idx="2">
                  <c:v>646300</c:v>
                </c:pt>
                <c:pt idx="3">
                  <c:v>855300</c:v>
                </c:pt>
              </c:numCache>
            </c:numRef>
          </c:val>
          <c:smooth val="0"/>
          <c:extLst>
            <c:ext xmlns:c16="http://schemas.microsoft.com/office/drawing/2014/chart" uri="{C3380CC4-5D6E-409C-BE32-E72D297353CC}">
              <c16:uniqueId val="{00000001-1B18-4778-B10C-4824B8A6D590}"/>
            </c:ext>
          </c:extLst>
        </c:ser>
        <c:dLbls>
          <c:dLblPos val="t"/>
          <c:showLegendKey val="0"/>
          <c:showVal val="1"/>
          <c:showCatName val="0"/>
          <c:showSerName val="0"/>
          <c:showPercent val="0"/>
          <c:showBubbleSize val="0"/>
        </c:dLbls>
        <c:smooth val="0"/>
        <c:axId val="242890080"/>
        <c:axId val="246061680"/>
      </c:lineChart>
      <c:catAx>
        <c:axId val="2428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061680"/>
        <c:crosses val="autoZero"/>
        <c:auto val="1"/>
        <c:lblAlgn val="ctr"/>
        <c:lblOffset val="100"/>
        <c:noMultiLvlLbl val="0"/>
      </c:catAx>
      <c:valAx>
        <c:axId val="2460616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8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III-1: Population Growth, 1950 to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Sheet1!$A$3:$A$10</c:f>
              <c:numCache>
                <c:formatCode>General</c:formatCode>
                <c:ptCount val="8"/>
                <c:pt idx="0">
                  <c:v>1950</c:v>
                </c:pt>
                <c:pt idx="1">
                  <c:v>1960</c:v>
                </c:pt>
                <c:pt idx="2">
                  <c:v>1970</c:v>
                </c:pt>
                <c:pt idx="3">
                  <c:v>1980</c:v>
                </c:pt>
                <c:pt idx="4">
                  <c:v>1990</c:v>
                </c:pt>
                <c:pt idx="5">
                  <c:v>2000</c:v>
                </c:pt>
                <c:pt idx="6">
                  <c:v>2010</c:v>
                </c:pt>
                <c:pt idx="7">
                  <c:v>2020</c:v>
                </c:pt>
              </c:numCache>
            </c:numRef>
          </c:cat>
          <c:val>
            <c:numRef>
              <c:f>Sheet1!$B$3:$B$10</c:f>
              <c:numCache>
                <c:formatCode>#,##0</c:formatCode>
                <c:ptCount val="8"/>
                <c:pt idx="0">
                  <c:v>16313</c:v>
                </c:pt>
                <c:pt idx="1">
                  <c:v>25793</c:v>
                </c:pt>
                <c:pt idx="2">
                  <c:v>29748</c:v>
                </c:pt>
                <c:pt idx="3">
                  <c:v>27901</c:v>
                </c:pt>
                <c:pt idx="4">
                  <c:v>27557</c:v>
                </c:pt>
                <c:pt idx="5">
                  <c:v>28478</c:v>
                </c:pt>
                <c:pt idx="6">
                  <c:v>28886</c:v>
                </c:pt>
                <c:pt idx="7">
                  <c:v>32091</c:v>
                </c:pt>
              </c:numCache>
            </c:numRef>
          </c:val>
          <c:extLst>
            <c:ext xmlns:c16="http://schemas.microsoft.com/office/drawing/2014/chart" uri="{C3380CC4-5D6E-409C-BE32-E72D297353CC}">
              <c16:uniqueId val="{00000000-9874-4E05-B78E-902311972884}"/>
            </c:ext>
          </c:extLst>
        </c:ser>
        <c:dLbls>
          <c:dLblPos val="outEnd"/>
          <c:showLegendKey val="0"/>
          <c:showVal val="1"/>
          <c:showCatName val="0"/>
          <c:showSerName val="0"/>
          <c:showPercent val="0"/>
          <c:showBubbleSize val="0"/>
        </c:dLbls>
        <c:gapWidth val="219"/>
        <c:overlap val="-27"/>
        <c:axId val="728333840"/>
        <c:axId val="728332176"/>
      </c:barChart>
      <c:catAx>
        <c:axId val="7283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332176"/>
        <c:crosses val="autoZero"/>
        <c:auto val="1"/>
        <c:lblAlgn val="ctr"/>
        <c:lblOffset val="100"/>
        <c:noMultiLvlLbl val="0"/>
      </c:catAx>
      <c:valAx>
        <c:axId val="72833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33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Lucida Sans Unicode" panose="020B0602030504020204" pitchFamily="34" charset="0"/>
              </a:defRPr>
            </a:pPr>
            <a:r>
              <a:rPr lang="en-US" sz="1100" b="1"/>
              <a:t>Figure III-2: Change in Age Distribution, 2000 to 2020</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Lucida Sans Unicode" panose="020B0602030504020204" pitchFamily="34" charset="0"/>
            </a:defRPr>
          </a:pPr>
          <a:endParaRPr lang="en-US"/>
        </a:p>
      </c:txPr>
    </c:title>
    <c:autoTitleDeleted val="0"/>
    <c:plotArea>
      <c:layout/>
      <c:barChart>
        <c:barDir val="col"/>
        <c:grouping val="clustered"/>
        <c:varyColors val="0"/>
        <c:ser>
          <c:idx val="0"/>
          <c:order val="0"/>
          <c:tx>
            <c:v>2000 Census</c:v>
          </c:tx>
          <c:spPr>
            <a:solidFill>
              <a:schemeClr val="accent1"/>
            </a:solidFill>
            <a:ln>
              <a:noFill/>
            </a:ln>
            <a:effectLst/>
          </c:spPr>
          <c:invertIfNegative val="0"/>
          <c:dLbls>
            <c:dLbl>
              <c:idx val="0"/>
              <c:layout>
                <c:manualLayout>
                  <c:x val="2.7777777777777779E-3"/>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19-40D6-988A-B8F473F9792C}"/>
                </c:ext>
              </c:extLst>
            </c:dLbl>
            <c:dLbl>
              <c:idx val="1"/>
              <c:layout>
                <c:manualLayout>
                  <c:x val="-2.5462668816039986E-17"/>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19-40D6-988A-B8F473F9792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&lt; 18</c:v>
                </c:pt>
                <c:pt idx="1">
                  <c:v>18-34</c:v>
                </c:pt>
                <c:pt idx="2">
                  <c:v>35-44</c:v>
                </c:pt>
                <c:pt idx="3">
                  <c:v>45-54</c:v>
                </c:pt>
                <c:pt idx="4">
                  <c:v>55-64</c:v>
                </c:pt>
                <c:pt idx="5">
                  <c:v>65-74</c:v>
                </c:pt>
                <c:pt idx="6">
                  <c:v>75+</c:v>
                </c:pt>
              </c:strCache>
            </c:strRef>
          </c:cat>
          <c:val>
            <c:numRef>
              <c:f>Sheet1!$B$3:$B$10</c:f>
              <c:numCache>
                <c:formatCode>#,##0</c:formatCode>
                <c:ptCount val="8"/>
                <c:pt idx="0">
                  <c:v>7576</c:v>
                </c:pt>
                <c:pt idx="1">
                  <c:v>4054</c:v>
                </c:pt>
                <c:pt idx="2">
                  <c:v>4939</c:v>
                </c:pt>
                <c:pt idx="3">
                  <c:v>4490</c:v>
                </c:pt>
                <c:pt idx="4">
                  <c:v>2662</c:v>
                </c:pt>
                <c:pt idx="5">
                  <c:v>2265</c:v>
                </c:pt>
                <c:pt idx="6">
                  <c:v>2925</c:v>
                </c:pt>
              </c:numCache>
            </c:numRef>
          </c:val>
          <c:extLst>
            <c:ext xmlns:c16="http://schemas.microsoft.com/office/drawing/2014/chart" uri="{C3380CC4-5D6E-409C-BE32-E72D297353CC}">
              <c16:uniqueId val="{00000002-1719-40D6-988A-B8F473F9792C}"/>
            </c:ext>
          </c:extLst>
        </c:ser>
        <c:ser>
          <c:idx val="1"/>
          <c:order val="1"/>
          <c:tx>
            <c:v>2010 Census</c:v>
          </c:tx>
          <c:spPr>
            <a:solidFill>
              <a:schemeClr val="accent2"/>
            </a:solidFill>
            <a:ln>
              <a:noFill/>
            </a:ln>
            <a:effectLst/>
          </c:spPr>
          <c:invertIfNegative val="0"/>
          <c:dLbls>
            <c:dLbl>
              <c:idx val="0"/>
              <c:layout>
                <c:manualLayout>
                  <c:x val="5.5555555555555558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19-40D6-988A-B8F473F9792C}"/>
                </c:ext>
              </c:extLst>
            </c:dLbl>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19-40D6-988A-B8F473F9792C}"/>
                </c:ext>
              </c:extLst>
            </c:dLbl>
            <c:dLbl>
              <c:idx val="3"/>
              <c:layout>
                <c:manualLayout>
                  <c:x val="-8.3333333333333835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19-40D6-988A-B8F473F9792C}"/>
                </c:ext>
              </c:extLst>
            </c:dLbl>
            <c:dLbl>
              <c:idx val="5"/>
              <c:layout>
                <c:manualLayout>
                  <c:x val="-1.1111111111111112E-2"/>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19-40D6-988A-B8F473F9792C}"/>
                </c:ext>
              </c:extLst>
            </c:dLbl>
            <c:dLbl>
              <c:idx val="6"/>
              <c:layout>
                <c:manualLayout>
                  <c:x val="2.7777777777777779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19-40D6-988A-B8F473F9792C}"/>
                </c:ext>
              </c:extLst>
            </c:dLbl>
            <c:dLbl>
              <c:idx val="7"/>
              <c:layout>
                <c:manualLayout>
                  <c:x val="-2.0370135052831988E-16"/>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19-40D6-988A-B8F473F9792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&lt; 18</c:v>
                </c:pt>
                <c:pt idx="1">
                  <c:v>18-34</c:v>
                </c:pt>
                <c:pt idx="2">
                  <c:v>35-44</c:v>
                </c:pt>
                <c:pt idx="3">
                  <c:v>45-54</c:v>
                </c:pt>
                <c:pt idx="4">
                  <c:v>55-64</c:v>
                </c:pt>
                <c:pt idx="5">
                  <c:v>65-74</c:v>
                </c:pt>
                <c:pt idx="6">
                  <c:v>75+</c:v>
                </c:pt>
              </c:strCache>
            </c:strRef>
          </c:cat>
          <c:val>
            <c:numRef>
              <c:f>Sheet1!$C$3:$C$10</c:f>
              <c:numCache>
                <c:formatCode>#,##0</c:formatCode>
                <c:ptCount val="8"/>
                <c:pt idx="0">
                  <c:v>8139</c:v>
                </c:pt>
                <c:pt idx="1">
                  <c:v>3221</c:v>
                </c:pt>
                <c:pt idx="2">
                  <c:v>4046</c:v>
                </c:pt>
                <c:pt idx="3">
                  <c:v>4940</c:v>
                </c:pt>
                <c:pt idx="4">
                  <c:v>3840</c:v>
                </c:pt>
                <c:pt idx="5">
                  <c:v>2053</c:v>
                </c:pt>
                <c:pt idx="6">
                  <c:v>2647</c:v>
                </c:pt>
              </c:numCache>
            </c:numRef>
          </c:val>
          <c:extLst>
            <c:ext xmlns:c16="http://schemas.microsoft.com/office/drawing/2014/chart" uri="{C3380CC4-5D6E-409C-BE32-E72D297353CC}">
              <c16:uniqueId val="{00000009-1719-40D6-988A-B8F473F9792C}"/>
            </c:ext>
          </c:extLst>
        </c:ser>
        <c:ser>
          <c:idx val="2"/>
          <c:order val="2"/>
          <c:tx>
            <c:v>2020 Census Estimates</c:v>
          </c:tx>
          <c:spPr>
            <a:solidFill>
              <a:schemeClr val="accent3"/>
            </a:solidFill>
            <a:ln>
              <a:noFill/>
            </a:ln>
            <a:effectLst/>
          </c:spPr>
          <c:invertIfNegative val="0"/>
          <c:dLbls>
            <c:dLbl>
              <c:idx val="0"/>
              <c:layout>
                <c:manualLayout>
                  <c:x val="6.1111111111111088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19-40D6-988A-B8F473F9792C}"/>
                </c:ext>
              </c:extLst>
            </c:dLbl>
            <c:dLbl>
              <c:idx val="1"/>
              <c:layout>
                <c:manualLayout>
                  <c:x val="0"/>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19-40D6-988A-B8F473F9792C}"/>
                </c:ext>
              </c:extLst>
            </c:dLbl>
            <c:dLbl>
              <c:idx val="2"/>
              <c:layout>
                <c:manualLayout>
                  <c:x val="2.7777777777777779E-3"/>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19-40D6-988A-B8F473F9792C}"/>
                </c:ext>
              </c:extLst>
            </c:dLbl>
            <c:dLbl>
              <c:idx val="3"/>
              <c:layout>
                <c:manualLayout>
                  <c:x val="8.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3569335083114612E-2"/>
                      <c:h val="6.0115923009623796E-2"/>
                    </c:manualLayout>
                  </c15:layout>
                </c:ext>
                <c:ext xmlns:c16="http://schemas.microsoft.com/office/drawing/2014/chart" uri="{C3380CC4-5D6E-409C-BE32-E72D297353CC}">
                  <c16:uniqueId val="{0000000D-1719-40D6-988A-B8F473F9792C}"/>
                </c:ext>
              </c:extLst>
            </c:dLbl>
            <c:dLbl>
              <c:idx val="4"/>
              <c:layout>
                <c:manualLayout>
                  <c:x val="1.1111111111111112E-2"/>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19-40D6-988A-B8F473F9792C}"/>
                </c:ext>
              </c:extLst>
            </c:dLbl>
            <c:dLbl>
              <c:idx val="6"/>
              <c:layout>
                <c:manualLayout>
                  <c:x val="3.8888888888888785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19-40D6-988A-B8F473F9792C}"/>
                </c:ext>
              </c:extLst>
            </c:dLbl>
            <c:dLbl>
              <c:idx val="7"/>
              <c:layout>
                <c:manualLayout>
                  <c:x val="-1.0185067526415994E-16"/>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719-40D6-988A-B8F473F9792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&lt; 18</c:v>
                </c:pt>
                <c:pt idx="1">
                  <c:v>18-34</c:v>
                </c:pt>
                <c:pt idx="2">
                  <c:v>35-44</c:v>
                </c:pt>
                <c:pt idx="3">
                  <c:v>45-54</c:v>
                </c:pt>
                <c:pt idx="4">
                  <c:v>55-64</c:v>
                </c:pt>
                <c:pt idx="5">
                  <c:v>65-74</c:v>
                </c:pt>
                <c:pt idx="6">
                  <c:v>75+</c:v>
                </c:pt>
              </c:strCache>
            </c:strRef>
          </c:cat>
          <c:val>
            <c:numRef>
              <c:f>Sheet1!$D$3:$D$10</c:f>
              <c:numCache>
                <c:formatCode>#,##0</c:formatCode>
                <c:ptCount val="8"/>
                <c:pt idx="0">
                  <c:v>8496</c:v>
                </c:pt>
                <c:pt idx="1">
                  <c:v>3589</c:v>
                </c:pt>
                <c:pt idx="2">
                  <c:v>2090</c:v>
                </c:pt>
                <c:pt idx="3">
                  <c:v>4624</c:v>
                </c:pt>
                <c:pt idx="4">
                  <c:v>4370</c:v>
                </c:pt>
                <c:pt idx="5">
                  <c:v>3170</c:v>
                </c:pt>
                <c:pt idx="6">
                  <c:v>2898</c:v>
                </c:pt>
              </c:numCache>
            </c:numRef>
          </c:val>
          <c:extLst>
            <c:ext xmlns:c16="http://schemas.microsoft.com/office/drawing/2014/chart" uri="{C3380CC4-5D6E-409C-BE32-E72D297353CC}">
              <c16:uniqueId val="{00000011-1719-40D6-988A-B8F473F9792C}"/>
            </c:ext>
          </c:extLst>
        </c:ser>
        <c:dLbls>
          <c:dLblPos val="outEnd"/>
          <c:showLegendKey val="0"/>
          <c:showVal val="1"/>
          <c:showCatName val="0"/>
          <c:showSerName val="0"/>
          <c:showPercent val="0"/>
          <c:showBubbleSize val="0"/>
        </c:dLbls>
        <c:gapWidth val="219"/>
        <c:overlap val="-27"/>
        <c:axId val="1624803088"/>
        <c:axId val="1624805584"/>
      </c:barChart>
      <c:catAx>
        <c:axId val="162480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crossAx val="1624805584"/>
        <c:crosses val="autoZero"/>
        <c:auto val="1"/>
        <c:lblAlgn val="ctr"/>
        <c:lblOffset val="100"/>
        <c:noMultiLvlLbl val="0"/>
      </c:catAx>
      <c:valAx>
        <c:axId val="162480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crossAx val="162480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Lucida Sans Unicode" panose="020B0602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Total Pop.</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Needham</c:v>
                </c:pt>
                <c:pt idx="1">
                  <c:v>Mature Suburbs</c:v>
                </c:pt>
                <c:pt idx="2">
                  <c:v>Metro Boston</c:v>
                </c:pt>
                <c:pt idx="3">
                  <c:v>TRIC</c:v>
                </c:pt>
              </c:strCache>
            </c:strRef>
          </c:cat>
          <c:val>
            <c:numRef>
              <c:f>Sheet1!$B$2:$B$5</c:f>
              <c:numCache>
                <c:formatCode>0%</c:formatCode>
                <c:ptCount val="4"/>
                <c:pt idx="0">
                  <c:v>0.03</c:v>
                </c:pt>
                <c:pt idx="1">
                  <c:v>0.01</c:v>
                </c:pt>
                <c:pt idx="2">
                  <c:v>0.05</c:v>
                </c:pt>
                <c:pt idx="3">
                  <c:v>0.02</c:v>
                </c:pt>
              </c:numCache>
            </c:numRef>
          </c:val>
          <c:extLst>
            <c:ext xmlns:c16="http://schemas.microsoft.com/office/drawing/2014/chart" uri="{C3380CC4-5D6E-409C-BE32-E72D297353CC}">
              <c16:uniqueId val="{00000000-E395-4F63-B356-555CAEF920E6}"/>
            </c:ext>
          </c:extLst>
        </c:ser>
        <c:ser>
          <c:idx val="1"/>
          <c:order val="1"/>
          <c:tx>
            <c:strRef>
              <c:f>Sheet1!$C$1</c:f>
              <c:strCache>
                <c:ptCount val="1"/>
                <c:pt idx="0">
                  <c:v>Under 15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Needham</c:v>
                </c:pt>
                <c:pt idx="1">
                  <c:v>Mature Suburbs</c:v>
                </c:pt>
                <c:pt idx="2">
                  <c:v>Metro Boston</c:v>
                </c:pt>
                <c:pt idx="3">
                  <c:v>TRIC</c:v>
                </c:pt>
              </c:strCache>
            </c:strRef>
          </c:cat>
          <c:val>
            <c:numRef>
              <c:f>Sheet1!$C$2:$C$5</c:f>
              <c:numCache>
                <c:formatCode>0%</c:formatCode>
                <c:ptCount val="4"/>
                <c:pt idx="0">
                  <c:v>-0.19</c:v>
                </c:pt>
                <c:pt idx="1">
                  <c:v>-0.18</c:v>
                </c:pt>
                <c:pt idx="2">
                  <c:v>-0.08</c:v>
                </c:pt>
                <c:pt idx="3">
                  <c:v>-0.15</c:v>
                </c:pt>
              </c:numCache>
            </c:numRef>
          </c:val>
          <c:extLst>
            <c:ext xmlns:c16="http://schemas.microsoft.com/office/drawing/2014/chart" uri="{C3380CC4-5D6E-409C-BE32-E72D297353CC}">
              <c16:uniqueId val="{00000001-E395-4F63-B356-555CAEF920E6}"/>
            </c:ext>
          </c:extLst>
        </c:ser>
        <c:ser>
          <c:idx val="2"/>
          <c:order val="2"/>
          <c:tx>
            <c:strRef>
              <c:f>Sheet1!$D$1</c:f>
              <c:strCache>
                <c:ptCount val="1"/>
                <c:pt idx="0">
                  <c:v>Over 65</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Needham</c:v>
                </c:pt>
                <c:pt idx="1">
                  <c:v>Mature Suburbs</c:v>
                </c:pt>
                <c:pt idx="2">
                  <c:v>Metro Boston</c:v>
                </c:pt>
                <c:pt idx="3">
                  <c:v>TRIC</c:v>
                </c:pt>
              </c:strCache>
            </c:strRef>
          </c:cat>
          <c:val>
            <c:numRef>
              <c:f>Sheet1!$D$2:$D$5</c:f>
              <c:numCache>
                <c:formatCode>0%</c:formatCode>
                <c:ptCount val="4"/>
                <c:pt idx="0">
                  <c:v>0.56999999999999995</c:v>
                </c:pt>
                <c:pt idx="1">
                  <c:v>0.71</c:v>
                </c:pt>
                <c:pt idx="2">
                  <c:v>0.73</c:v>
                </c:pt>
                <c:pt idx="3">
                  <c:v>0.65</c:v>
                </c:pt>
              </c:numCache>
            </c:numRef>
          </c:val>
          <c:extLst>
            <c:ext xmlns:c16="http://schemas.microsoft.com/office/drawing/2014/chart" uri="{C3380CC4-5D6E-409C-BE32-E72D297353CC}">
              <c16:uniqueId val="{00000002-E395-4F63-B356-555CAEF920E6}"/>
            </c:ext>
          </c:extLst>
        </c:ser>
        <c:dLbls>
          <c:showLegendKey val="0"/>
          <c:showVal val="0"/>
          <c:showCatName val="0"/>
          <c:showSerName val="0"/>
          <c:showPercent val="0"/>
          <c:showBubbleSize val="0"/>
        </c:dLbls>
        <c:gapWidth val="150"/>
        <c:axId val="105813888"/>
        <c:axId val="105815424"/>
      </c:barChart>
      <c:catAx>
        <c:axId val="105813888"/>
        <c:scaling>
          <c:orientation val="minMax"/>
        </c:scaling>
        <c:delete val="0"/>
        <c:axPos val="b"/>
        <c:numFmt formatCode="General" sourceLinked="0"/>
        <c:majorTickMark val="out"/>
        <c:minorTickMark val="none"/>
        <c:tickLblPos val="nextTo"/>
        <c:crossAx val="105815424"/>
        <c:crosses val="autoZero"/>
        <c:auto val="1"/>
        <c:lblAlgn val="ctr"/>
        <c:lblOffset val="100"/>
        <c:noMultiLvlLbl val="0"/>
      </c:catAx>
      <c:valAx>
        <c:axId val="105815424"/>
        <c:scaling>
          <c:orientation val="minMax"/>
        </c:scaling>
        <c:delete val="0"/>
        <c:axPos val="l"/>
        <c:majorGridlines/>
        <c:numFmt formatCode="0%" sourceLinked="1"/>
        <c:majorTickMark val="out"/>
        <c:minorTickMark val="none"/>
        <c:tickLblPos val="nextTo"/>
        <c:crossAx val="1058138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Figure</a:t>
            </a:r>
            <a:r>
              <a:rPr lang="en-US" sz="1050" baseline="0"/>
              <a:t> III-5: </a:t>
            </a:r>
            <a:r>
              <a:rPr lang="en-US" sz="1050"/>
              <a:t>Comparison of Population Projections</a:t>
            </a:r>
            <a:r>
              <a:rPr lang="en-US" sz="1050" baseline="0"/>
              <a:t> with Percentage Increases from 2010 to 2030 Based on MAPC, State Data Center and Needham Public School Estimates</a:t>
            </a:r>
            <a:endParaRPr lang="en-US" sz="1050"/>
          </a:p>
        </c:rich>
      </c:tx>
      <c:overlay val="1"/>
    </c:title>
    <c:autoTitleDeleted val="0"/>
    <c:plotArea>
      <c:layout/>
      <c:barChart>
        <c:barDir val="col"/>
        <c:grouping val="clustered"/>
        <c:varyColors val="0"/>
        <c:ser>
          <c:idx val="0"/>
          <c:order val="0"/>
          <c:tx>
            <c:v>MAPC</c:v>
          </c:tx>
          <c:invertIfNegative val="0"/>
          <c:cat>
            <c:strRef>
              <c:f>Sheet1!$A$2:$A$6</c:f>
              <c:strCache>
                <c:ptCount val="5"/>
                <c:pt idx="0">
                  <c:v>Total Pop</c:v>
                </c:pt>
                <c:pt idx="1">
                  <c:v>&lt; 20</c:v>
                </c:pt>
                <c:pt idx="2">
                  <c:v>20-34</c:v>
                </c:pt>
                <c:pt idx="3">
                  <c:v>35-64</c:v>
                </c:pt>
                <c:pt idx="4">
                  <c:v>65+</c:v>
                </c:pt>
              </c:strCache>
            </c:strRef>
          </c:cat>
          <c:val>
            <c:numRef>
              <c:f>Sheet1!$B$2:$B$6</c:f>
              <c:numCache>
                <c:formatCode>0.0%</c:formatCode>
                <c:ptCount val="5"/>
                <c:pt idx="0">
                  <c:v>6.4000000000000001E-2</c:v>
                </c:pt>
                <c:pt idx="1">
                  <c:v>-0.126</c:v>
                </c:pt>
                <c:pt idx="2">
                  <c:v>0.375</c:v>
                </c:pt>
                <c:pt idx="3">
                  <c:v>-6.4000000000000001E-2</c:v>
                </c:pt>
                <c:pt idx="4">
                  <c:v>0.59099999999999997</c:v>
                </c:pt>
              </c:numCache>
            </c:numRef>
          </c:val>
          <c:extLst>
            <c:ext xmlns:c16="http://schemas.microsoft.com/office/drawing/2014/chart" uri="{C3380CC4-5D6E-409C-BE32-E72D297353CC}">
              <c16:uniqueId val="{00000000-B5A6-41DF-871B-AA70F83CB94F}"/>
            </c:ext>
          </c:extLst>
        </c:ser>
        <c:ser>
          <c:idx val="1"/>
          <c:order val="1"/>
          <c:tx>
            <c:v>SDC</c:v>
          </c:tx>
          <c:invertIfNegative val="0"/>
          <c:cat>
            <c:strRef>
              <c:f>Sheet1!$A$2:$A$6</c:f>
              <c:strCache>
                <c:ptCount val="5"/>
                <c:pt idx="0">
                  <c:v>Total Pop</c:v>
                </c:pt>
                <c:pt idx="1">
                  <c:v>&lt; 20</c:v>
                </c:pt>
                <c:pt idx="2">
                  <c:v>20-34</c:v>
                </c:pt>
                <c:pt idx="3">
                  <c:v>35-64</c:v>
                </c:pt>
                <c:pt idx="4">
                  <c:v>65+</c:v>
                </c:pt>
              </c:strCache>
            </c:strRef>
          </c:cat>
          <c:val>
            <c:numRef>
              <c:f>Sheet1!$C$2:$C$6</c:f>
              <c:numCache>
                <c:formatCode>0.0%</c:formatCode>
                <c:ptCount val="5"/>
                <c:pt idx="0">
                  <c:v>-1.2E-2</c:v>
                </c:pt>
                <c:pt idx="1">
                  <c:v>-0.22500000000000001</c:v>
                </c:pt>
                <c:pt idx="2">
                  <c:v>0.16600000000000001</c:v>
                </c:pt>
                <c:pt idx="3">
                  <c:v>-6.5000000000000002E-2</c:v>
                </c:pt>
                <c:pt idx="4">
                  <c:v>0.63</c:v>
                </c:pt>
              </c:numCache>
            </c:numRef>
          </c:val>
          <c:extLst>
            <c:ext xmlns:c16="http://schemas.microsoft.com/office/drawing/2014/chart" uri="{C3380CC4-5D6E-409C-BE32-E72D297353CC}">
              <c16:uniqueId val="{00000001-B5A6-41DF-871B-AA70F83CB94F}"/>
            </c:ext>
          </c:extLst>
        </c:ser>
        <c:ser>
          <c:idx val="2"/>
          <c:order val="2"/>
          <c:tx>
            <c:v>Schools</c:v>
          </c:tx>
          <c:invertIfNegative val="0"/>
          <c:cat>
            <c:strRef>
              <c:f>Sheet1!$A$2:$A$6</c:f>
              <c:strCache>
                <c:ptCount val="5"/>
                <c:pt idx="0">
                  <c:v>Total Pop</c:v>
                </c:pt>
                <c:pt idx="1">
                  <c:v>&lt; 20</c:v>
                </c:pt>
                <c:pt idx="2">
                  <c:v>20-34</c:v>
                </c:pt>
                <c:pt idx="3">
                  <c:v>35-64</c:v>
                </c:pt>
                <c:pt idx="4">
                  <c:v>65+</c:v>
                </c:pt>
              </c:strCache>
            </c:strRef>
          </c:cat>
          <c:val>
            <c:numRef>
              <c:f>Sheet1!$D$2:$D$6</c:f>
              <c:numCache>
                <c:formatCode>0.0%</c:formatCode>
                <c:ptCount val="5"/>
                <c:pt idx="0">
                  <c:v>3.0000000000000001E-3</c:v>
                </c:pt>
                <c:pt idx="1">
                  <c:v>-5.6000000000000001E-2</c:v>
                </c:pt>
                <c:pt idx="2">
                  <c:v>0.17699999999999999</c:v>
                </c:pt>
                <c:pt idx="3">
                  <c:v>-0.17</c:v>
                </c:pt>
                <c:pt idx="4">
                  <c:v>0.47699999999999998</c:v>
                </c:pt>
              </c:numCache>
            </c:numRef>
          </c:val>
          <c:extLst>
            <c:ext xmlns:c16="http://schemas.microsoft.com/office/drawing/2014/chart" uri="{C3380CC4-5D6E-409C-BE32-E72D297353CC}">
              <c16:uniqueId val="{00000002-B5A6-41DF-871B-AA70F83CB94F}"/>
            </c:ext>
          </c:extLst>
        </c:ser>
        <c:dLbls>
          <c:showLegendKey val="0"/>
          <c:showVal val="0"/>
          <c:showCatName val="0"/>
          <c:showSerName val="0"/>
          <c:showPercent val="0"/>
          <c:showBubbleSize val="0"/>
        </c:dLbls>
        <c:gapWidth val="150"/>
        <c:axId val="105976576"/>
        <c:axId val="105978112"/>
      </c:barChart>
      <c:catAx>
        <c:axId val="105976576"/>
        <c:scaling>
          <c:orientation val="minMax"/>
        </c:scaling>
        <c:delete val="0"/>
        <c:axPos val="b"/>
        <c:numFmt formatCode="General" sourceLinked="0"/>
        <c:majorTickMark val="out"/>
        <c:minorTickMark val="none"/>
        <c:tickLblPos val="nextTo"/>
        <c:txPr>
          <a:bodyPr/>
          <a:lstStyle/>
          <a:p>
            <a:pPr>
              <a:defRPr b="1"/>
            </a:pPr>
            <a:endParaRPr lang="en-US"/>
          </a:p>
        </c:txPr>
        <c:crossAx val="105978112"/>
        <c:crosses val="autoZero"/>
        <c:auto val="1"/>
        <c:lblAlgn val="ctr"/>
        <c:lblOffset val="100"/>
        <c:noMultiLvlLbl val="0"/>
      </c:catAx>
      <c:valAx>
        <c:axId val="105978112"/>
        <c:scaling>
          <c:orientation val="minMax"/>
        </c:scaling>
        <c:delete val="0"/>
        <c:axPos val="l"/>
        <c:majorGridlines/>
        <c:numFmt formatCode="0.0%" sourceLinked="1"/>
        <c:majorTickMark val="out"/>
        <c:minorTickMark val="none"/>
        <c:tickLblPos val="nextTo"/>
        <c:crossAx val="1059765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Lucida Sans Unicode" panose="020B0602030504020204" pitchFamily="34" charset="0"/>
              </a:defRPr>
            </a:pPr>
            <a:r>
              <a:rPr lang="en-US" sz="1100" b="1"/>
              <a:t>Figure III-6: Change in Income Distribution, 1999, 2010, and 2020</a:t>
            </a:r>
          </a:p>
        </c:rich>
      </c:tx>
      <c:layout>
        <c:manualLayout>
          <c:xMode val="edge"/>
          <c:yMode val="edge"/>
          <c:x val="0.12736111111111112"/>
          <c:y val="3.699136868064118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Lucida Sans Unicode" panose="020B0602030504020204" pitchFamily="34" charset="0"/>
            </a:defRPr>
          </a:pPr>
          <a:endParaRPr lang="en-US"/>
        </a:p>
      </c:txPr>
    </c:title>
    <c:autoTitleDeleted val="0"/>
    <c:plotArea>
      <c:layout>
        <c:manualLayout>
          <c:layoutTarget val="inner"/>
          <c:xMode val="edge"/>
          <c:yMode val="edge"/>
          <c:x val="9.5914260717410341E-2"/>
          <c:y val="0.1568307814790722"/>
          <c:w val="0.89019685039370078"/>
          <c:h val="0.61498432487605714"/>
        </c:manualLayout>
      </c:layout>
      <c:barChart>
        <c:barDir val="col"/>
        <c:grouping val="clustered"/>
        <c:varyColors val="0"/>
        <c:ser>
          <c:idx val="0"/>
          <c:order val="0"/>
          <c:tx>
            <c:v>1999</c:v>
          </c:tx>
          <c:spPr>
            <a:solidFill>
              <a:schemeClr val="accent1"/>
            </a:solidFill>
            <a:ln>
              <a:noFill/>
            </a:ln>
            <a:effectLst/>
          </c:spPr>
          <c:invertIfNegative val="0"/>
          <c:dLbls>
            <c:dLbl>
              <c:idx val="0"/>
              <c:layout>
                <c:manualLayout>
                  <c:x val="-2.7777777777777905E-3"/>
                  <c:y val="-4.9321824907521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7D-4194-AA1E-39B259E98C2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Sheet1!$A$3:$B$10</c:f>
              <c:strCache>
                <c:ptCount val="8"/>
                <c:pt idx="0">
                  <c:v>&lt; $10,000</c:v>
                </c:pt>
                <c:pt idx="1">
                  <c:v>$10,000-$24,999</c:v>
                </c:pt>
                <c:pt idx="2">
                  <c:v>$25,000-34,999</c:v>
                </c:pt>
                <c:pt idx="3">
                  <c:v>$35,000-49,999</c:v>
                </c:pt>
                <c:pt idx="4">
                  <c:v>$50,000-74,999</c:v>
                </c:pt>
                <c:pt idx="5">
                  <c:v>$75,000-99,999</c:v>
                </c:pt>
                <c:pt idx="6">
                  <c:v>$100,000-149,999</c:v>
                </c:pt>
                <c:pt idx="7">
                  <c:v>$150,000+</c:v>
                </c:pt>
              </c:strCache>
            </c:strRef>
          </c:cat>
          <c:val>
            <c:numRef>
              <c:f>Sheet1!$C$3:$C$10</c:f>
              <c:numCache>
                <c:formatCode>#,##0</c:formatCode>
                <c:ptCount val="8"/>
                <c:pt idx="0">
                  <c:v>464</c:v>
                </c:pt>
                <c:pt idx="1">
                  <c:v>739</c:v>
                </c:pt>
                <c:pt idx="2">
                  <c:v>698</c:v>
                </c:pt>
                <c:pt idx="3">
                  <c:v>909</c:v>
                </c:pt>
                <c:pt idx="4">
                  <c:v>1668</c:v>
                </c:pt>
                <c:pt idx="5">
                  <c:v>1389</c:v>
                </c:pt>
                <c:pt idx="6">
                  <c:v>2158</c:v>
                </c:pt>
                <c:pt idx="7">
                  <c:v>2570</c:v>
                </c:pt>
              </c:numCache>
            </c:numRef>
          </c:val>
          <c:extLst>
            <c:ext xmlns:c16="http://schemas.microsoft.com/office/drawing/2014/chart" uri="{C3380CC4-5D6E-409C-BE32-E72D297353CC}">
              <c16:uniqueId val="{00000001-E07D-4194-AA1E-39B259E98C27}"/>
            </c:ext>
          </c:extLst>
        </c:ser>
        <c:ser>
          <c:idx val="1"/>
          <c:order val="1"/>
          <c:tx>
            <c:v>2010</c:v>
          </c:tx>
          <c:spPr>
            <a:solidFill>
              <a:schemeClr val="accent2"/>
            </a:solidFill>
            <a:ln>
              <a:noFill/>
            </a:ln>
            <a:effectLst/>
          </c:spPr>
          <c:invertIfNegative val="0"/>
          <c:dLbls>
            <c:dLbl>
              <c:idx val="0"/>
              <c:layout>
                <c:manualLayout>
                  <c:x val="3.0555555555555555E-2"/>
                  <c:y val="-1.64406083025072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7D-4194-AA1E-39B259E98C27}"/>
                </c:ext>
              </c:extLst>
            </c:dLbl>
            <c:dLbl>
              <c:idx val="1"/>
              <c:layout>
                <c:manualLayout>
                  <c:x val="0"/>
                  <c:y val="-7.3982737361282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7D-4194-AA1E-39B259E98C27}"/>
                </c:ext>
              </c:extLst>
            </c:dLbl>
            <c:dLbl>
              <c:idx val="2"/>
              <c:layout>
                <c:manualLayout>
                  <c:x val="-5.0925337632079971E-17"/>
                  <c:y val="-8.2203041512535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D-4194-AA1E-39B259E98C27}"/>
                </c:ext>
              </c:extLst>
            </c:dLbl>
            <c:dLbl>
              <c:idx val="5"/>
              <c:layout>
                <c:manualLayout>
                  <c:x val="2.777777777777676E-3"/>
                  <c:y val="-9.8643649815043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7D-4194-AA1E-39B259E98C27}"/>
                </c:ext>
              </c:extLst>
            </c:dLbl>
            <c:dLbl>
              <c:idx val="6"/>
              <c:layout>
                <c:manualLayout>
                  <c:x val="-8.3333333333333332E-3"/>
                  <c:y val="-5.75421290587751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7D-4194-AA1E-39B259E98C2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Sheet1!$A$3:$B$10</c:f>
              <c:strCache>
                <c:ptCount val="8"/>
                <c:pt idx="0">
                  <c:v>&lt; $10,000</c:v>
                </c:pt>
                <c:pt idx="1">
                  <c:v>$10,000-$24,999</c:v>
                </c:pt>
                <c:pt idx="2">
                  <c:v>$25,000-34,999</c:v>
                </c:pt>
                <c:pt idx="3">
                  <c:v>$35,000-49,999</c:v>
                </c:pt>
                <c:pt idx="4">
                  <c:v>$50,000-74,999</c:v>
                </c:pt>
                <c:pt idx="5">
                  <c:v>$75,000-99,999</c:v>
                </c:pt>
                <c:pt idx="6">
                  <c:v>$100,000-149,999</c:v>
                </c:pt>
                <c:pt idx="7">
                  <c:v>$150,000+</c:v>
                </c:pt>
              </c:strCache>
            </c:strRef>
          </c:cat>
          <c:val>
            <c:numRef>
              <c:f>Sheet1!$D$3:$D$10</c:f>
              <c:numCache>
                <c:formatCode>#,##0</c:formatCode>
                <c:ptCount val="8"/>
                <c:pt idx="0">
                  <c:v>298</c:v>
                </c:pt>
                <c:pt idx="1">
                  <c:v>884</c:v>
                </c:pt>
                <c:pt idx="2">
                  <c:v>357</c:v>
                </c:pt>
                <c:pt idx="3">
                  <c:v>477</c:v>
                </c:pt>
                <c:pt idx="4">
                  <c:v>1329</c:v>
                </c:pt>
                <c:pt idx="5">
                  <c:v>971</c:v>
                </c:pt>
                <c:pt idx="6">
                  <c:v>2027</c:v>
                </c:pt>
                <c:pt idx="7">
                  <c:v>4030</c:v>
                </c:pt>
              </c:numCache>
            </c:numRef>
          </c:val>
          <c:extLst>
            <c:ext xmlns:c16="http://schemas.microsoft.com/office/drawing/2014/chart" uri="{C3380CC4-5D6E-409C-BE32-E72D297353CC}">
              <c16:uniqueId val="{00000007-E07D-4194-AA1E-39B259E98C27}"/>
            </c:ext>
          </c:extLst>
        </c:ser>
        <c:ser>
          <c:idx val="2"/>
          <c:order val="2"/>
          <c:tx>
            <c:v>2020</c:v>
          </c:tx>
          <c:spPr>
            <a:solidFill>
              <a:schemeClr val="accent3"/>
            </a:solidFill>
            <a:ln>
              <a:noFill/>
            </a:ln>
            <a:effectLst/>
          </c:spPr>
          <c:invertIfNegative val="0"/>
          <c:dLbls>
            <c:dLbl>
              <c:idx val="0"/>
              <c:layout>
                <c:manualLayout>
                  <c:x val="-2.5462668816039986E-17"/>
                  <c:y val="-8.6313193588162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7D-4194-AA1E-39B259E98C27}"/>
                </c:ext>
              </c:extLst>
            </c:dLbl>
            <c:dLbl>
              <c:idx val="3"/>
              <c:layout>
                <c:manualLayout>
                  <c:x val="1.6666666666666562E-2"/>
                  <c:y val="-0.1849566815861950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9.7416666666666665E-2"/>
                      <c:h val="7.73941635840526E-2"/>
                    </c:manualLayout>
                  </c15:layout>
                </c:ext>
                <c:ext xmlns:c16="http://schemas.microsoft.com/office/drawing/2014/chart" uri="{C3380CC4-5D6E-409C-BE32-E72D297353CC}">
                  <c16:uniqueId val="{00000009-E07D-4194-AA1E-39B259E98C27}"/>
                </c:ext>
              </c:extLst>
            </c:dLbl>
            <c:dLbl>
              <c:idx val="4"/>
              <c:layout>
                <c:manualLayout>
                  <c:x val="2.7777777777777676E-2"/>
                  <c:y val="-0.168516235100698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7D-4194-AA1E-39B259E98C27}"/>
                </c:ext>
              </c:extLst>
            </c:dLbl>
            <c:dLbl>
              <c:idx val="5"/>
              <c:layout>
                <c:manualLayout>
                  <c:x val="1.1111111111111112E-2"/>
                  <c:y val="-4.11015207562680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7D-4194-AA1E-39B259E98C2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Sheet1!$A$3:$B$10</c:f>
              <c:strCache>
                <c:ptCount val="8"/>
                <c:pt idx="0">
                  <c:v>&lt; $10,000</c:v>
                </c:pt>
                <c:pt idx="1">
                  <c:v>$10,000-$24,999</c:v>
                </c:pt>
                <c:pt idx="2">
                  <c:v>$25,000-34,999</c:v>
                </c:pt>
                <c:pt idx="3">
                  <c:v>$35,000-49,999</c:v>
                </c:pt>
                <c:pt idx="4">
                  <c:v>$50,000-74,999</c:v>
                </c:pt>
                <c:pt idx="5">
                  <c:v>$75,000-99,999</c:v>
                </c:pt>
                <c:pt idx="6">
                  <c:v>$100,000-149,999</c:v>
                </c:pt>
                <c:pt idx="7">
                  <c:v>$150,000+</c:v>
                </c:pt>
              </c:strCache>
            </c:strRef>
          </c:cat>
          <c:val>
            <c:numRef>
              <c:f>Sheet1!$E$3:$E$10</c:f>
              <c:numCache>
                <c:formatCode>#,##0</c:formatCode>
                <c:ptCount val="8"/>
                <c:pt idx="0">
                  <c:v>196</c:v>
                </c:pt>
                <c:pt idx="1">
                  <c:v>429</c:v>
                </c:pt>
                <c:pt idx="2">
                  <c:v>532</c:v>
                </c:pt>
                <c:pt idx="3">
                  <c:v>476</c:v>
                </c:pt>
                <c:pt idx="4">
                  <c:v>815</c:v>
                </c:pt>
                <c:pt idx="5">
                  <c:v>833</c:v>
                </c:pt>
                <c:pt idx="6">
                  <c:v>1541</c:v>
                </c:pt>
                <c:pt idx="7">
                  <c:v>5943</c:v>
                </c:pt>
              </c:numCache>
            </c:numRef>
          </c:val>
          <c:extLst>
            <c:ext xmlns:c16="http://schemas.microsoft.com/office/drawing/2014/chart" uri="{C3380CC4-5D6E-409C-BE32-E72D297353CC}">
              <c16:uniqueId val="{0000000C-E07D-4194-AA1E-39B259E98C27}"/>
            </c:ext>
          </c:extLst>
        </c:ser>
        <c:dLbls>
          <c:dLblPos val="outEnd"/>
          <c:showLegendKey val="0"/>
          <c:showVal val="1"/>
          <c:showCatName val="0"/>
          <c:showSerName val="0"/>
          <c:showPercent val="0"/>
          <c:showBubbleSize val="0"/>
        </c:dLbls>
        <c:gapWidth val="219"/>
        <c:overlap val="-27"/>
        <c:axId val="248371240"/>
        <c:axId val="248370848"/>
      </c:barChart>
      <c:catAx>
        <c:axId val="24837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crossAx val="248370848"/>
        <c:crosses val="autoZero"/>
        <c:auto val="1"/>
        <c:lblAlgn val="ctr"/>
        <c:lblOffset val="100"/>
        <c:noMultiLvlLbl val="0"/>
      </c:catAx>
      <c:valAx>
        <c:axId val="24837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crossAx val="248371240"/>
        <c:crosses val="autoZero"/>
        <c:crossBetween val="between"/>
      </c:valAx>
      <c:spPr>
        <a:noFill/>
        <a:ln>
          <a:noFill/>
        </a:ln>
        <a:effectLst/>
      </c:spPr>
    </c:plotArea>
    <c:legend>
      <c:legendPos val="b"/>
      <c:layout>
        <c:manualLayout>
          <c:xMode val="edge"/>
          <c:yMode val="edge"/>
          <c:x val="0.32118766404199472"/>
          <c:y val="0.91084432879922073"/>
          <c:w val="0.35206911636045496"/>
          <c:h val="8.09353670495257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cs typeface="Lucida Sans Unicode" panose="020B0602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Figure III-9: Distribution of Units by Type of Structure, 2020</a:t>
            </a:r>
          </a:p>
        </c:rich>
      </c:tx>
      <c:layout>
        <c:manualLayout>
          <c:xMode val="edge"/>
          <c:yMode val="edge"/>
          <c:x val="0.12935411198600175"/>
          <c:y val="3.074220465524813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97-467C-962F-6DAC5BCDAA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97-467C-962F-6DAC5BCDAA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97-467C-962F-6DAC5BCDAA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97-467C-962F-6DAC5BCDAA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97-467C-962F-6DAC5BCDAAB1}"/>
              </c:ext>
            </c:extLst>
          </c:dPt>
          <c:dLbls>
            <c:dLbl>
              <c:idx val="1"/>
              <c:layout>
                <c:manualLayout>
                  <c:x val="-8.3333333333333329E-2"/>
                  <c:y val="8.79629629629629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97-467C-962F-6DAC5BCDAAB1}"/>
                </c:ext>
              </c:extLst>
            </c:dLbl>
            <c:dLbl>
              <c:idx val="2"/>
              <c:layout>
                <c:manualLayout>
                  <c:x val="-2.2222222222222223E-2"/>
                  <c:y val="-3.24072251385243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2039107611548557"/>
                      <c:h val="0.11673082531350248"/>
                    </c:manualLayout>
                  </c15:layout>
                </c:ext>
                <c:ext xmlns:c16="http://schemas.microsoft.com/office/drawing/2014/chart" uri="{C3380CC4-5D6E-409C-BE32-E72D297353CC}">
                  <c16:uniqueId val="{00000005-4297-467C-962F-6DAC5BCDAAB1}"/>
                </c:ext>
              </c:extLst>
            </c:dLbl>
            <c:dLbl>
              <c:idx val="3"/>
              <c:layout>
                <c:manualLayout>
                  <c:x val="0.10555555555555556"/>
                  <c:y val="-2.1218890680033321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97-467C-962F-6DAC5BCDAAB1}"/>
                </c:ext>
              </c:extLst>
            </c:dLbl>
            <c:dLbl>
              <c:idx val="4"/>
              <c:layout>
                <c:manualLayout>
                  <c:x val="0.20277777777777778"/>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97-467C-962F-6DAC5BCDAAB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Sheet1!$A$3:$B$7</c:f>
              <c:strCache>
                <c:ptCount val="5"/>
                <c:pt idx="0">
                  <c:v>1-unit detached</c:v>
                </c:pt>
                <c:pt idx="1">
                  <c:v>1-unit attached</c:v>
                </c:pt>
                <c:pt idx="2">
                  <c:v>2-4 units</c:v>
                </c:pt>
                <c:pt idx="3">
                  <c:v>5-9 units</c:v>
                </c:pt>
                <c:pt idx="4">
                  <c:v>10+ units</c:v>
                </c:pt>
              </c:strCache>
            </c:strRef>
          </c:cat>
          <c:val>
            <c:numRef>
              <c:f>Sheet1!$C$3:$C$7</c:f>
              <c:numCache>
                <c:formatCode>#,##0</c:formatCode>
                <c:ptCount val="5"/>
                <c:pt idx="0">
                  <c:v>8700</c:v>
                </c:pt>
                <c:pt idx="1">
                  <c:v>575</c:v>
                </c:pt>
                <c:pt idx="2">
                  <c:v>392</c:v>
                </c:pt>
                <c:pt idx="3" formatCode="General">
                  <c:v>282</c:v>
                </c:pt>
                <c:pt idx="4">
                  <c:v>1252</c:v>
                </c:pt>
              </c:numCache>
            </c:numRef>
          </c:val>
          <c:extLst>
            <c:ext xmlns:c16="http://schemas.microsoft.com/office/drawing/2014/chart" uri="{C3380CC4-5D6E-409C-BE32-E72D297353CC}">
              <c16:uniqueId val="{0000000A-4297-467C-962F-6DAC5BCDAAB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IIi-10:</a:t>
            </a:r>
            <a:r>
              <a:rPr lang="en-US" sz="1100" b="1" baseline="0"/>
              <a:t> </a:t>
            </a:r>
            <a:r>
              <a:rPr lang="en-US" sz="1100" b="1"/>
              <a:t>Changes in Median Home Values for Needham and Neighboring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2005</c:v>
          </c:tx>
          <c:spPr>
            <a:solidFill>
              <a:schemeClr val="accent1"/>
            </a:solidFill>
            <a:ln>
              <a:noFill/>
            </a:ln>
            <a:effectLst/>
          </c:spPr>
          <c:invertIfNegative val="0"/>
          <c:dLbls>
            <c:dLbl>
              <c:idx val="0"/>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10-4EE4-BE5C-BA9C124BDCF5}"/>
                </c:ext>
              </c:extLst>
            </c:dLbl>
            <c:dLbl>
              <c:idx val="2"/>
              <c:layout>
                <c:manualLayout>
                  <c:x val="5.0925337632079971E-17"/>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10-4EE4-BE5C-BA9C124BDCF5}"/>
                </c:ext>
              </c:extLst>
            </c:dLbl>
            <c:dLbl>
              <c:idx val="3"/>
              <c:layout>
                <c:manualLayout>
                  <c:x val="2.7777777777777779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10-4EE4-BE5C-BA9C124BDCF5}"/>
                </c:ext>
              </c:extLst>
            </c:dLbl>
            <c:dLbl>
              <c:idx val="4"/>
              <c:layout>
                <c:manualLayout>
                  <c:x val="2.7777777777777779E-3"/>
                  <c:y val="-3.2407407407407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10-4EE4-BE5C-BA9C124BDCF5}"/>
                </c:ext>
              </c:extLst>
            </c:dLbl>
            <c:dLbl>
              <c:idx val="5"/>
              <c:layout>
                <c:manualLayout>
                  <c:x val="5.5555555555554534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10-4EE4-BE5C-BA9C124BDC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Sheet1!$A$3:$B$9</c:f>
              <c:strCache>
                <c:ptCount val="7"/>
                <c:pt idx="0">
                  <c:v>Dedham</c:v>
                </c:pt>
                <c:pt idx="1">
                  <c:v>Dover</c:v>
                </c:pt>
                <c:pt idx="2">
                  <c:v>Needham</c:v>
                </c:pt>
                <c:pt idx="3">
                  <c:v>Newton</c:v>
                </c:pt>
                <c:pt idx="4">
                  <c:v>Wellesley</c:v>
                </c:pt>
                <c:pt idx="5">
                  <c:v>West Roxbury</c:v>
                </c:pt>
                <c:pt idx="6">
                  <c:v>Westwood</c:v>
                </c:pt>
              </c:strCache>
            </c:strRef>
          </c:cat>
          <c:val>
            <c:numRef>
              <c:f>Sheet1!$D$3:$D$9</c:f>
              <c:numCache>
                <c:formatCode>"$"#,##0_);[Red]\("$"#,##0\)</c:formatCode>
                <c:ptCount val="7"/>
                <c:pt idx="0">
                  <c:v>404500</c:v>
                </c:pt>
                <c:pt idx="1">
                  <c:v>1057500</c:v>
                </c:pt>
                <c:pt idx="2">
                  <c:v>663750</c:v>
                </c:pt>
                <c:pt idx="3">
                  <c:v>760000</c:v>
                </c:pt>
                <c:pt idx="4">
                  <c:v>971250</c:v>
                </c:pt>
                <c:pt idx="5">
                  <c:v>439375</c:v>
                </c:pt>
                <c:pt idx="6">
                  <c:v>608000</c:v>
                </c:pt>
              </c:numCache>
            </c:numRef>
          </c:val>
          <c:extLst>
            <c:ext xmlns:c16="http://schemas.microsoft.com/office/drawing/2014/chart" uri="{C3380CC4-5D6E-409C-BE32-E72D297353CC}">
              <c16:uniqueId val="{00000005-0F10-4EE4-BE5C-BA9C124BDCF5}"/>
            </c:ext>
          </c:extLst>
        </c:ser>
        <c:ser>
          <c:idx val="1"/>
          <c:order val="1"/>
          <c:tx>
            <c:v>2010</c:v>
          </c:tx>
          <c:spPr>
            <a:solidFill>
              <a:schemeClr val="accent2"/>
            </a:solidFill>
            <a:ln>
              <a:noFill/>
            </a:ln>
            <a:effectLst/>
          </c:spPr>
          <c:invertIfNegative val="0"/>
          <c:dLbls>
            <c:dLbl>
              <c:idx val="6"/>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10-4EE4-BE5C-BA9C124BDC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Sheet1!$A$3:$B$9</c:f>
              <c:strCache>
                <c:ptCount val="7"/>
                <c:pt idx="0">
                  <c:v>Dedham</c:v>
                </c:pt>
                <c:pt idx="1">
                  <c:v>Dover</c:v>
                </c:pt>
                <c:pt idx="2">
                  <c:v>Needham</c:v>
                </c:pt>
                <c:pt idx="3">
                  <c:v>Newton</c:v>
                </c:pt>
                <c:pt idx="4">
                  <c:v>Wellesley</c:v>
                </c:pt>
                <c:pt idx="5">
                  <c:v>West Roxbury</c:v>
                </c:pt>
                <c:pt idx="6">
                  <c:v>Westwood</c:v>
                </c:pt>
              </c:strCache>
            </c:strRef>
          </c:cat>
          <c:val>
            <c:numRef>
              <c:f>Sheet1!$E$3:$E$9</c:f>
              <c:numCache>
                <c:formatCode>"$"#,##0_);[Red]\("$"#,##0\)</c:formatCode>
                <c:ptCount val="7"/>
                <c:pt idx="0">
                  <c:v>346700</c:v>
                </c:pt>
                <c:pt idx="1">
                  <c:v>834875</c:v>
                </c:pt>
                <c:pt idx="2">
                  <c:v>632500</c:v>
                </c:pt>
                <c:pt idx="3">
                  <c:v>735000</c:v>
                </c:pt>
                <c:pt idx="4">
                  <c:v>900000</c:v>
                </c:pt>
                <c:pt idx="5">
                  <c:v>405000</c:v>
                </c:pt>
                <c:pt idx="6">
                  <c:v>530000</c:v>
                </c:pt>
              </c:numCache>
            </c:numRef>
          </c:val>
          <c:extLst>
            <c:ext xmlns:c16="http://schemas.microsoft.com/office/drawing/2014/chart" uri="{C3380CC4-5D6E-409C-BE32-E72D297353CC}">
              <c16:uniqueId val="{00000007-0F10-4EE4-BE5C-BA9C124BDCF5}"/>
            </c:ext>
          </c:extLst>
        </c:ser>
        <c:ser>
          <c:idx val="2"/>
          <c:order val="2"/>
          <c:tx>
            <c:v>2021</c:v>
          </c:tx>
          <c:spPr>
            <a:solidFill>
              <a:schemeClr val="accent3"/>
            </a:solidFill>
            <a:ln>
              <a:noFill/>
            </a:ln>
            <a:effectLst/>
          </c:spPr>
          <c:invertIfNegative val="0"/>
          <c:dLbls>
            <c:dLbl>
              <c:idx val="0"/>
              <c:layout>
                <c:manualLayout>
                  <c:x val="2.7777777777777523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10-4EE4-BE5C-BA9C124BDC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Sheet1!$A$3:$B$9</c:f>
              <c:strCache>
                <c:ptCount val="7"/>
                <c:pt idx="0">
                  <c:v>Dedham</c:v>
                </c:pt>
                <c:pt idx="1">
                  <c:v>Dover</c:v>
                </c:pt>
                <c:pt idx="2">
                  <c:v>Needham</c:v>
                </c:pt>
                <c:pt idx="3">
                  <c:v>Newton</c:v>
                </c:pt>
                <c:pt idx="4">
                  <c:v>Wellesley</c:v>
                </c:pt>
                <c:pt idx="5">
                  <c:v>West Roxbury</c:v>
                </c:pt>
                <c:pt idx="6">
                  <c:v>Westwood</c:v>
                </c:pt>
              </c:strCache>
            </c:strRef>
          </c:cat>
          <c:val>
            <c:numRef>
              <c:f>Sheet1!$F$3:$F$9</c:f>
              <c:numCache>
                <c:formatCode>"$"#,##0_);[Red]\("$"#,##0\)</c:formatCode>
                <c:ptCount val="7"/>
                <c:pt idx="0">
                  <c:v>725750</c:v>
                </c:pt>
                <c:pt idx="1">
                  <c:v>1337500</c:v>
                </c:pt>
                <c:pt idx="2">
                  <c:v>1290000</c:v>
                </c:pt>
                <c:pt idx="3">
                  <c:v>1475000</c:v>
                </c:pt>
                <c:pt idx="4">
                  <c:v>1650000</c:v>
                </c:pt>
                <c:pt idx="5">
                  <c:v>730000</c:v>
                </c:pt>
                <c:pt idx="6">
                  <c:v>1025000</c:v>
                </c:pt>
              </c:numCache>
            </c:numRef>
          </c:val>
          <c:extLst>
            <c:ext xmlns:c16="http://schemas.microsoft.com/office/drawing/2014/chart" uri="{C3380CC4-5D6E-409C-BE32-E72D297353CC}">
              <c16:uniqueId val="{00000009-0F10-4EE4-BE5C-BA9C124BDCF5}"/>
            </c:ext>
          </c:extLst>
        </c:ser>
        <c:dLbls>
          <c:dLblPos val="outEnd"/>
          <c:showLegendKey val="0"/>
          <c:showVal val="1"/>
          <c:showCatName val="0"/>
          <c:showSerName val="0"/>
          <c:showPercent val="0"/>
          <c:showBubbleSize val="0"/>
        </c:dLbls>
        <c:gapWidth val="219"/>
        <c:overlap val="-27"/>
        <c:axId val="319934992"/>
        <c:axId val="319935408"/>
      </c:barChart>
      <c:catAx>
        <c:axId val="31993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35408"/>
        <c:crosses val="autoZero"/>
        <c:auto val="1"/>
        <c:lblAlgn val="ctr"/>
        <c:lblOffset val="100"/>
        <c:noMultiLvlLbl val="0"/>
      </c:catAx>
      <c:valAx>
        <c:axId val="3199354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3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III-11:  Assessed Values of Single-family Homes, FY2014, 2020 and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025371828521428E-2"/>
          <c:y val="0.19842592592592592"/>
          <c:w val="0.87753018372703417"/>
          <c:h val="0.36686898512685912"/>
        </c:manualLayout>
      </c:layout>
      <c:lineChart>
        <c:grouping val="stacked"/>
        <c:varyColors val="0"/>
        <c:ser>
          <c:idx val="0"/>
          <c:order val="0"/>
          <c:tx>
            <c:v>FY2014</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Sheet1!$A$2:$B$11</c:f>
              <c:strCache>
                <c:ptCount val="10"/>
                <c:pt idx="0">
                  <c:v>&lt; $200,000</c:v>
                </c:pt>
                <c:pt idx="1">
                  <c:v>$200,000-299,999</c:v>
                </c:pt>
                <c:pt idx="2">
                  <c:v>$300,000-399,999</c:v>
                </c:pt>
                <c:pt idx="3">
                  <c:v>$400,000-499,999</c:v>
                </c:pt>
                <c:pt idx="4">
                  <c:v>$500,000-599,999</c:v>
                </c:pt>
                <c:pt idx="5">
                  <c:v>$600,000-699,999</c:v>
                </c:pt>
                <c:pt idx="6">
                  <c:v>$700,000-799,999</c:v>
                </c:pt>
                <c:pt idx="7">
                  <c:v>$800,000-899,999</c:v>
                </c:pt>
                <c:pt idx="8">
                  <c:v>$900,000-999,999</c:v>
                </c:pt>
                <c:pt idx="9">
                  <c:v>&gt; $1 million</c:v>
                </c:pt>
              </c:strCache>
            </c:strRef>
          </c:cat>
          <c:val>
            <c:numRef>
              <c:f>Sheet1!$C$2:$C$11</c:f>
              <c:numCache>
                <c:formatCode>General</c:formatCode>
                <c:ptCount val="10"/>
                <c:pt idx="0">
                  <c:v>1</c:v>
                </c:pt>
                <c:pt idx="1">
                  <c:v>8</c:v>
                </c:pt>
                <c:pt idx="2">
                  <c:v>98</c:v>
                </c:pt>
                <c:pt idx="3">
                  <c:v>865</c:v>
                </c:pt>
                <c:pt idx="4" formatCode="#,##0">
                  <c:v>2030</c:v>
                </c:pt>
                <c:pt idx="5" formatCode="#,##0">
                  <c:v>1985</c:v>
                </c:pt>
                <c:pt idx="6" formatCode="#,##0">
                  <c:v>1101</c:v>
                </c:pt>
                <c:pt idx="7" formatCode="#,##0">
                  <c:v>605</c:v>
                </c:pt>
                <c:pt idx="8" formatCode="#,##0">
                  <c:v>349</c:v>
                </c:pt>
                <c:pt idx="9" formatCode="#,##0">
                  <c:v>1322</c:v>
                </c:pt>
              </c:numCache>
            </c:numRef>
          </c:val>
          <c:smooth val="0"/>
          <c:extLst>
            <c:ext xmlns:c16="http://schemas.microsoft.com/office/drawing/2014/chart" uri="{C3380CC4-5D6E-409C-BE32-E72D297353CC}">
              <c16:uniqueId val="{00000000-0D10-4BE5-9884-DC4F69B07F4B}"/>
            </c:ext>
          </c:extLst>
        </c:ser>
        <c:ser>
          <c:idx val="1"/>
          <c:order val="1"/>
          <c:tx>
            <c:v>FY2020</c:v>
          </c:tx>
          <c:spPr>
            <a:ln w="28575" cap="rnd">
              <a:solidFill>
                <a:schemeClr val="accent2"/>
              </a:solidFill>
              <a:round/>
            </a:ln>
            <a:effectLst/>
          </c:spPr>
          <c:marker>
            <c:symbol val="none"/>
          </c:marker>
          <c:dLbls>
            <c:dLbl>
              <c:idx val="1"/>
              <c:layout>
                <c:manualLayout>
                  <c:x val="-6.0499999999999977E-2"/>
                  <c:y val="-8.0983887430737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10-4BE5-9884-DC4F69B07F4B}"/>
                </c:ext>
              </c:extLst>
            </c:dLbl>
            <c:dLbl>
              <c:idx val="2"/>
              <c:layout>
                <c:manualLayout>
                  <c:x val="-2.5166666666666667E-2"/>
                  <c:y val="-0.104132035578885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10-4BE5-9884-DC4F69B07F4B}"/>
                </c:ext>
              </c:extLst>
            </c:dLbl>
            <c:dLbl>
              <c:idx val="3"/>
              <c:layout>
                <c:manualLayout>
                  <c:x val="-1.2055555555555555E-2"/>
                  <c:y val="-9.9502405949256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10-4BE5-9884-DC4F69B07F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Sheet1!$A$2:$B$11</c:f>
              <c:strCache>
                <c:ptCount val="10"/>
                <c:pt idx="0">
                  <c:v>&lt; $200,000</c:v>
                </c:pt>
                <c:pt idx="1">
                  <c:v>$200,000-299,999</c:v>
                </c:pt>
                <c:pt idx="2">
                  <c:v>$300,000-399,999</c:v>
                </c:pt>
                <c:pt idx="3">
                  <c:v>$400,000-499,999</c:v>
                </c:pt>
                <c:pt idx="4">
                  <c:v>$500,000-599,999</c:v>
                </c:pt>
                <c:pt idx="5">
                  <c:v>$600,000-699,999</c:v>
                </c:pt>
                <c:pt idx="6">
                  <c:v>$700,000-799,999</c:v>
                </c:pt>
                <c:pt idx="7">
                  <c:v>$800,000-899,999</c:v>
                </c:pt>
                <c:pt idx="8">
                  <c:v>$900,000-999,999</c:v>
                </c:pt>
                <c:pt idx="9">
                  <c:v>&gt; $1 million</c:v>
                </c:pt>
              </c:strCache>
            </c:strRef>
          </c:cat>
          <c:val>
            <c:numRef>
              <c:f>Sheet1!$D$2:$D$11</c:f>
              <c:numCache>
                <c:formatCode>#,##0</c:formatCode>
                <c:ptCount val="10"/>
                <c:pt idx="0" formatCode="General">
                  <c:v>1</c:v>
                </c:pt>
                <c:pt idx="1">
                  <c:v>2</c:v>
                </c:pt>
                <c:pt idx="2">
                  <c:v>20</c:v>
                </c:pt>
                <c:pt idx="3">
                  <c:v>248</c:v>
                </c:pt>
                <c:pt idx="4">
                  <c:v>841</c:v>
                </c:pt>
                <c:pt idx="5">
                  <c:v>1527</c:v>
                </c:pt>
                <c:pt idx="6">
                  <c:v>1540</c:v>
                </c:pt>
                <c:pt idx="7">
                  <c:v>1131</c:v>
                </c:pt>
                <c:pt idx="8">
                  <c:v>632</c:v>
                </c:pt>
                <c:pt idx="9">
                  <c:v>2457</c:v>
                </c:pt>
              </c:numCache>
            </c:numRef>
          </c:val>
          <c:smooth val="0"/>
          <c:extLst>
            <c:ext xmlns:c16="http://schemas.microsoft.com/office/drawing/2014/chart" uri="{C3380CC4-5D6E-409C-BE32-E72D297353CC}">
              <c16:uniqueId val="{00000004-0D10-4BE5-9884-DC4F69B07F4B}"/>
            </c:ext>
          </c:extLst>
        </c:ser>
        <c:ser>
          <c:idx val="2"/>
          <c:order val="2"/>
          <c:tx>
            <c:v>FY2022</c:v>
          </c:tx>
          <c:spPr>
            <a:ln w="28575" cap="rnd">
              <a:solidFill>
                <a:schemeClr val="accent3"/>
              </a:solidFill>
              <a:round/>
            </a:ln>
            <a:effectLst/>
          </c:spPr>
          <c:marker>
            <c:symbol val="none"/>
          </c:marker>
          <c:dLbls>
            <c:dLbl>
              <c:idx val="1"/>
              <c:layout>
                <c:manualLayout>
                  <c:x val="-3.2722222222222222E-2"/>
                  <c:y val="-9.9502405949256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10-4BE5-9884-DC4F69B07F4B}"/>
                </c:ext>
              </c:extLst>
            </c:dLbl>
            <c:dLbl>
              <c:idx val="2"/>
              <c:layout>
                <c:manualLayout>
                  <c:x val="-4.3833333333333335E-2"/>
                  <c:y val="-0.104132035578886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10-4BE5-9884-DC4F69B07F4B}"/>
                </c:ext>
              </c:extLst>
            </c:dLbl>
            <c:dLbl>
              <c:idx val="3"/>
              <c:layout>
                <c:manualLayout>
                  <c:x val="-6.2055555555555558E-2"/>
                  <c:y val="-0.104132035578885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10-4BE5-9884-DC4F69B07F4B}"/>
                </c:ext>
              </c:extLst>
            </c:dLbl>
            <c:dLbl>
              <c:idx val="4"/>
              <c:layout>
                <c:manualLayout>
                  <c:x val="-4.5388888888888937E-2"/>
                  <c:y val="-9.9502405949256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10-4BE5-9884-DC4F69B07F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Sheet1!$A$2:$B$11</c:f>
              <c:strCache>
                <c:ptCount val="10"/>
                <c:pt idx="0">
                  <c:v>&lt; $200,000</c:v>
                </c:pt>
                <c:pt idx="1">
                  <c:v>$200,000-299,999</c:v>
                </c:pt>
                <c:pt idx="2">
                  <c:v>$300,000-399,999</c:v>
                </c:pt>
                <c:pt idx="3">
                  <c:v>$400,000-499,999</c:v>
                </c:pt>
                <c:pt idx="4">
                  <c:v>$500,000-599,999</c:v>
                </c:pt>
                <c:pt idx="5">
                  <c:v>$600,000-699,999</c:v>
                </c:pt>
                <c:pt idx="6">
                  <c:v>$700,000-799,999</c:v>
                </c:pt>
                <c:pt idx="7">
                  <c:v>$800,000-899,999</c:v>
                </c:pt>
                <c:pt idx="8">
                  <c:v>$900,000-999,999</c:v>
                </c:pt>
                <c:pt idx="9">
                  <c:v>&gt; $1 million</c:v>
                </c:pt>
              </c:strCache>
            </c:strRef>
          </c:cat>
          <c:val>
            <c:numRef>
              <c:f>Sheet1!$E$2:$E$11</c:f>
              <c:numCache>
                <c:formatCode>General</c:formatCode>
                <c:ptCount val="10"/>
                <c:pt idx="0">
                  <c:v>1</c:v>
                </c:pt>
                <c:pt idx="1">
                  <c:v>1</c:v>
                </c:pt>
                <c:pt idx="2">
                  <c:v>7</c:v>
                </c:pt>
                <c:pt idx="3">
                  <c:v>104</c:v>
                </c:pt>
                <c:pt idx="4">
                  <c:v>445</c:v>
                </c:pt>
                <c:pt idx="5" formatCode="#,##0">
                  <c:v>1126</c:v>
                </c:pt>
                <c:pt idx="6" formatCode="#,##0">
                  <c:v>1442</c:v>
                </c:pt>
                <c:pt idx="7" formatCode="#,##0">
                  <c:v>1368</c:v>
                </c:pt>
                <c:pt idx="8" formatCode="#,##0">
                  <c:v>857</c:v>
                </c:pt>
                <c:pt idx="9" formatCode="#,##0">
                  <c:v>3062</c:v>
                </c:pt>
              </c:numCache>
            </c:numRef>
          </c:val>
          <c:smooth val="0"/>
          <c:extLst>
            <c:ext xmlns:c16="http://schemas.microsoft.com/office/drawing/2014/chart" uri="{C3380CC4-5D6E-409C-BE32-E72D297353CC}">
              <c16:uniqueId val="{00000009-0D10-4BE5-9884-DC4F69B07F4B}"/>
            </c:ext>
          </c:extLst>
        </c:ser>
        <c:dLbls>
          <c:dLblPos val="t"/>
          <c:showLegendKey val="0"/>
          <c:showVal val="1"/>
          <c:showCatName val="0"/>
          <c:showSerName val="0"/>
          <c:showPercent val="0"/>
          <c:showBubbleSize val="0"/>
        </c:dLbls>
        <c:smooth val="0"/>
        <c:axId val="1587223631"/>
        <c:axId val="1587222383"/>
      </c:lineChart>
      <c:catAx>
        <c:axId val="158722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222383"/>
        <c:crosses val="autoZero"/>
        <c:auto val="1"/>
        <c:lblAlgn val="ctr"/>
        <c:lblOffset val="100"/>
        <c:noMultiLvlLbl val="0"/>
      </c:catAx>
      <c:valAx>
        <c:axId val="158722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22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B9276-EAC6-4A6A-A889-19EFC229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127</Pages>
  <Words>50288</Words>
  <Characters>286648</Characters>
  <Application>Microsoft Office Word</Application>
  <DocSecurity>4</DocSecurity>
  <Lines>2388</Lines>
  <Paragraphs>672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Sunnarborg</dc:creator>
  <cp:keywords/>
  <dc:description/>
  <cp:lastModifiedBy>Alexandra Clee</cp:lastModifiedBy>
  <cp:revision>2</cp:revision>
  <cp:lastPrinted>2022-04-19T13:48:00Z</cp:lastPrinted>
  <dcterms:created xsi:type="dcterms:W3CDTF">2022-06-17T13:22:00Z</dcterms:created>
  <dcterms:modified xsi:type="dcterms:W3CDTF">2022-06-17T13:22:00Z</dcterms:modified>
</cp:coreProperties>
</file>